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211" w:rsidRDefault="00A06F22" w:rsidP="00E15DFB">
      <w:pPr>
        <w:pStyle w:val="NormalWeb"/>
        <w:tabs>
          <w:tab w:val="left" w:pos="426"/>
        </w:tabs>
        <w:jc w:val="center"/>
        <w:rPr>
          <w:rFonts w:ascii="Palatino Linotype" w:hAnsi="Palatino Linotype"/>
          <w:color w:val="000000"/>
          <w:sz w:val="22"/>
          <w:szCs w:val="22"/>
        </w:rPr>
      </w:pPr>
      <w:r w:rsidRPr="00A06F22">
        <w:rPr>
          <w:rFonts w:ascii="Palatino Linotype" w:hAnsi="Palatino Linotype"/>
          <w:b/>
          <w:bCs/>
          <w:color w:val="000000"/>
          <w:sz w:val="22"/>
          <w:szCs w:val="22"/>
          <w:highlight w:val="yellow"/>
        </w:rPr>
        <w:t>…</w:t>
      </w:r>
      <w:r w:rsidR="00CC7211" w:rsidRPr="00CC7211">
        <w:rPr>
          <w:rFonts w:ascii="Palatino Linotype" w:hAnsi="Palatino Linotype"/>
          <w:b/>
          <w:bCs/>
          <w:color w:val="000000"/>
          <w:sz w:val="22"/>
          <w:szCs w:val="22"/>
        </w:rPr>
        <w:t>AĞIR CEZA MAHKEMESİ BAŞKANLIĞINA</w:t>
      </w:r>
    </w:p>
    <w:p w:rsidR="00A06F22" w:rsidRDefault="00A06F22" w:rsidP="00E15DFB">
      <w:pPr>
        <w:pStyle w:val="NormalWeb"/>
        <w:tabs>
          <w:tab w:val="left" w:pos="426"/>
        </w:tabs>
        <w:jc w:val="both"/>
        <w:rPr>
          <w:rStyle w:val="apple-converted-space"/>
          <w:rFonts w:ascii="Palatino Linotype" w:eastAsiaTheme="majorEastAsia" w:hAnsi="Palatino Linotype"/>
          <w:color w:val="000000"/>
          <w:sz w:val="22"/>
          <w:szCs w:val="22"/>
        </w:rPr>
      </w:pPr>
    </w:p>
    <w:p w:rsidR="00CC7211"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b/>
          <w:bCs/>
          <w:color w:val="000000"/>
          <w:sz w:val="22"/>
          <w:szCs w:val="22"/>
        </w:rPr>
        <w:t>ESAS NO          :</w:t>
      </w:r>
      <w:r w:rsidRPr="00CC7211">
        <w:rPr>
          <w:rFonts w:ascii="Palatino Linotype" w:hAnsi="Palatino Linotype"/>
          <w:color w:val="000000"/>
          <w:sz w:val="22"/>
          <w:szCs w:val="22"/>
        </w:rPr>
        <w:t> </w:t>
      </w:r>
      <w:r w:rsidRPr="00E15DFB">
        <w:rPr>
          <w:rFonts w:ascii="Palatino Linotype" w:hAnsi="Palatino Linotype"/>
          <w:color w:val="000000"/>
          <w:sz w:val="22"/>
          <w:szCs w:val="22"/>
          <w:highlight w:val="yellow"/>
        </w:rPr>
        <w:t>202.../...</w:t>
      </w:r>
      <w:r w:rsidRPr="00CC7211">
        <w:rPr>
          <w:rFonts w:ascii="Palatino Linotype" w:hAnsi="Palatino Linotype"/>
          <w:color w:val="000000"/>
          <w:sz w:val="22"/>
          <w:szCs w:val="22"/>
        </w:rPr>
        <w:t>  </w:t>
      </w:r>
      <w:r w:rsidRPr="00CC7211">
        <w:rPr>
          <w:rStyle w:val="apple-converted-space"/>
          <w:rFonts w:ascii="Palatino Linotype" w:eastAsiaTheme="majorEastAsia" w:hAnsi="Palatino Linotype"/>
          <w:color w:val="000000"/>
          <w:sz w:val="22"/>
          <w:szCs w:val="22"/>
        </w:rPr>
        <w:t> </w:t>
      </w:r>
    </w:p>
    <w:p w:rsidR="00CC7211"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r w:rsidRPr="00CC7211">
        <w:rPr>
          <w:rFonts w:ascii="Palatino Linotype" w:hAnsi="Palatino Linotype"/>
          <w:b/>
          <w:bCs/>
          <w:color w:val="000000"/>
          <w:sz w:val="22"/>
          <w:szCs w:val="22"/>
        </w:rPr>
        <w:t>SANIK              :</w:t>
      </w:r>
      <w:r w:rsidRPr="00CC7211">
        <w:rPr>
          <w:rFonts w:ascii="Palatino Linotype" w:hAnsi="Palatino Linotype"/>
          <w:color w:val="000000"/>
          <w:sz w:val="22"/>
          <w:szCs w:val="22"/>
        </w:rPr>
        <w:t> </w:t>
      </w:r>
      <w:r w:rsidRPr="00E15DFB">
        <w:rPr>
          <w:rFonts w:ascii="Palatino Linotype" w:hAnsi="Palatino Linotype"/>
          <w:color w:val="000000"/>
          <w:sz w:val="22"/>
          <w:szCs w:val="22"/>
          <w:highlight w:val="yellow"/>
        </w:rPr>
        <w:t>[İsim Soyisim, T.C. Kimlik No] </w:t>
      </w:r>
      <w:r w:rsidRPr="00E15DFB">
        <w:rPr>
          <w:rStyle w:val="apple-converted-space"/>
          <w:rFonts w:ascii="Palatino Linotype" w:eastAsiaTheme="majorEastAsia" w:hAnsi="Palatino Linotype"/>
          <w:color w:val="000000"/>
          <w:sz w:val="22"/>
          <w:szCs w:val="22"/>
          <w:highlight w:val="yellow"/>
        </w:rPr>
        <w:t> </w:t>
      </w:r>
      <w:r w:rsidRPr="00E15DFB">
        <w:rPr>
          <w:rFonts w:ascii="Palatino Linotype" w:hAnsi="Palatino Linotype"/>
          <w:b/>
          <w:bCs/>
          <w:color w:val="000000"/>
          <w:sz w:val="22"/>
          <w:szCs w:val="22"/>
          <w:highlight w:val="yellow"/>
        </w:rPr>
        <w:t>ADRES              :</w:t>
      </w:r>
      <w:r w:rsidRPr="00E15DFB">
        <w:rPr>
          <w:rFonts w:ascii="Palatino Linotype" w:hAnsi="Palatino Linotype"/>
          <w:color w:val="000000"/>
          <w:sz w:val="22"/>
          <w:szCs w:val="22"/>
          <w:highlight w:val="yellow"/>
        </w:rPr>
        <w:t> [Adres bilgisi]</w:t>
      </w:r>
      <w:r w:rsidRPr="00CC7211">
        <w:rPr>
          <w:rFonts w:ascii="Palatino Linotype" w:hAnsi="Palatino Linotype"/>
          <w:color w:val="000000"/>
          <w:sz w:val="22"/>
          <w:szCs w:val="22"/>
        </w:rPr>
        <w:t> </w:t>
      </w:r>
      <w:r w:rsidRPr="00CC7211">
        <w:rPr>
          <w:rStyle w:val="apple-converted-space"/>
          <w:rFonts w:ascii="Palatino Linotype" w:eastAsiaTheme="majorEastAsia" w:hAnsi="Palatino Linotype"/>
          <w:color w:val="000000"/>
          <w:sz w:val="22"/>
          <w:szCs w:val="22"/>
        </w:rPr>
        <w:t> </w:t>
      </w:r>
    </w:p>
    <w:p w:rsidR="00CC7211"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r w:rsidRPr="00CC7211">
        <w:rPr>
          <w:rFonts w:ascii="Palatino Linotype" w:hAnsi="Palatino Linotype"/>
          <w:b/>
          <w:bCs/>
          <w:color w:val="000000"/>
          <w:sz w:val="22"/>
          <w:szCs w:val="22"/>
        </w:rPr>
        <w:t>MÜDAFİİ          :</w:t>
      </w:r>
      <w:r w:rsidRPr="00CC7211">
        <w:rPr>
          <w:rFonts w:ascii="Palatino Linotype" w:hAnsi="Palatino Linotype"/>
          <w:color w:val="000000"/>
          <w:sz w:val="22"/>
          <w:szCs w:val="22"/>
        </w:rPr>
        <w:t> </w:t>
      </w:r>
      <w:r w:rsidRPr="00E15DFB">
        <w:rPr>
          <w:rFonts w:ascii="Palatino Linotype" w:hAnsi="Palatino Linotype"/>
          <w:color w:val="000000"/>
          <w:sz w:val="22"/>
          <w:szCs w:val="22"/>
          <w:highlight w:val="yellow"/>
        </w:rPr>
        <w:t>Av. [İsim Soyisim] </w:t>
      </w:r>
      <w:r w:rsidRPr="00E15DFB">
        <w:rPr>
          <w:rStyle w:val="apple-converted-space"/>
          <w:rFonts w:ascii="Palatino Linotype" w:eastAsiaTheme="majorEastAsia" w:hAnsi="Palatino Linotype"/>
          <w:color w:val="000000"/>
          <w:sz w:val="22"/>
          <w:szCs w:val="22"/>
          <w:highlight w:val="yellow"/>
        </w:rPr>
        <w:t> </w:t>
      </w:r>
      <w:r w:rsidRPr="00E15DFB">
        <w:rPr>
          <w:rFonts w:ascii="Palatino Linotype" w:hAnsi="Palatino Linotype"/>
          <w:b/>
          <w:bCs/>
          <w:color w:val="000000"/>
          <w:sz w:val="22"/>
          <w:szCs w:val="22"/>
          <w:highlight w:val="yellow"/>
        </w:rPr>
        <w:t>ADRES              :</w:t>
      </w:r>
      <w:r w:rsidRPr="00E15DFB">
        <w:rPr>
          <w:rFonts w:ascii="Palatino Linotype" w:hAnsi="Palatino Linotype"/>
          <w:color w:val="000000"/>
          <w:sz w:val="22"/>
          <w:szCs w:val="22"/>
          <w:highlight w:val="yellow"/>
        </w:rPr>
        <w:t> [Adres bilgisi]</w:t>
      </w:r>
      <w:r w:rsidRPr="00CC7211">
        <w:rPr>
          <w:rStyle w:val="apple-converted-space"/>
          <w:rFonts w:ascii="Palatino Linotype" w:eastAsiaTheme="majorEastAsia" w:hAnsi="Palatino Linotype"/>
          <w:color w:val="000000"/>
          <w:sz w:val="22"/>
          <w:szCs w:val="22"/>
        </w:rPr>
        <w:t> </w:t>
      </w:r>
    </w:p>
    <w:p w:rsidR="00CC7211"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r w:rsidRPr="00CC7211">
        <w:rPr>
          <w:rFonts w:ascii="Palatino Linotype" w:hAnsi="Palatino Linotype"/>
          <w:b/>
          <w:bCs/>
          <w:color w:val="000000"/>
          <w:sz w:val="22"/>
          <w:szCs w:val="22"/>
        </w:rPr>
        <w:t>KONU         :</w:t>
      </w:r>
      <w:r w:rsidRPr="00CC7211">
        <w:rPr>
          <w:rFonts w:ascii="Palatino Linotype" w:hAnsi="Palatino Linotype"/>
          <w:color w:val="000000"/>
          <w:sz w:val="22"/>
          <w:szCs w:val="22"/>
        </w:rPr>
        <w:t> Avrupa İnsan Hakları Mahkemesi (AİHM) Büyük Dairesi'nin</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 xml:space="preserve">Yasak v. </w:t>
      </w:r>
      <w:r w:rsidR="00E15DFB">
        <w:rPr>
          <w:rFonts w:ascii="Palatino Linotype" w:hAnsi="Palatino Linotype"/>
          <w:i/>
          <w:iCs/>
          <w:color w:val="000000"/>
          <w:sz w:val="22"/>
          <w:szCs w:val="22"/>
        </w:rPr>
        <w:t xml:space="preserve">     </w:t>
      </w:r>
      <w:r w:rsidRPr="00CC7211">
        <w:rPr>
          <w:rFonts w:ascii="Palatino Linotype" w:hAnsi="Palatino Linotype"/>
          <w:i/>
          <w:iCs/>
          <w:color w:val="000000"/>
          <w:sz w:val="22"/>
          <w:szCs w:val="22"/>
        </w:rPr>
        <w:t>Türkiye</w:t>
      </w:r>
      <w:r w:rsidRPr="00CC7211">
        <w:rPr>
          <w:rFonts w:ascii="Palatino Linotype" w:hAnsi="Palatino Linotype"/>
          <w:color w:val="000000"/>
          <w:sz w:val="22"/>
          <w:szCs w:val="22"/>
        </w:rPr>
        <w:t>(Başvuru No: 17389/20) kararı</w:t>
      </w:r>
      <w:r w:rsidR="00A06F22">
        <w:rPr>
          <w:rFonts w:ascii="Palatino Linotype" w:hAnsi="Palatino Linotype"/>
          <w:color w:val="000000"/>
          <w:sz w:val="22"/>
          <w:szCs w:val="22"/>
        </w:rPr>
        <w:t xml:space="preserve">ndaki </w:t>
      </w:r>
      <w:r w:rsidRPr="00CC7211">
        <w:rPr>
          <w:rFonts w:ascii="Palatino Linotype" w:hAnsi="Palatino Linotype"/>
          <w:color w:val="000000"/>
          <w:sz w:val="22"/>
          <w:szCs w:val="22"/>
        </w:rPr>
        <w:t>tespitleri</w:t>
      </w:r>
      <w:r w:rsidR="00A06F22">
        <w:rPr>
          <w:rFonts w:ascii="Palatino Linotype" w:hAnsi="Palatino Linotype"/>
          <w:color w:val="000000"/>
          <w:sz w:val="22"/>
          <w:szCs w:val="22"/>
        </w:rPr>
        <w:t>n</w:t>
      </w:r>
      <w:r w:rsidRPr="00CC7211">
        <w:rPr>
          <w:rFonts w:ascii="Palatino Linotype" w:hAnsi="Palatino Linotype"/>
          <w:color w:val="000000"/>
          <w:sz w:val="22"/>
          <w:szCs w:val="22"/>
        </w:rPr>
        <w:t xml:space="preserve"> "yeniden yapılanma" iddialarıyla yürütülen dosya</w:t>
      </w:r>
      <w:r w:rsidR="00A06F22">
        <w:rPr>
          <w:rFonts w:ascii="Palatino Linotype" w:hAnsi="Palatino Linotype"/>
          <w:color w:val="000000"/>
          <w:sz w:val="22"/>
          <w:szCs w:val="22"/>
        </w:rPr>
        <w:t>ya</w:t>
      </w:r>
      <w:r w:rsidRPr="00CC7211">
        <w:rPr>
          <w:rFonts w:ascii="Palatino Linotype" w:hAnsi="Palatino Linotype"/>
          <w:color w:val="000000"/>
          <w:sz w:val="22"/>
          <w:szCs w:val="22"/>
        </w:rPr>
        <w:t xml:space="preserve"> etkileri ışığında; atılı suça dair maddi ve manevi unsurun (kastın) yokluğu hususundaki kapsamlı esasa ilişkin savunmalarımızın sunulması ve müvekkil hakkında</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b/>
          <w:bCs/>
          <w:color w:val="000000"/>
          <w:sz w:val="22"/>
          <w:szCs w:val="22"/>
        </w:rPr>
        <w:t>BERAAT</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kararı verilmesi talebidir.  </w:t>
      </w:r>
      <w:r w:rsidRPr="00CC7211">
        <w:rPr>
          <w:rStyle w:val="apple-converted-space"/>
          <w:rFonts w:ascii="Palatino Linotype" w:eastAsiaTheme="majorEastAsia" w:hAnsi="Palatino Linotype"/>
          <w:color w:val="000000"/>
          <w:sz w:val="22"/>
          <w:szCs w:val="22"/>
        </w:rPr>
        <w:t> </w:t>
      </w:r>
    </w:p>
    <w:p w:rsidR="00CC7211"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p>
    <w:p w:rsidR="00CC7211" w:rsidRPr="00CC7211" w:rsidRDefault="00CC7211" w:rsidP="00E15DFB">
      <w:pPr>
        <w:pStyle w:val="NormalWeb"/>
        <w:tabs>
          <w:tab w:val="left" w:pos="426"/>
        </w:tabs>
        <w:jc w:val="center"/>
        <w:rPr>
          <w:rFonts w:ascii="Palatino Linotype" w:hAnsi="Palatino Linotype"/>
          <w:color w:val="000000"/>
          <w:sz w:val="22"/>
          <w:szCs w:val="22"/>
        </w:rPr>
      </w:pPr>
      <w:r w:rsidRPr="00CC7211">
        <w:rPr>
          <w:rFonts w:ascii="Palatino Linotype" w:hAnsi="Palatino Linotype"/>
          <w:b/>
          <w:bCs/>
          <w:color w:val="000000"/>
          <w:sz w:val="22"/>
          <w:szCs w:val="22"/>
        </w:rPr>
        <w:t>AÇIKLAMALAR :</w:t>
      </w:r>
    </w:p>
    <w:p w:rsidR="000C6FA1" w:rsidRDefault="00CC7211" w:rsidP="00E15DFB">
      <w:pPr>
        <w:pStyle w:val="NormalWeb"/>
        <w:numPr>
          <w:ilvl w:val="0"/>
          <w:numId w:val="1"/>
        </w:numPr>
        <w:tabs>
          <w:tab w:val="clear" w:pos="720"/>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Müvekkil hakkında "silahlı terör örgütü üyeliği" (TCK md. 314/2) suçlamasıyla yürütülen işbu yargılama kapsamında isnat edilen eylemler, esasen şiddet içermeyen, barışçıl, sosyal ve insani rutin faaliyetlerden ibarettir. Anayasa'nın 90. maddesi uyarınca iç hukukumuzun amir hükmü niteliğinde olan AİHM Büyük Dairesi'nin yakın zamanda verdiği</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Yasak v. Türkiye</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kararı, cezai sorumluluğun tespiti için gerekli olan "manevi unsur" (mens rea / suç kastı) şartını kesin hatlarla çizmiştir. Mahkeme, bu unsurun varlığının somut ve bireyselleştirilmiş delillerle ispat edilmemesi halinde verilecek mahkûmiyetlerin Sözleşme'nin 7. maddesini açıkça ihlal edeceğini hüküm altına almıştır.</w:t>
      </w:r>
    </w:p>
    <w:p w:rsidR="000C6FA1" w:rsidRDefault="00CC7211" w:rsidP="00E15DFB">
      <w:pPr>
        <w:pStyle w:val="NormalWeb"/>
        <w:numPr>
          <w:ilvl w:val="0"/>
          <w:numId w:val="1"/>
        </w:numPr>
        <w:tabs>
          <w:tab w:val="clear" w:pos="720"/>
          <w:tab w:val="left" w:pos="426"/>
        </w:tabs>
        <w:ind w:left="0" w:firstLine="0"/>
        <w:jc w:val="both"/>
        <w:rPr>
          <w:rFonts w:ascii="Palatino Linotype" w:hAnsi="Palatino Linotype"/>
          <w:color w:val="000000"/>
          <w:sz w:val="22"/>
          <w:szCs w:val="22"/>
        </w:rPr>
      </w:pPr>
      <w:r w:rsidRPr="000C6FA1">
        <w:rPr>
          <w:rFonts w:ascii="Palatino Linotype" w:hAnsi="Palatino Linotype"/>
          <w:bCs/>
          <w:sz w:val="22"/>
        </w:rPr>
        <w:t>Nitekim ülkemizin ceza ve ceza muhakemesi hukuku alanındaki en yetkin akademisyenleri</w:t>
      </w:r>
      <w:r w:rsidR="000C6FA1" w:rsidRPr="000C6FA1">
        <w:rPr>
          <w:rFonts w:ascii="Palatino Linotype" w:hAnsi="Palatino Linotype"/>
          <w:bCs/>
          <w:sz w:val="22"/>
        </w:rPr>
        <w:t>nden</w:t>
      </w:r>
      <w:r w:rsidRPr="000C6FA1">
        <w:rPr>
          <w:rFonts w:ascii="Palatino Linotype" w:hAnsi="Palatino Linotype"/>
          <w:bCs/>
          <w:sz w:val="22"/>
        </w:rPr>
        <w:t xml:space="preserve"> olan Prof. Dr. Adem SÖZÜER, Prof. Dr. İzzet ÖZGENÇ, Prof. Dr. Faruk TURHAN, Prof. Dr. Cumhur ŞAHİN ve Prof. Dr. Tolga ŞİRİN tarafından, Ceza Muhakemesi Kanunu’nun 67. maddesinin altıncı fıkrası hükmüne istinaden hazırlanan hukukî mütalaada da tamamen aynı yöndeki tespitlere yer verilmiştir. Hâlen yürürlükte bulunan Türk Ceza Kanunu ile Ceza Muhakemesi Kanunu’nun hazırlık çalışmalarında bizzat görev almış ilim insanlarının ortak değerlendirmesi olan bu mütalaa, isnat edilen suçun unsurlarının yorumlanması bakımından belirleyici niteliktedir (Mütalaa, s. 1).</w:t>
      </w:r>
    </w:p>
    <w:p w:rsidR="000C6FA1" w:rsidRDefault="00CC7211" w:rsidP="00E15DFB">
      <w:pPr>
        <w:pStyle w:val="NormalWeb"/>
        <w:numPr>
          <w:ilvl w:val="0"/>
          <w:numId w:val="1"/>
        </w:numPr>
        <w:tabs>
          <w:tab w:val="clear" w:pos="720"/>
          <w:tab w:val="left" w:pos="426"/>
        </w:tabs>
        <w:ind w:left="0" w:firstLine="0"/>
        <w:jc w:val="both"/>
        <w:rPr>
          <w:rFonts w:ascii="Palatino Linotype" w:hAnsi="Palatino Linotype"/>
          <w:color w:val="000000"/>
          <w:sz w:val="22"/>
          <w:szCs w:val="22"/>
        </w:rPr>
      </w:pPr>
      <w:r w:rsidRPr="000C6FA1">
        <w:rPr>
          <w:rFonts w:ascii="Palatino Linotype" w:hAnsi="Palatino Linotype"/>
          <w:bCs/>
          <w:sz w:val="22"/>
        </w:rPr>
        <w:t>Mütalaada öncelikle, suç işlemek amacıyla kurulmuş örgüte üye olma suçunun oluşabilmesi için intisap edilen yapının suç işlemek amacıyla oluşturulmuş ya da suç işlemek amacına evrilmiş olmasının zorunlu olduğu; bu itibarla “tamamlanmış veya en azından teşebbüs aşamasında kalmış suçlardan soyut olarak suç işlemek amacıyla kurulmuş bir örgütün varlığından söz edilemeyeceği”, aksi bir anlayışın ancak niyet okuma şeklinde tezahür edebileceği açıkça ifade edilmiştir (Mütalaa, s. 2). Bu tespit, “yeniden/güncel yapılanma” iddiasına dayanan isnatlar bakımından ayrıca önem taşımaktadır; zira bir yapının belirli bir dönemde varlığını sürdürdüğü iddiası, o dönemde işlenmiş somut suçlar ortaya konulmadıkça bir suç örgütünün varlığını göstermez.</w:t>
      </w:r>
    </w:p>
    <w:p w:rsidR="000C6FA1" w:rsidRDefault="00CC7211" w:rsidP="00E15DFB">
      <w:pPr>
        <w:pStyle w:val="NormalWeb"/>
        <w:numPr>
          <w:ilvl w:val="0"/>
          <w:numId w:val="1"/>
        </w:numPr>
        <w:tabs>
          <w:tab w:val="clear" w:pos="720"/>
          <w:tab w:val="left" w:pos="426"/>
        </w:tabs>
        <w:ind w:left="0" w:firstLine="0"/>
        <w:jc w:val="both"/>
        <w:rPr>
          <w:rFonts w:ascii="Palatino Linotype" w:hAnsi="Palatino Linotype"/>
          <w:color w:val="000000"/>
          <w:sz w:val="22"/>
          <w:szCs w:val="22"/>
        </w:rPr>
      </w:pPr>
      <w:r w:rsidRPr="000C6FA1">
        <w:rPr>
          <w:rFonts w:ascii="Palatino Linotype" w:hAnsi="Palatino Linotype"/>
          <w:bCs/>
          <w:sz w:val="22"/>
        </w:rPr>
        <w:t xml:space="preserve">Mütalaada, izlenmesi gereken yöntemin tümevarım yöntemi olduğu; bir yapının suç veya terör örgütü vasfını taşıyıp taşımadığının, faaliyeti çerçevesinde işlenen somut suçlardan </w:t>
      </w:r>
      <w:r w:rsidRPr="000C6FA1">
        <w:rPr>
          <w:rFonts w:ascii="Palatino Linotype" w:hAnsi="Palatino Linotype"/>
          <w:bCs/>
          <w:sz w:val="22"/>
        </w:rPr>
        <w:lastRenderedPageBreak/>
        <w:t>hareketle belirlenmesi gerektiği; bu tespitin ise “kişinin örgüt üyeliği suçlamasına maruz bırakıldığı fiillerin icra edildiği tarih itibarıyla” yapılmasının zorunlu olduğu vurgulanmıştır. Buna karşılık uygulamada tümdengelim yönteminin izlendiği, yani önce bir yapının suç örgütü vasfını kazandığı kabul edildikten sonra somut birtakım suçların işlendiğinden söz edildiği tespit edilmiştir (Mütalaa, s. 3).</w:t>
      </w:r>
    </w:p>
    <w:p w:rsidR="00CC7211" w:rsidRPr="000C6FA1" w:rsidRDefault="00CC7211" w:rsidP="00E15DFB">
      <w:pPr>
        <w:pStyle w:val="NormalWeb"/>
        <w:numPr>
          <w:ilvl w:val="0"/>
          <w:numId w:val="1"/>
        </w:numPr>
        <w:tabs>
          <w:tab w:val="clear" w:pos="720"/>
          <w:tab w:val="left" w:pos="426"/>
        </w:tabs>
        <w:ind w:left="0" w:firstLine="0"/>
        <w:jc w:val="both"/>
        <w:rPr>
          <w:rFonts w:ascii="Palatino Linotype" w:hAnsi="Palatino Linotype"/>
          <w:color w:val="000000"/>
          <w:sz w:val="22"/>
          <w:szCs w:val="22"/>
        </w:rPr>
      </w:pPr>
      <w:r w:rsidRPr="000C6FA1">
        <w:rPr>
          <w:rFonts w:ascii="Palatino Linotype" w:hAnsi="Palatino Linotype"/>
          <w:bCs/>
          <w:sz w:val="22"/>
        </w:rPr>
        <w:t>Mütalaada bu yanlış yöntemin sonucu son derece açık bir dille ortaya konulmuştur: örgütten hareketle somut birtakım suçların işlendiği yargısına varılması hâlinde, “insanlığın çok acı tecrübelerle kurtulmaya çalıştığı itham sistemine geri dönülmüş” olacaktır (Mütalaa, s. 2).</w:t>
      </w:r>
    </w:p>
    <w:p w:rsidR="00CC7211" w:rsidRPr="00CC721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AİHM,</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Yasak</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kararında, daha önce salt ByLock kullanımı ekseninde incelediği</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Yalçınkaya</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kararından çok daha geniş, derin ve spesifik bir analiz yapmıştır. Söz konusu dosyada çok daha geniş bir delil yelpazesi temelinde mahkûmiyet kurulmuş olmasına rağmen AİHM, meselenin delil çokluğu değil, "kasıt unsurunun nitelikli ispatı" olduğunu vurgulamış ve</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Yalçınkaya</w:t>
      </w:r>
      <w:r w:rsidRPr="00CC7211">
        <w:rPr>
          <w:rFonts w:ascii="Palatino Linotype" w:hAnsi="Palatino Linotype"/>
          <w:color w:val="000000"/>
          <w:sz w:val="22"/>
          <w:szCs w:val="22"/>
        </w:rPr>
        <w:t>’daki aynı yapısal sorunun devam ettiğini kayda geçirmiştir (§§ 201-202). Bu durum, eylemler ne denli çeşitli olursa olsun, bireysel kastın şüpheye yer bırakmayacak şekilde ispatlanmadan suçun oluşmayacağının en net ilamıdır.</w:t>
      </w:r>
    </w:p>
    <w:p w:rsidR="00CC7211" w:rsidRPr="00CC721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Mahkeme, ilgili kararda eylemlerin zamansal yönü ve türü (örneğin eğitim alanında veya yasal zeminde olması) bakımından manevi unsurun titizlikle değerlendirilmesini önemsemiş; kolektif suçluluk ya da suç ortaklığı (aidiyet/iltisak temelli cezalandırma) yaklaşımını açıkça ve kesin bir dille reddetmiştir. Cezai sorumluluğun tamamen bireysel olarak ve "suç kastıyla" birlikte tespitinin zorunlu olduğu uluslararası hukukun tartışmasız bir kuralı olarak teyit edilmiştir (§§ 202-203).</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 xml:space="preserve">Kararda bilhassa üzerinde durulan en hayati husus, TCK'nın 314. maddesinde düzenlenen suçun mahiyetidir. AİHM'e göre bu suç, sıradan, sivil veya yasadışı faaliyetlerde bulunan herhangi bir yapıya üyeliği değil; doğrudan doğruya "şiddete" başvurmakta olan bir silahlı terör örgütüne üyeliği ilgilendirmektedir. Bu nedenle, </w:t>
      </w:r>
      <w:r w:rsidR="00C57CC9">
        <w:rPr>
          <w:rFonts w:ascii="Palatino Linotype" w:hAnsi="Palatino Linotype"/>
          <w:color w:val="000000"/>
          <w:sz w:val="22"/>
          <w:szCs w:val="22"/>
        </w:rPr>
        <w:t>kişinin</w:t>
      </w:r>
      <w:r w:rsidRPr="00CC7211">
        <w:rPr>
          <w:rFonts w:ascii="Palatino Linotype" w:hAnsi="Palatino Linotype"/>
          <w:color w:val="000000"/>
          <w:sz w:val="22"/>
          <w:szCs w:val="22"/>
        </w:rPr>
        <w:t xml:space="preserve"> amaçları ve "şiddet içeren yöntemlerinden" haberdar olduğunu somut olarak göstermek, cezalandırmanın vazgeçilmez ön koşuludur. AİHM, bir eylemi sadece </w:t>
      </w:r>
      <w:r w:rsidR="00C57CC9">
        <w:rPr>
          <w:rFonts w:ascii="Palatino Linotype" w:hAnsi="Palatino Linotype"/>
          <w:color w:val="000000"/>
          <w:sz w:val="22"/>
          <w:szCs w:val="22"/>
        </w:rPr>
        <w:t xml:space="preserve">yapıyla </w:t>
      </w:r>
      <w:r w:rsidRPr="00CC7211">
        <w:rPr>
          <w:rFonts w:ascii="Palatino Linotype" w:hAnsi="Palatino Linotype"/>
          <w:color w:val="000000"/>
          <w:sz w:val="22"/>
          <w:szCs w:val="22"/>
        </w:rPr>
        <w:t>veya mensuplarıyla temas kurmaktan ya da açıkça suç işleme kastı olmaksızın gerçekleşen aidiyetten ayıran yegane hususun bu "kasıt" olduğunu içtihatlaştırmıştır (§ 203).</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da aynı doğrultuda, örgüt üyeliği suçunun ancak doğrudan kastla işlenebileceği, bu suçun olası kastla işlenmesinin mümkün olmadığı; kişinin bu örgütsel yapıya suç işlemek amacıyla intisap etmiş olması gerektiği ve bu itibarla söz konusu suçun “amaç suç” niteliği taşıdığı belirtilmiştir (Mütalaa, s. 3).</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Mütalaaya göre bu suçtan mahkûmiyet için kişinin ya “intisap edilen </w:t>
      </w:r>
      <w:r w:rsidR="00C57CC9">
        <w:rPr>
          <w:rFonts w:ascii="Palatino Linotype" w:hAnsi="Palatino Linotype"/>
          <w:color w:val="000000"/>
          <w:sz w:val="22"/>
          <w:szCs w:val="22"/>
        </w:rPr>
        <w:t>yapının</w:t>
      </w:r>
      <w:r w:rsidR="00C57CC9" w:rsidRPr="000C6FA1">
        <w:rPr>
          <w:rFonts w:ascii="Palatino Linotype" w:hAnsi="Palatino Linotype"/>
          <w:bCs/>
          <w:sz w:val="22"/>
        </w:rPr>
        <w:t xml:space="preserve"> </w:t>
      </w:r>
      <w:r w:rsidRPr="000C6FA1">
        <w:rPr>
          <w:rFonts w:ascii="Palatino Linotype" w:hAnsi="Palatino Linotype"/>
          <w:bCs/>
          <w:sz w:val="22"/>
        </w:rPr>
        <w:t xml:space="preserve">faaliyeti çerçevesinde veya bağlı olmamakla birlikte </w:t>
      </w:r>
      <w:r w:rsidR="00C57CC9">
        <w:rPr>
          <w:rFonts w:ascii="Palatino Linotype" w:hAnsi="Palatino Linotype"/>
          <w:color w:val="000000"/>
          <w:sz w:val="22"/>
          <w:szCs w:val="22"/>
        </w:rPr>
        <w:t>yapının</w:t>
      </w:r>
      <w:r w:rsidR="00C57CC9" w:rsidRPr="000C6FA1">
        <w:rPr>
          <w:rFonts w:ascii="Palatino Linotype" w:hAnsi="Palatino Linotype"/>
          <w:bCs/>
          <w:sz w:val="22"/>
        </w:rPr>
        <w:t xml:space="preserve"> </w:t>
      </w:r>
      <w:r w:rsidRPr="000C6FA1">
        <w:rPr>
          <w:rFonts w:ascii="Palatino Linotype" w:hAnsi="Palatino Linotype"/>
          <w:bCs/>
          <w:sz w:val="22"/>
        </w:rPr>
        <w:t>korkutucu gücünden yararlanılarak bir suç işlemesi” ya da “</w:t>
      </w:r>
      <w:r w:rsidR="00C57CC9">
        <w:rPr>
          <w:rFonts w:ascii="Palatino Linotype" w:hAnsi="Palatino Linotype"/>
          <w:color w:val="000000"/>
          <w:sz w:val="22"/>
          <w:szCs w:val="22"/>
        </w:rPr>
        <w:t>yapının</w:t>
      </w:r>
      <w:r w:rsidR="00C57CC9" w:rsidRPr="000C6FA1">
        <w:rPr>
          <w:rFonts w:ascii="Palatino Linotype" w:hAnsi="Palatino Linotype"/>
          <w:bCs/>
          <w:sz w:val="22"/>
        </w:rPr>
        <w:t xml:space="preserve"> </w:t>
      </w:r>
      <w:r w:rsidRPr="000C6FA1">
        <w:rPr>
          <w:rFonts w:ascii="Palatino Linotype" w:hAnsi="Palatino Linotype"/>
          <w:bCs/>
          <w:sz w:val="22"/>
        </w:rPr>
        <w:t xml:space="preserve">bünyesindeki hiyerarşik yapıya dahil olmamakla birlikte, </w:t>
      </w:r>
      <w:r w:rsidR="00C57CC9">
        <w:rPr>
          <w:rFonts w:ascii="Palatino Linotype" w:hAnsi="Palatino Linotype"/>
          <w:color w:val="000000"/>
          <w:sz w:val="22"/>
          <w:szCs w:val="22"/>
        </w:rPr>
        <w:t>yapı</w:t>
      </w:r>
      <w:r w:rsidR="00C57CC9">
        <w:rPr>
          <w:rFonts w:ascii="Palatino Linotype" w:hAnsi="Palatino Linotype"/>
          <w:color w:val="000000"/>
          <w:sz w:val="22"/>
          <w:szCs w:val="22"/>
        </w:rPr>
        <w:t>ya</w:t>
      </w:r>
      <w:r w:rsidRPr="000C6FA1">
        <w:rPr>
          <w:rFonts w:ascii="Palatino Linotype" w:hAnsi="Palatino Linotype"/>
          <w:bCs/>
          <w:sz w:val="22"/>
        </w:rPr>
        <w:t xml:space="preserve"> bu özelliğini bilerek ve isteyerek yardım etmesi” gerekmektedir. Mütalaada bu husus tereddüde yer bırakmayacak biçimde ifade edilmiştir: “TCK ve TMK düzenlemeleri, bu fiiller olmadan örgüt üyeliğinden mahkûmiyete asla izin vermemektedir.” (Mütalaa, s. 3-4).</w:t>
      </w:r>
    </w:p>
    <w:p w:rsidR="00CC721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Yine mütalaada, kanun metninde geçen “bilerek” ibaresinin doğrudan kastı ifade ettiği; “isteyerek” ibaresinin ise kişinin iradesinin cebir veya tehdit etkisiyle ifsat edilmemiş olmasını gerektirdiği; ayrıca yardımın, </w:t>
      </w:r>
      <w:r w:rsidR="00C57CC9">
        <w:rPr>
          <w:rFonts w:ascii="Palatino Linotype" w:hAnsi="Palatino Linotype"/>
          <w:color w:val="000000"/>
          <w:sz w:val="22"/>
          <w:szCs w:val="22"/>
        </w:rPr>
        <w:t>yapının</w:t>
      </w:r>
      <w:r w:rsidR="00C57CC9" w:rsidRPr="000C6FA1">
        <w:rPr>
          <w:rFonts w:ascii="Palatino Linotype" w:hAnsi="Palatino Linotype"/>
          <w:bCs/>
          <w:sz w:val="22"/>
        </w:rPr>
        <w:t xml:space="preserve"> </w:t>
      </w:r>
      <w:r w:rsidRPr="000C6FA1">
        <w:rPr>
          <w:rFonts w:ascii="Palatino Linotype" w:hAnsi="Palatino Linotype"/>
          <w:bCs/>
          <w:sz w:val="22"/>
        </w:rPr>
        <w:t>suç işlemek amacını gerçekleştirmeye hizmet eden bir yardım olmasının zorunlu bulunduğu belirtilmiştir (Mütalaa, s. 4). Müvekkile isnat edilen ve sosyal, insani veya eğitsel nitelikteki faaliyetlerin hiçbiri bu tanıma girmemektedir.</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 xml:space="preserve">AİHM, kasıt unsurunun nasıl tespit edileceğine dair ulusal yargı pratiğini incelemiş ve niyet okuyucu varsayımları reddetmiştir. İlgili yapının uzun yıllar boyunca toplumun geniş </w:t>
      </w:r>
      <w:r w:rsidRPr="00CC7211">
        <w:rPr>
          <w:rFonts w:ascii="Palatino Linotype" w:hAnsi="Palatino Linotype"/>
          <w:color w:val="000000"/>
          <w:sz w:val="22"/>
          <w:szCs w:val="22"/>
        </w:rPr>
        <w:lastRenderedPageBreak/>
        <w:t>alanlarına (eğitim, sağlık, finans) yasal olarak nüfuz ettiği gerçeği karşısında; kişilerin, yapının iddia edilen gizli/terörist niyetlerinden haberdar olmadan görünür yapılarıyla temas kurmuş olması hayatın olağan akışının gereğidir. Mahkeme, "kişinin belirli bir görev üstlendiği</w:t>
      </w:r>
      <w:r w:rsidR="00211913">
        <w:rPr>
          <w:rFonts w:ascii="Palatino Linotype" w:hAnsi="Palatino Linotype"/>
          <w:color w:val="000000"/>
          <w:sz w:val="22"/>
          <w:szCs w:val="22"/>
        </w:rPr>
        <w:t xml:space="preserve"> için</w:t>
      </w:r>
      <w:r w:rsidRPr="00CC7211">
        <w:rPr>
          <w:rFonts w:ascii="Palatino Linotype" w:hAnsi="Palatino Linotype"/>
          <w:color w:val="000000"/>
          <w:sz w:val="22"/>
          <w:szCs w:val="22"/>
        </w:rPr>
        <w:t xml:space="preserve"> şiddet kullanımını öngörebileceği" şeklindeki tümevarımcı ve varsayımsal </w:t>
      </w:r>
      <w:r w:rsidRPr="000C6FA1">
        <w:rPr>
          <w:rFonts w:ascii="Palatino Linotype" w:hAnsi="Palatino Linotype"/>
          <w:color w:val="000000"/>
          <w:sz w:val="22"/>
          <w:szCs w:val="22"/>
        </w:rPr>
        <w:t>yaklaşımı Sözleşme'ye aykırı bulmuştur.</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sz w:val="22"/>
        </w:rPr>
        <w:t>Mütalaada da, suç işlemek amacının örgüt mensuplarının ortak amacı olarak belirlenmesi gerektiği; bu itibarla “örgütsel yapı mahiyetindeki bir oluşumun çekirdeğini oluşturan kişiler suç işlemek amacıyla hareket etmekle birlikte, bu oluşumun içinde yer alan ve fakat bu amaçtan habersiz olan kişilerin, suç işlemek amacıyla kurulmuş bir örgüte üye olmaktan sorumlu tutulamayacakları” açıkça ifade edilmiştir (Mütalaa, s. 7).</w:t>
      </w:r>
    </w:p>
    <w:p w:rsidR="00CC7211" w:rsidRP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sz w:val="22"/>
        </w:rPr>
        <w:t>Mütalaada ayrıca, bir sosyal oluşumun bünyesinde kabul gören dinî inanç ve uygulamaların tasvip edilmemesi ve hatta yanlış olarak değerlendirilmesinin mümkün olduğu; ancak somut bir suça sebebiyet vermediği sürece bu durumun ceza hukuku sorumluluğunu ilgilendirmediğinin izahtan vareste bulunduğu belirtilmiştir (Mütalaa, s. 4).</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Büyük Daire, kararında çok önemli bir "zamansal" değerlendirme yapmıştır. İlgili yapının önce idari makamlar, sonra da mahkemeler tarafından 15 Temmuz sonrası terör örgütü olarak tanındığı gerçeği karşısında AİHM; ulusal mahkemelerin, kişinin söz konusu yapı içinde bulunmasının "masum bir katılımla mı" yoksa bilinçli bir "terörist projeye katılma kastıyla mı" olduğunu maddi gerçeklikle açıklamak zorunda olduğunu ifade etmiştir (§ 205).</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da, bir örgütsel yapının suç örgütüne evrilmesinin bir maddi vakıa sorunu olduğu; bir yapının suç veya terör örgütü olarak kabul edilebilmesi için mutlaka faaliyeti çerçevesinde birtakım suçların işlenmiş olması ve yapı içindeki hiyerarşik ilişkinin suç işlemek amacına yönelik olması gerektiği ifade edilmiştir (Mütalaa, s. 4). Bu ölçüt, isnadın hangi döneme ilişkin olduğundan bağımsız olarak geçerlidir.</w:t>
      </w:r>
    </w:p>
    <w:p w:rsidR="00CC721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Bu çerçevede mütalaada, bir yapının Millî Güvenlik Kurulu kararlarıyla suç örgütüne evrildiğini kabul etmenin ve bu karar tarihleri itibarıyla bir terör örgütünün varlığını kabul etmenin “yargı faaliyeti bakımından hiçbir öneminin bulunmadığı” önemle vurgulanmıştır (Mütalaa, s. 5). Nitekim mütalaada, AİHM Büyük Dairesi’nin de ulusal yargıda adeta birer otomatik suç karinesi olarak kurgulanan “milat” tarihlerinin ceza hukuku dogmatiği açısından hiçbir kurucu değer taşımadığını açıkça saptadığı belirtilmiştir (Mütalaa, s. 48-49).</w:t>
      </w:r>
    </w:p>
    <w:p w:rsidR="00CC7211" w:rsidRPr="00CC721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Mahkeme, kişilerin belirli süreçlerden sonra da bağlarını sürdürmesini bir faktör olarak ele almayı kabul etse de, bu durumun kişilere karşı gelişigüzel bir silaha dönüştürülemeyeceğini hükme bağlamıştır. Ulusal mahkemeler, bağlantıyı sürdüren herkes için otomatik suçlu muamelesi yapamaz; icra edilen faaliyetlerin bağlamına bakıp "kasıt" unsurunun gerçekten var olup olmadığını somut olarak incelemek zorundadır (§ 206).</w:t>
      </w:r>
    </w:p>
    <w:p w:rsidR="00CC7211" w:rsidRPr="00CC721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AİHM, kararının 209. paragrafında pozitif bir hukuk kuralı tarif etmiş; yargılama makamlarının yalnızca bir bağlantının varlığını değil, bu bağlantının niteliğini, kişinin şiddet içeren amaçları "bilerek ve isteyerek hareket edip etmediğini" şüpheye mahal bırakmayacak şekilde ispat etmeleri gerektiğini emretmiştir.</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 xml:space="preserve">Sonuç itibarıyla Mahkeme; her ne düzeyde olursa olsun veya hangi görevi yaparsa yapsın "yapı üyesi eşittir terör örgütü üyesi" şeklindeki toptancı anlayışı kökten reddetmiştir. Eylemleri alt alta sıralayıp, bu delillerin kişinin </w:t>
      </w:r>
      <w:r w:rsidR="00C57CC9">
        <w:rPr>
          <w:rFonts w:ascii="Palatino Linotype" w:hAnsi="Palatino Linotype"/>
          <w:color w:val="000000"/>
          <w:sz w:val="22"/>
          <w:szCs w:val="22"/>
        </w:rPr>
        <w:t>yapının iddia edilen nihai</w:t>
      </w:r>
      <w:r w:rsidRPr="00CC7211">
        <w:rPr>
          <w:rFonts w:ascii="Palatino Linotype" w:hAnsi="Palatino Linotype"/>
          <w:color w:val="000000"/>
          <w:sz w:val="22"/>
          <w:szCs w:val="22"/>
        </w:rPr>
        <w:t xml:space="preserve"> amaçlarından "gerçekten haberdar olduğunu" açıklamaya çalışmaksızın kastın varlığına hükmedilmesi 7. maddenin açık ihlali sayılmıştır (§ 211).</w:t>
      </w:r>
    </w:p>
    <w:p w:rsidR="00A06F22"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Mütalaada da, AİHM Büyük Dairesi’nin “sırf belirli bir cemaat yapılanmasına mensubiyetin, sempati duymanın veya yapının meşru/görünür sivil alanlarıyla bağları sürdürmenin tek başına bir suç teşkil etmeyeceğini” sarih bir biçimde kayda geçirdiği </w:t>
      </w:r>
      <w:r w:rsidRPr="000C6FA1">
        <w:rPr>
          <w:rFonts w:ascii="Palatino Linotype" w:hAnsi="Palatino Linotype"/>
          <w:bCs/>
          <w:sz w:val="22"/>
        </w:rPr>
        <w:lastRenderedPageBreak/>
        <w:t>vurgulanmıştır (§ 211). Failin, söz konusu yapının merkezi, kurumsal veya stratejik birimleriyle belirli düzeyde bir irtibatı, iletişimi bulunsa ya da eğitim gibi alanlarda belirli sorumluluklar üstlenmiş olsa dahi, bu yalın olgu kişinin</w:t>
      </w:r>
      <w:r w:rsidR="00C57CC9">
        <w:rPr>
          <w:rFonts w:ascii="Palatino Linotype" w:hAnsi="Palatino Linotype"/>
          <w:bCs/>
          <w:sz w:val="22"/>
        </w:rPr>
        <w:t xml:space="preserve"> yapının iddia edilen</w:t>
      </w:r>
      <w:r w:rsidRPr="000C6FA1">
        <w:rPr>
          <w:rFonts w:ascii="Palatino Linotype" w:hAnsi="Palatino Linotype"/>
          <w:bCs/>
          <w:sz w:val="22"/>
        </w:rPr>
        <w:t xml:space="preserve"> nihai cebir ve şiddet içeren amacını bildiği ve benimsediği anlamına otomatik olarak gelmez (Mütalaa, s. 48-49).</w:t>
      </w:r>
    </w:p>
    <w:p w:rsidR="000C6FA1" w:rsidRP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 xml:space="preserve">Yasak kararıyla bu açıklamalardan sonra bu kararın mevcut dosyaya etkisine </w:t>
      </w:r>
      <w:r w:rsidR="00A06F22">
        <w:rPr>
          <w:rFonts w:ascii="Palatino Linotype" w:hAnsi="Palatino Linotype"/>
          <w:color w:val="000000"/>
          <w:sz w:val="22"/>
          <w:szCs w:val="22"/>
        </w:rPr>
        <w:t>değinmek gerekirse;</w:t>
      </w:r>
      <w:r w:rsidR="000C6FA1">
        <w:rPr>
          <w:rFonts w:ascii="Palatino Linotype" w:hAnsi="Palatino Linotype"/>
          <w:color w:val="000000"/>
          <w:sz w:val="22"/>
          <w:szCs w:val="22"/>
        </w:rPr>
        <w:t xml:space="preserve"> </w:t>
      </w:r>
      <w:r w:rsidRPr="000C6FA1">
        <w:rPr>
          <w:rFonts w:ascii="Palatino Linotype" w:hAnsi="Palatino Linotype"/>
          <w:color w:val="000000"/>
          <w:sz w:val="22"/>
          <w:szCs w:val="22"/>
        </w:rPr>
        <w:t>AİHM’in</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i/>
          <w:iCs/>
          <w:color w:val="000000"/>
          <w:sz w:val="22"/>
          <w:szCs w:val="22"/>
        </w:rPr>
        <w:t>Yalçınkaya</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ve özellikle de</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i/>
          <w:iCs/>
          <w:color w:val="000000"/>
          <w:sz w:val="22"/>
          <w:szCs w:val="22"/>
        </w:rPr>
        <w:t>Yasak</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 xml:space="preserve">içtihadı bağlamında, 15 Temmuz sonrası döneme ilişkin değerlendirmelerde de otomatik bir suç isnadının mümkün olmayacağı açıktır. Her ne kadar bu tarih, güncel durum itibarıyla, </w:t>
      </w:r>
      <w:r w:rsidR="00A06F22" w:rsidRPr="000C6FA1">
        <w:rPr>
          <w:rFonts w:ascii="Palatino Linotype" w:hAnsi="Palatino Linotype"/>
          <w:color w:val="000000"/>
          <w:sz w:val="22"/>
          <w:szCs w:val="22"/>
        </w:rPr>
        <w:t>bu yapının</w:t>
      </w:r>
      <w:r w:rsidRPr="000C6FA1">
        <w:rPr>
          <w:rFonts w:ascii="Palatino Linotype" w:hAnsi="Palatino Linotype"/>
          <w:color w:val="000000"/>
          <w:sz w:val="22"/>
          <w:szCs w:val="22"/>
        </w:rPr>
        <w:t xml:space="preserve"> niteliğine ilişkin değerlendirmelerde bir kırılma noktası olarak dikkate alınabilecek olsa da Mahkeme açısından öncelikle belirleyici olan husus, kişinin bu dönemde </w:t>
      </w:r>
      <w:r w:rsidR="00A06F22" w:rsidRPr="000C6FA1">
        <w:rPr>
          <w:rFonts w:ascii="Palatino Linotype" w:hAnsi="Palatino Linotype"/>
          <w:color w:val="000000"/>
          <w:sz w:val="22"/>
          <w:szCs w:val="22"/>
        </w:rPr>
        <w:t>bu yapının</w:t>
      </w:r>
      <w:r w:rsidRPr="000C6FA1">
        <w:rPr>
          <w:rFonts w:ascii="Palatino Linotype" w:hAnsi="Palatino Linotype"/>
          <w:color w:val="000000"/>
          <w:sz w:val="22"/>
          <w:szCs w:val="22"/>
        </w:rPr>
        <w:t xml:space="preserve"> iddia edilen nihai amacını gerçekten bilip bilmediği ve buna rağmen </w:t>
      </w:r>
      <w:r w:rsidR="00A06F22" w:rsidRPr="000C6FA1">
        <w:rPr>
          <w:rFonts w:ascii="Palatino Linotype" w:hAnsi="Palatino Linotype"/>
          <w:color w:val="000000"/>
          <w:sz w:val="22"/>
          <w:szCs w:val="22"/>
        </w:rPr>
        <w:t>bu yapıyla</w:t>
      </w:r>
      <w:r w:rsidRPr="000C6FA1">
        <w:rPr>
          <w:rFonts w:ascii="Palatino Linotype" w:hAnsi="Palatino Linotype"/>
          <w:color w:val="000000"/>
          <w:sz w:val="22"/>
          <w:szCs w:val="22"/>
        </w:rPr>
        <w:t xml:space="preserve"> bağını bilerek ve isteyerek sürdürüp sürdürmediğidir.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i/>
          <w:iCs/>
          <w:color w:val="000000"/>
          <w:sz w:val="22"/>
          <w:szCs w:val="22"/>
        </w:rPr>
        <w:t>Yasak</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kararının 203. paragrafında atıfta bulunulan ve BM Özel Raportörünün alıntılanan 3. taraf görüşünde (§ 185-187) yer verilen kısımda belirtildiği üzere, silahlı terör örgütü üyeliği suçunun maddi ve manevi unsurları somut olarak ortaya konulmalıdır.</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b/>
          <w:bCs/>
          <w:color w:val="000000"/>
          <w:sz w:val="22"/>
          <w:szCs w:val="22"/>
        </w:rPr>
        <w:t>Maddi unsur bakımından</w:t>
      </w:r>
      <w:r w:rsidRPr="000C6FA1">
        <w:rPr>
          <w:rFonts w:ascii="Palatino Linotype" w:hAnsi="Palatino Linotype"/>
          <w:color w:val="000000"/>
          <w:sz w:val="22"/>
          <w:szCs w:val="22"/>
        </w:rPr>
        <w:t>, bireyin ciddi şiddet içeren bir eylem olarak tanımlanan bir terör eyleminin gerçekleştirilmesine</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b/>
          <w:bCs/>
          <w:color w:val="000000"/>
          <w:sz w:val="22"/>
          <w:szCs w:val="22"/>
        </w:rPr>
        <w:t>doğrudan, önemli ve nesnel olarak tespit edilebilir bir katkı</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sağladığının ortaya konulması gerekmektedir. Buna karşılık, tali nitelikteki davranışlar, insani amaçlı yardımlar, dini amaçlı (dini sohbetler gibi) veya eğitsel faaliyetler ya da dolaylı katkılar tek başına cezai sorumluluğu haklı kılmak için yeterli değildir.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b/>
          <w:bCs/>
          <w:color w:val="000000"/>
          <w:sz w:val="22"/>
          <w:szCs w:val="22"/>
        </w:rPr>
        <w:t>Manevi unsur bakımından</w:t>
      </w:r>
      <w:r w:rsidRPr="000C6FA1">
        <w:rPr>
          <w:rFonts w:ascii="Palatino Linotype" w:hAnsi="Palatino Linotype"/>
          <w:color w:val="000000"/>
          <w:sz w:val="22"/>
          <w:szCs w:val="22"/>
        </w:rPr>
        <w:t xml:space="preserve">, bireyin iddia edilen nihai amacı bildiğinin (yani bu amacın farkında olduğunun) ve ayrıca ilgili yapıyla bağlantılı terör suçunu işleme kastına sahip olduğunun ortaya konulması gerekmektedir. </w:t>
      </w:r>
      <w:r w:rsidR="00FF455E" w:rsidRPr="000C6FA1">
        <w:rPr>
          <w:rFonts w:ascii="Palatino Linotype" w:hAnsi="Palatino Linotype"/>
          <w:color w:val="000000"/>
          <w:sz w:val="22"/>
          <w:szCs w:val="22"/>
        </w:rPr>
        <w:t xml:space="preserve">Özel </w:t>
      </w:r>
      <w:r w:rsidRPr="000C6FA1">
        <w:rPr>
          <w:rFonts w:ascii="Palatino Linotype" w:hAnsi="Palatino Linotype"/>
          <w:color w:val="000000"/>
          <w:sz w:val="22"/>
          <w:szCs w:val="22"/>
        </w:rPr>
        <w:t>Raportör, özellikle bireyin bilgisine ilişkin varsayımlar veya çıkarımlardan genel olarak kaçınılması gerektiğini; bu tür yaklaşımların ispat yükünü tersine çevirme veya sanığı kendisini savunmak zorunda bırakarak gerekçe sunmaya mecbur etme sonucunu doğurabileceği durumlarda ise daha da sorunlu olduğunu açıkça ifade etmiştir.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AİHM tarafından alıntılanan Özel Raportör’ün 3. taraf görüşünde ayrıca, bir örgütün “gizli” ya da kamuya açık olmayan niteliğinin, tek başına suçluluğun yeterli bir kanıtı olarak kabul edilemeyeceğini; özellikle ifade, örgütlenme veya toplanma özgürlüklerinin ciddi biçimde kısıtlandığı bağlamlarda bunun daha da geçerli olduğunu belirtmiştir. Benzer şekilde, karmaşık veya merkeziyetçi bir yapıda yönetsel görevlerin icra edilmesinin, somut ve özel deliller bulunmadıkça, ilgili kişiye o yapının olası terör faaliyetlerine ilişkin bilgi atfedilmesini mümkün kılmayacağını ifade etmiştir.</w:t>
      </w:r>
    </w:p>
    <w:p w:rsidR="000C6FA1" w:rsidRDefault="00FF455E"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 xml:space="preserve">Özel </w:t>
      </w:r>
      <w:r w:rsidR="00CC7211" w:rsidRPr="000C6FA1">
        <w:rPr>
          <w:rFonts w:ascii="Palatino Linotype" w:hAnsi="Palatino Linotype"/>
          <w:color w:val="000000"/>
          <w:sz w:val="22"/>
          <w:szCs w:val="22"/>
        </w:rPr>
        <w:t>Raportör ayrıca, bir yapının “terör örgütü” olarak sınıflandırılmasının, ancak yeterli ve güçlü delillere dayanan ve adil yargılanma güvencelerine uygun şekilde yürütülen yargısal veya idari bir karar sonucunda mümkün olabileceği görüşündedir.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Bu tespitler ışığında, AİHM’nin</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i/>
          <w:iCs/>
          <w:color w:val="000000"/>
          <w:sz w:val="22"/>
          <w:szCs w:val="22"/>
        </w:rPr>
        <w:t>Yasak</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kararında ortaya koyduğu ilkelerin, 15 Temmuz sonrası bağlantılar ve günümüzde</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b/>
          <w:bCs/>
          <w:color w:val="000000"/>
          <w:sz w:val="22"/>
          <w:szCs w:val="22"/>
        </w:rPr>
        <w:t>“güncel yapılanma”</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adı altında yürütülen soruşturma ve yargılamalar bakımından da doğrudan dikkate alınması gerekir. Zira Mahkeme, bu kararında ceza sorumluluğunun otomatik, genelleştirilmiş ve soyut değerlendirmelere dayanamayacağını; aksine her bir kişi bakımından bireyselleştirilmiş, somut ve ikna edici delillerle ortaya konulması gerektiğini vurgulamıştır.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 xml:space="preserve">Bu bağlamda öncelikle şu hususun altı çizilmelidir: </w:t>
      </w:r>
      <w:r w:rsidR="00FF455E" w:rsidRPr="000C6FA1">
        <w:rPr>
          <w:rFonts w:ascii="Palatino Linotype" w:hAnsi="Palatino Linotype"/>
          <w:color w:val="000000"/>
          <w:sz w:val="22"/>
          <w:szCs w:val="22"/>
        </w:rPr>
        <w:t>bu yapının</w:t>
      </w:r>
      <w:r w:rsidRPr="000C6FA1">
        <w:rPr>
          <w:rFonts w:ascii="Palatino Linotype" w:hAnsi="Palatino Linotype"/>
          <w:color w:val="000000"/>
          <w:sz w:val="22"/>
          <w:szCs w:val="22"/>
        </w:rPr>
        <w:t xml:space="preserve"> 15 Temmuz olaylarıyla ilişkisi ve iddia edilen “terörist” niteliği, bağımsız ve yeterli güvencelere sahip bir yargısal süreçte açık, ikna edici ve denetlenebilir biçimde ortaya konulmamışsa, bireylerin bu niteliği </w:t>
      </w:r>
      <w:r w:rsidRPr="000C6FA1">
        <w:rPr>
          <w:rFonts w:ascii="Palatino Linotype" w:hAnsi="Palatino Linotype"/>
          <w:color w:val="000000"/>
          <w:sz w:val="22"/>
          <w:szCs w:val="22"/>
        </w:rPr>
        <w:lastRenderedPageBreak/>
        <w:t xml:space="preserve">bildiğinin varsayılması mümkün değildir. Nitekim Birleşmiş Milletler Özel Raportörleri de </w:t>
      </w:r>
      <w:r w:rsidR="00FF455E" w:rsidRPr="000C6FA1">
        <w:rPr>
          <w:rFonts w:ascii="Palatino Linotype" w:hAnsi="Palatino Linotype"/>
          <w:color w:val="000000"/>
          <w:sz w:val="22"/>
          <w:szCs w:val="22"/>
        </w:rPr>
        <w:t>bu yapının</w:t>
      </w:r>
      <w:r w:rsidRPr="000C6FA1">
        <w:rPr>
          <w:rFonts w:ascii="Palatino Linotype" w:hAnsi="Palatino Linotype"/>
          <w:color w:val="000000"/>
          <w:sz w:val="22"/>
          <w:szCs w:val="22"/>
        </w:rPr>
        <w:t xml:space="preserve"> terör örgütü olarak tanımlanma sürecinin usuli güvencelere ve uluslararası kabul görmüş model terör tanımına uygun olmadığını 2024 ve 2025 yılındaki iki iletişim mektubunda vurgulamışlardır. Bu tespitler, </w:t>
      </w:r>
      <w:r w:rsidR="00FF455E" w:rsidRPr="000C6FA1">
        <w:rPr>
          <w:rFonts w:ascii="Palatino Linotype" w:hAnsi="Palatino Linotype"/>
          <w:color w:val="000000"/>
          <w:sz w:val="22"/>
          <w:szCs w:val="22"/>
        </w:rPr>
        <w:t>yapının</w:t>
      </w:r>
      <w:r w:rsidRPr="000C6FA1">
        <w:rPr>
          <w:rFonts w:ascii="Palatino Linotype" w:hAnsi="Palatino Linotype"/>
          <w:color w:val="000000"/>
          <w:sz w:val="22"/>
          <w:szCs w:val="22"/>
        </w:rPr>
        <w:t xml:space="preserve"> iddia edilen “terörist” karakterinin bireyler bakımından öngörülebilirliğini ciddi şekilde tartışmalı hale getirmektedir.</w:t>
      </w:r>
    </w:p>
    <w:p w:rsid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Bu durum, 15 Temmuz sonrası döneme ilişkin değerlendirmelerde daha da kritik hale gelmektedir. Zira öngörülebilirliği tartışmalı olan bir nitelendirmeden hareketle bireylere bilgi ve kast atfedilmesi, hem ceza hukukunun temel ilkeleriyle hem de Birleşmiş Milletler Özel Raportörü tarafından ortaya konulan standartlarla bağdaşmamaktadır.</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i/>
          <w:iCs/>
          <w:color w:val="000000"/>
          <w:sz w:val="22"/>
          <w:szCs w:val="22"/>
        </w:rPr>
        <w:t>Yasak</w:t>
      </w:r>
      <w:r w:rsidRPr="000C6FA1">
        <w:rPr>
          <w:rStyle w:val="apple-converted-space"/>
          <w:rFonts w:ascii="Palatino Linotype" w:eastAsiaTheme="majorEastAsia" w:hAnsi="Palatino Linotype"/>
          <w:color w:val="000000"/>
          <w:sz w:val="22"/>
          <w:szCs w:val="22"/>
        </w:rPr>
        <w:t> </w:t>
      </w:r>
      <w:r w:rsidRPr="000C6FA1">
        <w:rPr>
          <w:rFonts w:ascii="Palatino Linotype" w:hAnsi="Palatino Linotype"/>
          <w:color w:val="000000"/>
          <w:sz w:val="22"/>
          <w:szCs w:val="22"/>
        </w:rPr>
        <w:t>kararında da kabul edildiği ve Raportörün açıkça belirttiği üzere, bireyin cezai sorumluluğu ancak maddi ve manevi unsurların somut ve bireyselleştirilmiş şekilde ispatı ile mümkündür.</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 xml:space="preserve">Kaldı ki, tartışma bir an için </w:t>
      </w:r>
      <w:r w:rsidR="00FF455E" w:rsidRPr="000C6FA1">
        <w:rPr>
          <w:rFonts w:ascii="Palatino Linotype" w:hAnsi="Palatino Linotype"/>
          <w:color w:val="000000"/>
          <w:sz w:val="22"/>
          <w:szCs w:val="22"/>
        </w:rPr>
        <w:t>bu yapının</w:t>
      </w:r>
      <w:r w:rsidRPr="000C6FA1">
        <w:rPr>
          <w:rFonts w:ascii="Palatino Linotype" w:hAnsi="Palatino Linotype"/>
          <w:color w:val="000000"/>
          <w:sz w:val="22"/>
          <w:szCs w:val="22"/>
        </w:rPr>
        <w:t xml:space="preserve"> usule uygun, yeterli delillere dayalı ve adil yargılanma güvencelerine riayet edilerek “terör örgütü” olarak nitelendirildiği varsayımı üzerinden yürütülse dahi, bu durum bireysel cezai sorumluluğun otomatik olarak doğduğu anlamına gelmez. Bir yapının terör örgütü olarak kabul edilmesi, yalnızca ceza hukuku değerlendirmesinin başlangıç noktasını oluşturabilir; ancak her bir kişi bakımından suçun maddi ve manevi unsurlarının ayrıca, somut ve bireyselleştirilmiş şekilde araştırılması zorunluluğunu ortadan kaldırmaz. Dolayısıyla belirleyici olan, kişinin bu yapıyla herhangi bir bağlantısının bulunup bulunmadığı değil; bu bağlantının niteliği, kişinin yapının şiddet içeren amaçlarını fiilen bilip bilmediği ve bu amaçlara doğrudan, önemli ve nesnel olarak tespit edilebilir bir katkı sunup sunmadığıdır.</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bu hususta önemli bir ölçüt daha ortaya konulmuştur: bir örgütlenme bünyesinde gayrimeşru faaliyet icra edilmiş ve hatta bu faaliyet çerçevesinde suç işlenmiş olsa bile, başvurulacak ilk çare o örgütlenmenin hukuki varlığına son vermek değil, bünyesindeki gayrimeşru faaliyetin sonlandırılmasını sağlamak ve suç işlenmesini önlemek olmalıdır; bir örgütlenmenin hukuki varlığına ancak son çare olarak ve ancak mahkeme kararıyla son verilebilir (Mütalaa, s. 7).</w:t>
      </w:r>
    </w:p>
    <w:p w:rsidR="000C6FA1" w:rsidRPr="000C6FA1" w:rsidRDefault="00CC7211" w:rsidP="000C6FA1">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karşılaştırmalı hukuk bakımından da belirleyici bir tespite yer verilmiştir: Avrupa Birliği üyesi devletlerde, bu tür oluşumların mensuplarıyla ilgili yargılamalarda mahkemeler, münhasıran oluşum adının terör listelerinde yer almasını, o oluşumun “terör örgütü”, mensuplarının da “terörist” olarak kabulü için dayanak ittihaz etmemekte; yapılan yargılamalarda kişilerin esasen suç oluşturan faaliyetleri göz önünde bulundurulmaktadır (Mütalaa, s. 8).</w:t>
      </w:r>
    </w:p>
    <w:p w:rsidR="00CC7211" w:rsidRPr="000C6FA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Bu çerçevede, 15 Temmuz sonrası soruşturma ve yargılamalarda yalnızca kişinin belirli bir yapıyla bağlantısının sürdürülmüş olması, hatta bu bağlantının güncel döneme uzandığının ileri sürülmesi dahi tek başına mahkûmiyet için yeterli kabul edilemez. Aksine, her bir dosyada (ve bilhassa işbu yargılamada) şu hususların ayrıca ve açıkça ortaya konulması gerekmektedir:</w:t>
      </w:r>
    </w:p>
    <w:p w:rsidR="00CC7211" w:rsidRPr="00CC7211" w:rsidRDefault="00FF455E" w:rsidP="00E15DFB">
      <w:pPr>
        <w:pStyle w:val="NormalWeb"/>
        <w:numPr>
          <w:ilvl w:val="0"/>
          <w:numId w:val="3"/>
        </w:numPr>
        <w:tabs>
          <w:tab w:val="left" w:pos="426"/>
        </w:tabs>
        <w:ind w:left="0" w:firstLine="0"/>
        <w:jc w:val="both"/>
        <w:rPr>
          <w:rFonts w:ascii="Palatino Linotype" w:hAnsi="Palatino Linotype"/>
          <w:color w:val="000000"/>
          <w:sz w:val="22"/>
          <w:szCs w:val="22"/>
        </w:rPr>
      </w:pPr>
      <w:r>
        <w:rPr>
          <w:rFonts w:ascii="Palatino Linotype" w:hAnsi="Palatino Linotype"/>
          <w:color w:val="000000"/>
          <w:sz w:val="22"/>
          <w:szCs w:val="22"/>
        </w:rPr>
        <w:t>Müvekkilin</w:t>
      </w:r>
      <w:r w:rsidR="00CC7211" w:rsidRPr="00CC7211">
        <w:rPr>
          <w:rFonts w:ascii="Palatino Linotype" w:hAnsi="Palatino Linotype"/>
          <w:color w:val="000000"/>
          <w:sz w:val="22"/>
          <w:szCs w:val="22"/>
        </w:rPr>
        <w:t xml:space="preserve">, </w:t>
      </w:r>
      <w:r w:rsidR="00D164E9">
        <w:rPr>
          <w:rFonts w:ascii="Palatino Linotype" w:hAnsi="Palatino Linotype"/>
          <w:color w:val="000000"/>
          <w:sz w:val="22"/>
          <w:szCs w:val="22"/>
        </w:rPr>
        <w:t>yapının iddia edilen</w:t>
      </w:r>
      <w:r w:rsidR="00CC7211" w:rsidRPr="00CC7211">
        <w:rPr>
          <w:rFonts w:ascii="Palatino Linotype" w:hAnsi="Palatino Linotype"/>
          <w:color w:val="000000"/>
          <w:sz w:val="22"/>
          <w:szCs w:val="22"/>
        </w:rPr>
        <w:t xml:space="preserve"> şiddet içeren faaliyetlerine doğrudan, önemli ve nesnel olarak tespit edilebilir bir katkı sunup sunmadığı,</w:t>
      </w:r>
    </w:p>
    <w:p w:rsidR="00CC7211" w:rsidRPr="00CC7211" w:rsidRDefault="00CC7211" w:rsidP="00E15DFB">
      <w:pPr>
        <w:pStyle w:val="NormalWeb"/>
        <w:numPr>
          <w:ilvl w:val="0"/>
          <w:numId w:val="3"/>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Bu katkının yalnızca tali, dolaylı, sosyal, insani veya eğitsel faaliyetler düzeyinde kalıp kalmadığı,</w:t>
      </w:r>
    </w:p>
    <w:p w:rsidR="00CC7211" w:rsidRPr="00CC7211" w:rsidRDefault="00FF455E" w:rsidP="00E15DFB">
      <w:pPr>
        <w:pStyle w:val="NormalWeb"/>
        <w:numPr>
          <w:ilvl w:val="0"/>
          <w:numId w:val="3"/>
        </w:numPr>
        <w:tabs>
          <w:tab w:val="left" w:pos="426"/>
        </w:tabs>
        <w:ind w:left="0" w:firstLine="0"/>
        <w:jc w:val="both"/>
        <w:rPr>
          <w:rFonts w:ascii="Palatino Linotype" w:hAnsi="Palatino Linotype"/>
          <w:color w:val="000000"/>
          <w:sz w:val="22"/>
          <w:szCs w:val="22"/>
        </w:rPr>
      </w:pPr>
      <w:r>
        <w:rPr>
          <w:rFonts w:ascii="Palatino Linotype" w:hAnsi="Palatino Linotype"/>
          <w:color w:val="000000"/>
          <w:sz w:val="22"/>
          <w:szCs w:val="22"/>
        </w:rPr>
        <w:t>C</w:t>
      </w:r>
      <w:r w:rsidR="00CC7211" w:rsidRPr="00CC7211">
        <w:rPr>
          <w:rFonts w:ascii="Palatino Linotype" w:hAnsi="Palatino Linotype"/>
          <w:color w:val="000000"/>
          <w:sz w:val="22"/>
          <w:szCs w:val="22"/>
        </w:rPr>
        <w:t>ebir ve şiddet içerdiği iddia edilen amaçlarını fiilen bildiği ve buna rağmen hareket ettiği,</w:t>
      </w:r>
    </w:p>
    <w:p w:rsidR="00CC7211" w:rsidRPr="00CC7211" w:rsidRDefault="00CC7211" w:rsidP="00E15DFB">
      <w:pPr>
        <w:pStyle w:val="NormalWeb"/>
        <w:numPr>
          <w:ilvl w:val="0"/>
          <w:numId w:val="3"/>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Bağlantının pasif bir aidiyetin ötesine geçerek bilinçli, işlevsel ve suçun icrasına yönelik bir katılım niteliği taşıyıp taşımadığı.</w:t>
      </w:r>
    </w:p>
    <w:p w:rsidR="00CC7211" w:rsidRPr="00CC7211" w:rsidRDefault="00CC7211" w:rsidP="000C6FA1">
      <w:pPr>
        <w:pStyle w:val="NormalWeb"/>
        <w:numPr>
          <w:ilvl w:val="0"/>
          <w:numId w:val="1"/>
        </w:numPr>
        <w:tabs>
          <w:tab w:val="left" w:pos="142"/>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lastRenderedPageBreak/>
        <w:t>Bu unsurlar ortaya konulmadığı sürece, yalnızca süreklilik arz eden bir ilişki, irtibatın devam ettiği iddiası veya soyut bağlantıdan hareketle cezai sorumluluk tesis edilmesi hem AİHM içtihadı hem de uluslararası insan hakları standartlarıyla açıkça çelişecektir.</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Özellikle “örgütle bağın kesilmemesi”, “irtibatın devam etmesi” veya “güncel yapılanma içinde yer alma” şeklindeki gerekçelendirmeler, tek başına suçun maddi unsurunu karşılamadığı gibi, manevi unsur bakımından gerekli olan kastın varlığını da ortaya koymaz. Bu tür yaklaşımlar, esasen bireyin bilgi ve niyetine ilişkin varsayımsal çıkarımlara dayanmakta ve fiilen ispat yükünü tersine çevirmektedir.</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Bu değerlendirme, mütalaadaki tespitlerle de birebir örtüşmektedir. Mütalaaya göre ceza sorumluluğu ancak kanunda tanımlanan statüler bakımından doğabilir; kurucu, yönetici, üye, örgüt adına suç işlemek, örgüte yardım etmek ve propagandasını yapmak dışında bir ilişki biçimi yaptırım uygulanmasını gerektirmez. “Sempatizan, radikal, köktenci, irtibatlı” gibi terimler ise ceza hukuku sistemimizde sorumluluk doğuracak bir temellendirme veya gerekçelendirmeye esas alınamaz. Bu, suçta ve cezada kanunilik ilkesinin doğal bir sonucudur (Mütalaa, s. 66).</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Mütalaada, failin </w:t>
      </w:r>
      <w:r w:rsidR="000C6FA1" w:rsidRPr="000C6FA1">
        <w:rPr>
          <w:rFonts w:ascii="Palatino Linotype" w:hAnsi="Palatino Linotype"/>
          <w:bCs/>
          <w:sz w:val="22"/>
        </w:rPr>
        <w:t>yapının iddia eidlen</w:t>
      </w:r>
      <w:r w:rsidRPr="000C6FA1">
        <w:rPr>
          <w:rFonts w:ascii="Palatino Linotype" w:hAnsi="Palatino Linotype"/>
          <w:bCs/>
          <w:sz w:val="22"/>
        </w:rPr>
        <w:t xml:space="preserve"> nihai cebir ve şiddet içeren amacını bildiği ve benimsediği bağımsız olgularla kanıtlanmadıkça, bu nitelikteki kriterlerin “kitlesel bir kümeleme mantığıyla ‘tamamlayıcı delil’ adı altında” cezalandırmaya gerekçe yapılmasının, AİHS m. 7’nin ihlaliyle malul olan toptancı yaklaşımın farklı bir kılıf altında yeniden üretilmesinden ibaret olduğu belirtilmiştir (Mütalaa, s. 50).</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Nitekim mütalaada, Anayasa Mahkemesi’nin M.G. ve Hüda Kaya kararlarına atıfla; içeriği belli olmayan görüşme verilerinin, detaylandırılmamış HTS kayıtlarının, cemaate ait evlerde kalmanın veya sohbetlere katılmanın, kapatılan sendikaya üyeliğin ve banka hesabı bulundurmanın, </w:t>
      </w:r>
      <w:r w:rsidR="00D164E9">
        <w:rPr>
          <w:rFonts w:ascii="Palatino Linotype" w:hAnsi="Palatino Linotype"/>
          <w:bCs/>
          <w:sz w:val="22"/>
        </w:rPr>
        <w:t>‘’</w:t>
      </w:r>
      <w:r w:rsidRPr="000C6FA1">
        <w:rPr>
          <w:rFonts w:ascii="Palatino Linotype" w:hAnsi="Palatino Linotype"/>
          <w:bCs/>
          <w:sz w:val="22"/>
        </w:rPr>
        <w:t>örgütsel</w:t>
      </w:r>
      <w:r w:rsidR="00D164E9">
        <w:rPr>
          <w:rFonts w:ascii="Palatino Linotype" w:hAnsi="Palatino Linotype"/>
          <w:bCs/>
          <w:sz w:val="22"/>
        </w:rPr>
        <w:t>’’</w:t>
      </w:r>
      <w:r w:rsidRPr="000C6FA1">
        <w:rPr>
          <w:rFonts w:ascii="Palatino Linotype" w:hAnsi="Palatino Linotype"/>
          <w:bCs/>
          <w:sz w:val="22"/>
        </w:rPr>
        <w:t xml:space="preserve"> talimatla gerçekleştiği ortaya konulmadıkça kuvvetli suç belirtisi dahi oluşturmayacağı kaydedilmiştir (Mütalaa, s. 51-52).</w:t>
      </w:r>
    </w:p>
    <w:p w:rsidR="00CC721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Aynı şekilde AİHM’in Çakar ve diğerleri/Türkiye ile Yaman ve diğerleri/Türkiye kararlarında, bu nitelikteki eylemlerin “yalnızca dolaylı nitelikte” olduğu, ek deliller bulunmadıkça isnat edilen suçun işlendiğine dair makul bir şüphe dahi doğuramayacağı ve hukuka uygunluk karinesinden yararlandığı vurgulanmıştır. Mütalaanın isabetle belirttiği üzere, “tutuklama için gereken şüphe düzeyini karşılamayan bir delilin hüküm için de yetmeyeceği açıktır.” (Mütalaa, s. 50-51).</w:t>
      </w:r>
    </w:p>
    <w:p w:rsidR="00CC7211" w:rsidRPr="00CC7211" w:rsidRDefault="00CC7211" w:rsidP="000C6FA1">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Dahası, 15 Temmuz sonrası dönemde bu yapının yapısal bütünlüğünün ve eylem kapasitesinin ne ölçüde devam ettiği, somut şiddet eyleminde bulunup bulunmadığının veya şiddet eylemleriyle bağlantısının bulunup bulunmadığı ve isnat edilen bağlantının bu eylemlerle nasıl ilişkilendirildiği her somut olayda ayrıca incelenmelidir. Bir yapının faaliyet kapasitesinin büyük ölçüde dağıtıldığı veya en azından somut olası şiddet eylemleriyle bağlantısının gösterilemediği bir dönemde, bağlantının sürdürülmesi tek başına “terör örgütü üyeliği” suçunun unsurlarını karşılamaz.</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 xml:space="preserve">Zira AİHM, “bilmesi gerekirdi” şeklindeki varsayımsal yaklaşımları yeterli görmemekte; aksine, silahlı terör örgütü üyeliği suçunun hem maddi hem de manevi unsurunun her bir birey bakımından somut, bireyselleştirilmiş ve ikna edici delillerle ispatlanmasını zorunlu kılmaktadır. Nitekim AİHM bir </w:t>
      </w:r>
      <w:r w:rsidR="00D164E9">
        <w:rPr>
          <w:rFonts w:ascii="Palatino Linotype" w:hAnsi="Palatino Linotype"/>
          <w:color w:val="000000"/>
          <w:sz w:val="22"/>
          <w:szCs w:val="22"/>
        </w:rPr>
        <w:t>yapıta</w:t>
      </w:r>
      <w:r w:rsidRPr="00CC7211">
        <w:rPr>
          <w:rFonts w:ascii="Palatino Linotype" w:hAnsi="Palatino Linotype"/>
          <w:color w:val="000000"/>
          <w:sz w:val="22"/>
          <w:szCs w:val="22"/>
        </w:rPr>
        <w:t xml:space="preserve"> ve onun şiddet içeren amaçlarına yönelik gerçek bir bağlılığın, salt temas durumlarından veya açıkça ortaya konulmuş bir suç kastı bulunmaksızın gerçekleşen ilişki ya da irtibattan ayırt edilmesini zorunlu görmektedir (§ 203).</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 xml:space="preserve">Mütalaada, dijital delillerin “yapısı gereği tahribata, hasara, değiştirilmeye ve manipülasyona daha açık” olduğu; sanığın ham verilerden haberdar edilmesi ve mümkün olduğu ölçüde bu verilerin sanığa verilmesi, ham verilerin doğruluk ve güvenilirliğinin </w:t>
      </w:r>
      <w:r w:rsidRPr="000C6FA1">
        <w:rPr>
          <w:rFonts w:ascii="Palatino Linotype" w:hAnsi="Palatino Linotype"/>
          <w:bCs/>
          <w:sz w:val="22"/>
        </w:rPr>
        <w:lastRenderedPageBreak/>
        <w:t>ortaya konulabilmesi için bağımsız bilirkişi incelemesi yaptırılması, savunmanın itirazlarının yeterli ve ilgili gerekçelerle karşılanarak silahların eşitliği ve çelişmeli yargılama ilkelerinin güvence altına alınması gerektiği belirtilmiştir (Mütalaa, s. 33-35 ve s. 69). Yargılama dışı tespitler tek başına hükme esas alınamaz; her dosyada bireyselleştirilmiş bir değerlendirme yapılması zorunludur.</w:t>
      </w:r>
    </w:p>
    <w:p w:rsidR="000C6FA1" w:rsidRDefault="00CC7211" w:rsidP="00E15DFB">
      <w:pPr>
        <w:pStyle w:val="NormalWeb"/>
        <w:numPr>
          <w:ilvl w:val="0"/>
          <w:numId w:val="1"/>
        </w:numPr>
        <w:tabs>
          <w:tab w:val="left" w:pos="426"/>
        </w:tabs>
        <w:ind w:left="0" w:firstLine="0"/>
        <w:jc w:val="both"/>
        <w:rPr>
          <w:rFonts w:ascii="Palatino Linotype" w:hAnsi="Palatino Linotype"/>
          <w:color w:val="000000"/>
          <w:sz w:val="22"/>
          <w:szCs w:val="22"/>
        </w:rPr>
      </w:pPr>
      <w:r w:rsidRPr="000C6FA1">
        <w:rPr>
          <w:rFonts w:ascii="Palatino Linotype" w:hAnsi="Palatino Linotype"/>
          <w:color w:val="000000"/>
          <w:sz w:val="22"/>
          <w:szCs w:val="22"/>
        </w:rPr>
        <w:t>Tüm bu kapsamlı uluslararası içtihatlar ve fiili gerçekler karşısında; müvekkilin "güncel/yeniden yapılanma" adı altında yargılandığı bu dosyada, isnat edilen eylemler şiddetten, cebirden ve terör saikinden tamamen uzaktır. Müvekkilin, yasadışı şiddet eylemlerine doğrudan veya dolaylı hiçbir katkısı bulunmadığı gibi, iddia edilen nihai amaçları bildiğine ve benimsediğine dair hiçbir hukuki, somut ve bireyselleştirilmiş delil mevcut değildir. Salt "irtibat", "hayırseverlik" veya "sosyal ilişki", modern ceza hukukunda silahlı terör örgütü üyeliği olarak nitelendirilemez.</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anılan AİHM kararlarının “yarı-pilot” (quasi-pilot), diğer bir ifadeyle “madde 46 kararları” niteliğinde olduğu ve bu tür kararlar bakımından bağlayıcılığın aynen geçerli bulunduğu; dosyası hâlen derece mahkemeleri önünde bulunan kişiler bakımından ise “sözcüğün tam anlamıyla dikkate alma yükümlülüğü”nün söz konusu olduğu belirtilmiştir. Anayasa m. 90/5 hükmü bir zımnî ilga kuralı olup, temel hak ve özgürlüklere ilişkin sözleşme hükümleriyle çatışan kanun hükümlerinin uygulanma kabiliyetini ortadan kaldırmaktadır (Mütalaa, s. 43-44 ve s. 46).</w:t>
      </w:r>
    </w:p>
    <w:p w:rsidR="000C6FA1"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Mütalaada ayrıca, AİHM’in sistematik ve yapısal sorun saptadığı kararların yalnızca münferit başvuranla sınırlı kalmayan objektif bir etkiye sahip olduğu; Türk yargısının, henüz münferit bir ihlal kararı almamış ancak aynı hukuki nitelendirme hatasıyla malul olan tüm derdest dosyalarda da Yalçınkaya ve Yasak standartlarını re’sen uygulamakla yükümlü bulunduğu belirtilmiştir (Mütalaa, s. 70).</w:t>
      </w:r>
    </w:p>
    <w:p w:rsidR="00E15DFB" w:rsidRPr="000C6FA1" w:rsidRDefault="00CC7211" w:rsidP="00E15DFB">
      <w:pPr>
        <w:pStyle w:val="NormalWeb"/>
        <w:numPr>
          <w:ilvl w:val="0"/>
          <w:numId w:val="1"/>
        </w:numPr>
        <w:tabs>
          <w:tab w:val="left" w:pos="426"/>
        </w:tabs>
        <w:ind w:left="0" w:firstLine="0"/>
        <w:jc w:val="both"/>
        <w:rPr>
          <w:rFonts w:ascii="Palatino Linotype" w:hAnsi="Palatino Linotype"/>
          <w:bCs/>
          <w:color w:val="000000"/>
          <w:sz w:val="22"/>
          <w:szCs w:val="22"/>
        </w:rPr>
      </w:pPr>
      <w:r w:rsidRPr="000C6FA1">
        <w:rPr>
          <w:rFonts w:ascii="Palatino Linotype" w:hAnsi="Palatino Linotype"/>
          <w:bCs/>
          <w:sz w:val="22"/>
        </w:rPr>
        <w:t>Mütalaanın vardığı sonuç açıktır</w:t>
      </w:r>
      <w:r w:rsidR="000C6FA1" w:rsidRPr="000C6FA1">
        <w:rPr>
          <w:rFonts w:ascii="Palatino Linotype" w:hAnsi="Palatino Linotype"/>
          <w:bCs/>
          <w:sz w:val="22"/>
        </w:rPr>
        <w:t xml:space="preserve"> ve</w:t>
      </w:r>
      <w:r w:rsidRPr="000C6FA1">
        <w:rPr>
          <w:rFonts w:ascii="Palatino Linotype" w:hAnsi="Palatino Linotype"/>
          <w:bCs/>
          <w:sz w:val="22"/>
        </w:rPr>
        <w:t xml:space="preserve"> bu nitelikteki isnatların bulunduğu vakalarda konunun basit bir biçimsel usul olarak görülmeyip esastan incelenmesi ve beraat kararı verilmesi gerekmektedir. Zira anılan delillerin manipülasyona açık niteliği ve seçici/tutarsız uygulaması, bu delillerden türetilecek çıkarımları da kuşkulu hâle getirmekte olup, şüpheden sanık yararlanır (in dubio pro reo) ilkesi gereğince “beraat” kararı kaçınılmaz görünmektedir (Mütalaa, s. 62).</w:t>
      </w:r>
    </w:p>
    <w:p w:rsidR="00CC7211" w:rsidRPr="00CC7211" w:rsidRDefault="00CC7211" w:rsidP="00E15DFB">
      <w:pPr>
        <w:pStyle w:val="NormalWeb"/>
        <w:tabs>
          <w:tab w:val="left" w:pos="426"/>
        </w:tabs>
        <w:jc w:val="both"/>
        <w:rPr>
          <w:rFonts w:ascii="Palatino Linotype" w:hAnsi="Palatino Linotype"/>
          <w:color w:val="000000"/>
          <w:sz w:val="22"/>
          <w:szCs w:val="22"/>
        </w:rPr>
      </w:pPr>
      <w:r w:rsidRPr="00CC7211">
        <w:rPr>
          <w:rFonts w:ascii="Palatino Linotype" w:hAnsi="Palatino Linotype"/>
          <w:b/>
          <w:bCs/>
          <w:color w:val="000000"/>
          <w:sz w:val="22"/>
          <w:szCs w:val="22"/>
        </w:rPr>
        <w:t>SONUÇ VE İSTEM :</w:t>
      </w:r>
    </w:p>
    <w:p w:rsidR="00CC7211" w:rsidRPr="00CC7211" w:rsidRDefault="00CC7211" w:rsidP="00E15DFB">
      <w:pPr>
        <w:pStyle w:val="NormalWeb"/>
        <w:tabs>
          <w:tab w:val="left" w:pos="426"/>
        </w:tabs>
        <w:jc w:val="both"/>
        <w:rPr>
          <w:rFonts w:ascii="Palatino Linotype" w:hAnsi="Palatino Linotype"/>
          <w:color w:val="000000"/>
          <w:sz w:val="22"/>
          <w:szCs w:val="22"/>
        </w:rPr>
      </w:pPr>
      <w:r w:rsidRPr="00CC7211">
        <w:rPr>
          <w:rFonts w:ascii="Palatino Linotype" w:hAnsi="Palatino Linotype"/>
          <w:color w:val="000000"/>
          <w:sz w:val="22"/>
          <w:szCs w:val="22"/>
        </w:rPr>
        <w:t>Yukarıda ayrıntılarıyla arz ve izah edilen ve sayın Mahkemenizce re'sen nazara alınacak nedenlerle;</w:t>
      </w:r>
    </w:p>
    <w:p w:rsidR="00CC7211" w:rsidRPr="00CC7211" w:rsidRDefault="00CC7211" w:rsidP="00E15DFB">
      <w:pPr>
        <w:pStyle w:val="NormalWeb"/>
        <w:tabs>
          <w:tab w:val="left" w:pos="426"/>
        </w:tabs>
        <w:jc w:val="both"/>
        <w:rPr>
          <w:rFonts w:ascii="Palatino Linotype" w:hAnsi="Palatino Linotype"/>
          <w:color w:val="000000"/>
          <w:sz w:val="22"/>
          <w:szCs w:val="22"/>
        </w:rPr>
      </w:pPr>
      <w:r w:rsidRPr="00CC7211">
        <w:rPr>
          <w:rFonts w:ascii="Palatino Linotype" w:hAnsi="Palatino Linotype"/>
          <w:color w:val="000000"/>
          <w:sz w:val="22"/>
          <w:szCs w:val="22"/>
        </w:rPr>
        <w:t>Anayasa'nın 90. maddesi uyarınca iç hukukumuzun amir ve ayrılmaz bir parçası olan Avrupa İnsan Hakları Mahkemesi Büyük Dairesi'nin</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i/>
          <w:iCs/>
          <w:color w:val="000000"/>
          <w:sz w:val="22"/>
          <w:szCs w:val="22"/>
        </w:rPr>
        <w:t>Yasak v. Türkiye</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kararı, söz konusu kararda ortaya konulan Sözleşme'nin 7. maddesi standartları ve Birleşmiş Milletler Özel Raportörlerinin raporları ışığında; müvekkile atfedilen güncel döneme ait fiillerin TCK md. 314/2 anlamında silahlı terör örgütü üyeliği suçunun</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b/>
          <w:bCs/>
          <w:color w:val="000000"/>
          <w:sz w:val="22"/>
          <w:szCs w:val="22"/>
        </w:rPr>
        <w:t>"maddi (şiddete doğrudan, nesnel ve önemli katkı)"</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ve</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b/>
          <w:bCs/>
          <w:color w:val="000000"/>
          <w:sz w:val="22"/>
          <w:szCs w:val="22"/>
        </w:rPr>
        <w:t>"manevi (şiddet amacını fiilen bilme ve suç işleme kastı)"</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color w:val="000000"/>
          <w:sz w:val="22"/>
          <w:szCs w:val="22"/>
        </w:rPr>
        <w:t>unsurlarını hiçbir şekilde ihtiva etmediği; “örgütle bağın kesilmemesi” veya “irtibatın devam ettiği” şeklindeki soyut çıkarımlara dayalı toptancı cezalandırma yapılamayacağı ve ceza hukukunun temel prensibi olan ispat yükünün sanığa çevrilemeyeceği hususları ile "şüpheden sanık yararlanır" evrensel ilkesi gözetilerek;</w:t>
      </w:r>
    </w:p>
    <w:p w:rsidR="00CC7211" w:rsidRPr="000C6FA1" w:rsidRDefault="00CC7211" w:rsidP="00E15DFB">
      <w:pPr>
        <w:pStyle w:val="NormalWeb"/>
        <w:tabs>
          <w:tab w:val="left" w:pos="426"/>
        </w:tabs>
        <w:jc w:val="both"/>
        <w:rPr>
          <w:rFonts w:ascii="Palatino Linotype" w:hAnsi="Palatino Linotype"/>
          <w:bCs/>
          <w:color w:val="000000"/>
          <w:sz w:val="22"/>
          <w:szCs w:val="22"/>
        </w:rPr>
      </w:pPr>
      <w:r w:rsidRPr="000C6FA1">
        <w:rPr>
          <w:rFonts w:ascii="Palatino Linotype" w:hAnsi="Palatino Linotype"/>
          <w:bCs/>
          <w:sz w:val="22"/>
        </w:rPr>
        <w:lastRenderedPageBreak/>
        <w:t>Ayrıca; Prof. Dr. Adem SÖZÜER, Prof. Dr. İzzet ÖZGENÇ, Prof. Dr. Faruk TURHAN, Prof. Dr. Cumhur ŞAHİN ve Prof. Dr. Tolga ŞİRİN tarafından hazırlanan hukukî mütalaada ortaya konulduğu üzere; bir yapının varlığını sürdürdüğü iddiasının o dönemde işlenmiş somut suçlar ortaya konulmadıkça suç örgütünün varlığını göstermeyeceği, örgüt üyeliği suçunun ancak doğrudan kastla işlenebileceği, suç işlemek amacından habersiz kişilerin sorumlu tutulamayacağı, kanunda sayılan statüler dışında “sempatizan” veya “irtibatlı” gibi kavramlara dayalı bir sorumluluk biçiminin bulunmadığı, mensubiyet ve irtibatın sürdürülmesinin tek başına suç teşkil etmediği ve bu nitelikteki dosyalarda esastan inceleme yapılarak beraat kararı verilmesi gerektiği hususları da gözetilerek (Mütalaa, s. 2, 3, 7, 48-49, 62, 66);</w:t>
      </w:r>
    </w:p>
    <w:p w:rsidR="00FF455E" w:rsidRDefault="00CC7211" w:rsidP="00E15DFB">
      <w:pPr>
        <w:pStyle w:val="NormalWeb"/>
        <w:tabs>
          <w:tab w:val="left" w:pos="426"/>
        </w:tabs>
        <w:jc w:val="both"/>
        <w:rPr>
          <w:rStyle w:val="apple-converted-space"/>
          <w:rFonts w:ascii="Palatino Linotype" w:eastAsiaTheme="majorEastAsia" w:hAnsi="Palatino Linotype"/>
          <w:color w:val="000000"/>
          <w:sz w:val="22"/>
          <w:szCs w:val="22"/>
        </w:rPr>
      </w:pPr>
      <w:r w:rsidRPr="00CC7211">
        <w:rPr>
          <w:rFonts w:ascii="Palatino Linotype" w:hAnsi="Palatino Linotype"/>
          <w:color w:val="000000"/>
          <w:sz w:val="22"/>
          <w:szCs w:val="22"/>
        </w:rPr>
        <w:t>Üzerine atılı "</w:t>
      </w:r>
      <w:r w:rsidR="00D862CA">
        <w:rPr>
          <w:rFonts w:ascii="Palatino Linotype" w:hAnsi="Palatino Linotype"/>
          <w:color w:val="000000"/>
          <w:sz w:val="22"/>
          <w:szCs w:val="22"/>
        </w:rPr>
        <w:t>s</w:t>
      </w:r>
      <w:r w:rsidRPr="00CC7211">
        <w:rPr>
          <w:rFonts w:ascii="Palatino Linotype" w:hAnsi="Palatino Linotype"/>
          <w:color w:val="000000"/>
          <w:sz w:val="22"/>
          <w:szCs w:val="22"/>
        </w:rPr>
        <w:t xml:space="preserve">ilahlı </w:t>
      </w:r>
      <w:r w:rsidR="00D862CA">
        <w:rPr>
          <w:rFonts w:ascii="Palatino Linotype" w:hAnsi="Palatino Linotype"/>
          <w:color w:val="000000"/>
          <w:sz w:val="22"/>
          <w:szCs w:val="22"/>
        </w:rPr>
        <w:t>t</w:t>
      </w:r>
      <w:r w:rsidRPr="00CC7211">
        <w:rPr>
          <w:rFonts w:ascii="Palatino Linotype" w:hAnsi="Palatino Linotype"/>
          <w:color w:val="000000"/>
          <w:sz w:val="22"/>
          <w:szCs w:val="22"/>
        </w:rPr>
        <w:t xml:space="preserve">erör </w:t>
      </w:r>
      <w:r w:rsidR="00D862CA">
        <w:rPr>
          <w:rFonts w:ascii="Palatino Linotype" w:hAnsi="Palatino Linotype"/>
          <w:color w:val="000000"/>
          <w:sz w:val="22"/>
          <w:szCs w:val="22"/>
        </w:rPr>
        <w:t>ö</w:t>
      </w:r>
      <w:r w:rsidRPr="00CC7211">
        <w:rPr>
          <w:rFonts w:ascii="Palatino Linotype" w:hAnsi="Palatino Linotype"/>
          <w:color w:val="000000"/>
          <w:sz w:val="22"/>
          <w:szCs w:val="22"/>
        </w:rPr>
        <w:t xml:space="preserve">rgütü </w:t>
      </w:r>
      <w:r w:rsidR="00D862CA">
        <w:rPr>
          <w:rFonts w:ascii="Palatino Linotype" w:hAnsi="Palatino Linotype"/>
          <w:color w:val="000000"/>
          <w:sz w:val="22"/>
          <w:szCs w:val="22"/>
        </w:rPr>
        <w:t>ü</w:t>
      </w:r>
      <w:r w:rsidRPr="00CC7211">
        <w:rPr>
          <w:rFonts w:ascii="Palatino Linotype" w:hAnsi="Palatino Linotype"/>
          <w:color w:val="000000"/>
          <w:sz w:val="22"/>
          <w:szCs w:val="22"/>
        </w:rPr>
        <w:t>yeliği" suçunun yasal unsurları maddi ve manevi yönden oluşmayan müvekkilin</w:t>
      </w:r>
      <w:r w:rsidRPr="00CC7211">
        <w:rPr>
          <w:rStyle w:val="apple-converted-space"/>
          <w:rFonts w:ascii="Palatino Linotype" w:eastAsiaTheme="majorEastAsia" w:hAnsi="Palatino Linotype"/>
          <w:color w:val="000000"/>
          <w:sz w:val="22"/>
          <w:szCs w:val="22"/>
        </w:rPr>
        <w:t> </w:t>
      </w:r>
      <w:r w:rsidRPr="00CC7211">
        <w:rPr>
          <w:rFonts w:ascii="Palatino Linotype" w:hAnsi="Palatino Linotype"/>
          <w:b/>
          <w:bCs/>
          <w:color w:val="000000"/>
          <w:sz w:val="22"/>
          <w:szCs w:val="22"/>
        </w:rPr>
        <w:t>BERAATİNE karar verilmesini</w:t>
      </w:r>
      <w:r w:rsidRPr="00CC7211">
        <w:rPr>
          <w:rFonts w:ascii="Palatino Linotype" w:hAnsi="Palatino Linotype"/>
          <w:color w:val="000000"/>
          <w:sz w:val="22"/>
          <w:szCs w:val="22"/>
        </w:rPr>
        <w:t>, saygılarımızla vekâleten talep ederiz. …/…./202...  </w:t>
      </w:r>
      <w:r w:rsidRPr="00CC7211">
        <w:rPr>
          <w:rStyle w:val="apple-converted-space"/>
          <w:rFonts w:ascii="Palatino Linotype" w:eastAsiaTheme="majorEastAsia" w:hAnsi="Palatino Linotype"/>
          <w:color w:val="000000"/>
          <w:sz w:val="22"/>
          <w:szCs w:val="22"/>
        </w:rPr>
        <w:t> </w:t>
      </w:r>
    </w:p>
    <w:p w:rsidR="00FF455E" w:rsidRDefault="00FF455E" w:rsidP="00E15DFB">
      <w:pPr>
        <w:pStyle w:val="NormalWeb"/>
        <w:tabs>
          <w:tab w:val="left" w:pos="426"/>
        </w:tabs>
        <w:jc w:val="both"/>
        <w:rPr>
          <w:rStyle w:val="apple-converted-space"/>
          <w:rFonts w:ascii="Palatino Linotype" w:eastAsiaTheme="majorEastAsia" w:hAnsi="Palatino Linotype"/>
          <w:color w:val="000000"/>
          <w:sz w:val="22"/>
          <w:szCs w:val="22"/>
        </w:rPr>
      </w:pP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p>
    <w:p w:rsidR="00E15DFB" w:rsidRDefault="00E15DFB" w:rsidP="00E15DFB">
      <w:pPr>
        <w:pStyle w:val="NormalWeb"/>
        <w:tabs>
          <w:tab w:val="left" w:pos="426"/>
        </w:tabs>
        <w:jc w:val="both"/>
        <w:rPr>
          <w:rStyle w:val="apple-converted-space"/>
          <w:rFonts w:ascii="Palatino Linotype" w:eastAsiaTheme="majorEastAsia" w:hAnsi="Palatino Linotype"/>
          <w:color w:val="000000"/>
          <w:sz w:val="22"/>
          <w:szCs w:val="22"/>
        </w:rPr>
      </w:pPr>
    </w:p>
    <w:p w:rsidR="00FF455E" w:rsidRDefault="00FF455E" w:rsidP="00E15DFB">
      <w:pPr>
        <w:pStyle w:val="NormalWeb"/>
        <w:tabs>
          <w:tab w:val="left" w:pos="426"/>
        </w:tabs>
        <w:jc w:val="both"/>
        <w:rPr>
          <w:rStyle w:val="apple-converted-space"/>
          <w:rFonts w:ascii="Palatino Linotype" w:eastAsiaTheme="majorEastAsia" w:hAnsi="Palatino Linotype"/>
          <w:color w:val="000000"/>
          <w:sz w:val="22"/>
          <w:szCs w:val="22"/>
        </w:rPr>
      </w:pP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r>
      <w:r>
        <w:rPr>
          <w:rStyle w:val="apple-converted-space"/>
          <w:rFonts w:ascii="Palatino Linotype" w:eastAsiaTheme="majorEastAsia" w:hAnsi="Palatino Linotype"/>
          <w:color w:val="000000"/>
          <w:sz w:val="22"/>
          <w:szCs w:val="22"/>
        </w:rPr>
        <w:tab/>
        <w:t xml:space="preserve">        </w:t>
      </w:r>
      <w:r w:rsidR="00CC7211" w:rsidRPr="00CC7211">
        <w:rPr>
          <w:rFonts w:ascii="Palatino Linotype" w:hAnsi="Palatino Linotype"/>
          <w:b/>
          <w:bCs/>
          <w:color w:val="000000"/>
          <w:sz w:val="22"/>
          <w:szCs w:val="22"/>
        </w:rPr>
        <w:t>Sanık Müdafii</w:t>
      </w:r>
      <w:r w:rsidR="00CC7211" w:rsidRPr="00CC7211">
        <w:rPr>
          <w:rFonts w:ascii="Palatino Linotype" w:hAnsi="Palatino Linotype"/>
          <w:color w:val="000000"/>
          <w:sz w:val="22"/>
          <w:szCs w:val="22"/>
        </w:rPr>
        <w:t> </w:t>
      </w:r>
      <w:r w:rsidR="00CC7211" w:rsidRPr="00CC7211">
        <w:rPr>
          <w:rStyle w:val="apple-converted-space"/>
          <w:rFonts w:ascii="Palatino Linotype" w:eastAsiaTheme="majorEastAsia" w:hAnsi="Palatino Linotype"/>
          <w:color w:val="000000"/>
          <w:sz w:val="22"/>
          <w:szCs w:val="22"/>
        </w:rPr>
        <w:t> </w:t>
      </w:r>
      <w:r w:rsidR="00CC7211" w:rsidRPr="00CC7211">
        <w:rPr>
          <w:rFonts w:ascii="Palatino Linotype" w:hAnsi="Palatino Linotype"/>
          <w:b/>
          <w:bCs/>
          <w:color w:val="000000"/>
          <w:sz w:val="22"/>
          <w:szCs w:val="22"/>
        </w:rPr>
        <w:t>Av. [İsim Soyisim]</w:t>
      </w:r>
      <w:r w:rsidR="00CC7211" w:rsidRPr="00CC7211">
        <w:rPr>
          <w:rStyle w:val="apple-converted-space"/>
          <w:rFonts w:ascii="Palatino Linotype" w:eastAsiaTheme="majorEastAsia" w:hAnsi="Palatino Linotype"/>
          <w:color w:val="000000"/>
          <w:sz w:val="22"/>
          <w:szCs w:val="22"/>
        </w:rPr>
        <w:t> </w:t>
      </w:r>
      <w:r w:rsidR="00CC7211" w:rsidRPr="00CC7211">
        <w:rPr>
          <w:rFonts w:ascii="Palatino Linotype" w:hAnsi="Palatino Linotype"/>
          <w:color w:val="000000"/>
          <w:sz w:val="22"/>
          <w:szCs w:val="22"/>
        </w:rPr>
        <w:t> </w:t>
      </w:r>
      <w:r w:rsidR="00CC7211" w:rsidRPr="00CC7211">
        <w:rPr>
          <w:rStyle w:val="apple-converted-space"/>
          <w:rFonts w:ascii="Palatino Linotype" w:eastAsiaTheme="majorEastAsia" w:hAnsi="Palatino Linotype"/>
          <w:color w:val="000000"/>
          <w:sz w:val="22"/>
          <w:szCs w:val="22"/>
        </w:rPr>
        <w:t> </w:t>
      </w:r>
    </w:p>
    <w:p w:rsidR="00FF455E" w:rsidRDefault="00FF455E" w:rsidP="00E15DFB">
      <w:pPr>
        <w:pStyle w:val="NormalWeb"/>
        <w:tabs>
          <w:tab w:val="left" w:pos="426"/>
        </w:tabs>
        <w:jc w:val="both"/>
        <w:rPr>
          <w:rStyle w:val="apple-converted-space"/>
          <w:rFonts w:ascii="Palatino Linotype" w:eastAsiaTheme="majorEastAsia" w:hAnsi="Palatino Linotype"/>
          <w:color w:val="000000"/>
          <w:sz w:val="22"/>
          <w:szCs w:val="22"/>
        </w:rPr>
      </w:pPr>
    </w:p>
    <w:p w:rsidR="00E15DFB" w:rsidRDefault="00E15DFB" w:rsidP="00E15DFB">
      <w:pPr>
        <w:pStyle w:val="NormalWeb"/>
        <w:tabs>
          <w:tab w:val="left" w:pos="426"/>
        </w:tabs>
        <w:jc w:val="both"/>
        <w:rPr>
          <w:rStyle w:val="apple-converted-space"/>
          <w:rFonts w:ascii="Palatino Linotype" w:eastAsiaTheme="majorEastAsia" w:hAnsi="Palatino Linotype"/>
          <w:color w:val="000000"/>
          <w:sz w:val="22"/>
          <w:szCs w:val="22"/>
        </w:rPr>
      </w:pPr>
    </w:p>
    <w:p w:rsidR="00E15DFB" w:rsidRDefault="00E15DFB" w:rsidP="00E15DFB">
      <w:pPr>
        <w:pStyle w:val="NormalWeb"/>
        <w:tabs>
          <w:tab w:val="left" w:pos="426"/>
        </w:tabs>
        <w:jc w:val="both"/>
        <w:rPr>
          <w:rStyle w:val="apple-converted-space"/>
          <w:rFonts w:ascii="Palatino Linotype" w:eastAsiaTheme="majorEastAsia" w:hAnsi="Palatino Linotype"/>
          <w:color w:val="000000"/>
          <w:sz w:val="22"/>
          <w:szCs w:val="22"/>
        </w:rPr>
      </w:pPr>
    </w:p>
    <w:p w:rsidR="00CC7211" w:rsidRPr="00CC7211" w:rsidRDefault="00CC7211" w:rsidP="00E15DFB">
      <w:pPr>
        <w:pStyle w:val="NormalWeb"/>
        <w:tabs>
          <w:tab w:val="left" w:pos="426"/>
        </w:tabs>
        <w:jc w:val="both"/>
        <w:rPr>
          <w:rFonts w:ascii="Palatino Linotype" w:hAnsi="Palatino Linotype"/>
          <w:color w:val="000000"/>
          <w:sz w:val="22"/>
          <w:szCs w:val="22"/>
        </w:rPr>
      </w:pPr>
      <w:r w:rsidRPr="00CC7211">
        <w:rPr>
          <w:rFonts w:ascii="Palatino Linotype" w:hAnsi="Palatino Linotype"/>
          <w:b/>
          <w:bCs/>
          <w:color w:val="000000"/>
          <w:sz w:val="22"/>
          <w:szCs w:val="22"/>
        </w:rPr>
        <w:t>EKLER:</w:t>
      </w:r>
    </w:p>
    <w:p w:rsidR="000C6FA1" w:rsidRDefault="00CC7211" w:rsidP="00E15DFB">
      <w:pPr>
        <w:pStyle w:val="NormalWeb"/>
        <w:numPr>
          <w:ilvl w:val="0"/>
          <w:numId w:val="5"/>
        </w:numPr>
        <w:tabs>
          <w:tab w:val="left" w:pos="426"/>
        </w:tabs>
        <w:ind w:left="0" w:firstLine="0"/>
        <w:jc w:val="both"/>
        <w:rPr>
          <w:rFonts w:ascii="Palatino Linotype" w:hAnsi="Palatino Linotype"/>
          <w:color w:val="000000"/>
          <w:sz w:val="22"/>
          <w:szCs w:val="22"/>
        </w:rPr>
      </w:pPr>
      <w:r w:rsidRPr="00CC7211">
        <w:rPr>
          <w:rFonts w:ascii="Palatino Linotype" w:hAnsi="Palatino Linotype"/>
          <w:color w:val="000000"/>
          <w:sz w:val="22"/>
          <w:szCs w:val="22"/>
        </w:rPr>
        <w:t>AİHM Yasak/Türkiye Büyük Daire Kararının Türkçe Çevirisi</w:t>
      </w:r>
    </w:p>
    <w:p w:rsidR="00CC7211" w:rsidRPr="000C6FA1" w:rsidRDefault="00CC7211" w:rsidP="00D164E9">
      <w:pPr>
        <w:pStyle w:val="NormalWeb"/>
        <w:numPr>
          <w:ilvl w:val="0"/>
          <w:numId w:val="5"/>
        </w:numPr>
        <w:tabs>
          <w:tab w:val="left" w:pos="426"/>
        </w:tabs>
        <w:ind w:left="426" w:hanging="426"/>
        <w:jc w:val="both"/>
        <w:rPr>
          <w:rFonts w:ascii="Palatino Linotype" w:hAnsi="Palatino Linotype"/>
          <w:bCs/>
          <w:color w:val="000000"/>
          <w:sz w:val="22"/>
          <w:szCs w:val="22"/>
        </w:rPr>
      </w:pPr>
      <w:r w:rsidRPr="000C6FA1">
        <w:rPr>
          <w:rFonts w:ascii="Palatino Linotype" w:hAnsi="Palatino Linotype"/>
          <w:bCs/>
          <w:sz w:val="22"/>
        </w:rPr>
        <w:t>Prof. Dr. Adem SÖZÜER, Prof. Dr. İzzet ÖZGENÇ, Prof. Dr. Faruk TURHAN, Prof. Dr. Cumhur ŞAHİN ve Prof. Dr. Tolga ŞİRİN tarafından hazırlanan Hukukî Mütalaa</w:t>
      </w:r>
    </w:p>
    <w:p w:rsidR="00D6259C" w:rsidRPr="00CC7211" w:rsidRDefault="00D6259C" w:rsidP="00E15DFB">
      <w:pPr>
        <w:tabs>
          <w:tab w:val="left" w:pos="426"/>
        </w:tabs>
        <w:jc w:val="both"/>
        <w:rPr>
          <w:rFonts w:ascii="Palatino Linotype" w:hAnsi="Palatino Linotype"/>
          <w:sz w:val="22"/>
          <w:szCs w:val="22"/>
        </w:rPr>
      </w:pPr>
    </w:p>
    <w:p w:rsidR="00A06F22" w:rsidRPr="00CC7211" w:rsidRDefault="00A06F22" w:rsidP="00E15DFB">
      <w:pPr>
        <w:tabs>
          <w:tab w:val="left" w:pos="426"/>
        </w:tabs>
        <w:jc w:val="both"/>
        <w:rPr>
          <w:rFonts w:ascii="Palatino Linotype" w:hAnsi="Palatino Linotype"/>
          <w:sz w:val="22"/>
          <w:szCs w:val="22"/>
        </w:rPr>
      </w:pPr>
    </w:p>
    <w:p w:rsidR="00E15DFB" w:rsidRPr="00CC7211" w:rsidRDefault="00E15DFB">
      <w:pPr>
        <w:tabs>
          <w:tab w:val="left" w:pos="426"/>
        </w:tabs>
        <w:jc w:val="both"/>
        <w:rPr>
          <w:rFonts w:ascii="Palatino Linotype" w:hAnsi="Palatino Linotype"/>
          <w:sz w:val="22"/>
          <w:szCs w:val="22"/>
        </w:rPr>
      </w:pPr>
    </w:p>
    <w:sectPr w:rsidR="00E15DFB" w:rsidRPr="00CC7211" w:rsidSect="00A06F2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CC3"/>
    <w:multiLevelType w:val="multilevel"/>
    <w:tmpl w:val="BC046150"/>
    <w:lvl w:ilvl="0">
      <w:start w:val="2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64682D"/>
    <w:multiLevelType w:val="multilevel"/>
    <w:tmpl w:val="D33C208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7C016F"/>
    <w:multiLevelType w:val="multilevel"/>
    <w:tmpl w:val="A148DDE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D72512"/>
    <w:multiLevelType w:val="multilevel"/>
    <w:tmpl w:val="D2DE2F66"/>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005D9E"/>
    <w:multiLevelType w:val="multilevel"/>
    <w:tmpl w:val="8448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9829343">
    <w:abstractNumId w:val="2"/>
  </w:num>
  <w:num w:numId="2" w16cid:durableId="1294598950">
    <w:abstractNumId w:val="3"/>
  </w:num>
  <w:num w:numId="3" w16cid:durableId="1210922414">
    <w:abstractNumId w:val="4"/>
  </w:num>
  <w:num w:numId="4" w16cid:durableId="1571236079">
    <w:abstractNumId w:val="0"/>
  </w:num>
  <w:num w:numId="5" w16cid:durableId="1625773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11"/>
    <w:rsid w:val="000C6FA1"/>
    <w:rsid w:val="00211913"/>
    <w:rsid w:val="00332648"/>
    <w:rsid w:val="004575F0"/>
    <w:rsid w:val="00732FDB"/>
    <w:rsid w:val="00815D4E"/>
    <w:rsid w:val="0083363B"/>
    <w:rsid w:val="00916833"/>
    <w:rsid w:val="00A06F22"/>
    <w:rsid w:val="00AE7E0B"/>
    <w:rsid w:val="00BD2DC3"/>
    <w:rsid w:val="00C57CC9"/>
    <w:rsid w:val="00CB4B31"/>
    <w:rsid w:val="00CC7211"/>
    <w:rsid w:val="00D164E9"/>
    <w:rsid w:val="00D6259C"/>
    <w:rsid w:val="00D862CA"/>
    <w:rsid w:val="00E15DFB"/>
    <w:rsid w:val="00FF455E"/>
  </w:rsids>
  <m:mathPr>
    <m:mathFont m:val="Cambria Math"/>
    <m:brkBin m:val="before"/>
    <m:brkBinSub m:val="--"/>
    <m:smallFrac m:val="0"/>
    <m:dispDef/>
    <m:lMargin m:val="0"/>
    <m:rMargin m:val="0"/>
    <m:defJc m:val="centerGroup"/>
    <m:wrapIndent m:val="1440"/>
    <m:intLim m:val="subSup"/>
    <m:naryLim m:val="undOvr"/>
  </m:mathPr>
  <w:themeFontLang w:val="tr-NL"/>
  <w:clrSchemeMapping w:bg1="light1" w:t1="dark1" w:bg2="light2" w:t2="dark2" w:accent1="accent1" w:accent2="accent2" w:accent3="accent3" w:accent4="accent4" w:accent5="accent5" w:accent6="accent6" w:hyperlink="hyperlink" w:followedHyperlink="followedHyperlink"/>
  <w:decimalSymbol w:val=","/>
  <w:listSeparator w:val=";"/>
  <w14:docId w14:val="3EBACB9B"/>
  <w15:chartTrackingRefBased/>
  <w15:docId w15:val="{F495075B-8082-1844-80D7-2F2738CD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C7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C7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C721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C721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C721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C721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C721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C721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C721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C721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C721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C721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C721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C721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C721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C721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C721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C7211"/>
    <w:rPr>
      <w:rFonts w:eastAsiaTheme="majorEastAsia" w:cstheme="majorBidi"/>
      <w:color w:val="272727" w:themeColor="text1" w:themeTint="D8"/>
    </w:rPr>
  </w:style>
  <w:style w:type="paragraph" w:styleId="KonuBal">
    <w:name w:val="Title"/>
    <w:basedOn w:val="Normal"/>
    <w:next w:val="Normal"/>
    <w:link w:val="KonuBalChar"/>
    <w:uiPriority w:val="10"/>
    <w:qFormat/>
    <w:rsid w:val="00CC721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C721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C7211"/>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C721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C7211"/>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CC7211"/>
    <w:rPr>
      <w:i/>
      <w:iCs/>
      <w:color w:val="404040" w:themeColor="text1" w:themeTint="BF"/>
    </w:rPr>
  </w:style>
  <w:style w:type="paragraph" w:styleId="ListeParagraf">
    <w:name w:val="List Paragraph"/>
    <w:basedOn w:val="Normal"/>
    <w:uiPriority w:val="34"/>
    <w:qFormat/>
    <w:rsid w:val="00CC7211"/>
    <w:pPr>
      <w:ind w:left="720"/>
      <w:contextualSpacing/>
    </w:pPr>
  </w:style>
  <w:style w:type="character" w:styleId="GlVurgulama">
    <w:name w:val="Intense Emphasis"/>
    <w:basedOn w:val="VarsaylanParagrafYazTipi"/>
    <w:uiPriority w:val="21"/>
    <w:qFormat/>
    <w:rsid w:val="00CC7211"/>
    <w:rPr>
      <w:i/>
      <w:iCs/>
      <w:color w:val="0F4761" w:themeColor="accent1" w:themeShade="BF"/>
    </w:rPr>
  </w:style>
  <w:style w:type="paragraph" w:styleId="GlAlnt">
    <w:name w:val="Intense Quote"/>
    <w:basedOn w:val="Normal"/>
    <w:next w:val="Normal"/>
    <w:link w:val="GlAlntChar"/>
    <w:uiPriority w:val="30"/>
    <w:qFormat/>
    <w:rsid w:val="00CC7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C7211"/>
    <w:rPr>
      <w:i/>
      <w:iCs/>
      <w:color w:val="0F4761" w:themeColor="accent1" w:themeShade="BF"/>
    </w:rPr>
  </w:style>
  <w:style w:type="character" w:styleId="GlBavuru">
    <w:name w:val="Intense Reference"/>
    <w:basedOn w:val="VarsaylanParagrafYazTipi"/>
    <w:uiPriority w:val="32"/>
    <w:qFormat/>
    <w:rsid w:val="00CC7211"/>
    <w:rPr>
      <w:b/>
      <w:bCs/>
      <w:smallCaps/>
      <w:color w:val="0F4761" w:themeColor="accent1" w:themeShade="BF"/>
      <w:spacing w:val="5"/>
    </w:rPr>
  </w:style>
  <w:style w:type="paragraph" w:styleId="NormalWeb">
    <w:name w:val="Normal (Web)"/>
    <w:basedOn w:val="Normal"/>
    <w:uiPriority w:val="99"/>
    <w:semiHidden/>
    <w:unhideWhenUsed/>
    <w:rsid w:val="00CC7211"/>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CC7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3978</Words>
  <Characters>22677</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Y</dc:creator>
  <cp:keywords/>
  <dc:description/>
  <cp:lastModifiedBy>U Y</cp:lastModifiedBy>
  <cp:revision>4</cp:revision>
  <dcterms:created xsi:type="dcterms:W3CDTF">2026-08-07T23:00:00Z</dcterms:created>
  <dcterms:modified xsi:type="dcterms:W3CDTF">2026-08-08T19:58:00Z</dcterms:modified>
</cp:coreProperties>
</file>