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14DEDC" w14:textId="77777777" w:rsidR="00E83C07" w:rsidRPr="00693DB3" w:rsidRDefault="00CE2F22" w:rsidP="00261695">
      <w:pPr>
        <w:spacing w:line="360" w:lineRule="auto"/>
        <w:jc w:val="center"/>
        <w:rPr>
          <w:rFonts w:ascii="Palatino Linotype" w:hAnsi="Palatino Linotype" w:cs="Times New Roman"/>
          <w:b/>
          <w:sz w:val="21"/>
          <w:szCs w:val="21"/>
        </w:rPr>
      </w:pPr>
      <w:r w:rsidRPr="00693DB3">
        <w:rPr>
          <w:rFonts w:ascii="Palatino Linotype" w:hAnsi="Palatino Linotype" w:cs="Times New Roman"/>
          <w:b/>
          <w:sz w:val="21"/>
          <w:szCs w:val="21"/>
        </w:rPr>
        <w:t>…………AĞIR CEZA MAHKEMESİ BAŞKANLIĞINA</w:t>
      </w:r>
    </w:p>
    <w:p w14:paraId="01B68793" w14:textId="05D99372" w:rsidR="00745D10" w:rsidRPr="00693DB3" w:rsidRDefault="00745D10" w:rsidP="00261695">
      <w:pPr>
        <w:spacing w:line="360" w:lineRule="auto"/>
        <w:jc w:val="center"/>
        <w:rPr>
          <w:rFonts w:ascii="Palatino Linotype" w:hAnsi="Palatino Linotype" w:cs="Times New Roman"/>
          <w:b/>
          <w:sz w:val="21"/>
          <w:szCs w:val="21"/>
        </w:rPr>
      </w:pPr>
      <w:r w:rsidRPr="00693DB3">
        <w:rPr>
          <w:rFonts w:ascii="Palatino Linotype" w:hAnsi="Palatino Linotype" w:cs="Times New Roman"/>
          <w:b/>
          <w:sz w:val="21"/>
          <w:szCs w:val="21"/>
          <w:highlight w:val="yellow"/>
        </w:rPr>
        <w:t>(</w:t>
      </w:r>
      <w:r w:rsidR="00E62FD3" w:rsidRPr="00693DB3">
        <w:rPr>
          <w:rFonts w:ascii="Palatino Linotype" w:hAnsi="Palatino Linotype" w:cs="Times New Roman"/>
          <w:b/>
          <w:sz w:val="21"/>
          <w:szCs w:val="21"/>
          <w:highlight w:val="yellow"/>
        </w:rPr>
        <w:t>Hükmü veren</w:t>
      </w:r>
      <w:r w:rsidRPr="00693DB3">
        <w:rPr>
          <w:rFonts w:ascii="Palatino Linotype" w:hAnsi="Palatino Linotype" w:cs="Times New Roman"/>
          <w:b/>
          <w:sz w:val="21"/>
          <w:szCs w:val="21"/>
          <w:highlight w:val="yellow"/>
        </w:rPr>
        <w:t xml:space="preserve"> ilk derece ağır ceza mahkemesi</w:t>
      </w:r>
      <w:r w:rsidR="00E40DC4" w:rsidRPr="00693DB3">
        <w:rPr>
          <w:rFonts w:ascii="Palatino Linotype" w:hAnsi="Palatino Linotype" w:cs="Times New Roman"/>
          <w:b/>
          <w:sz w:val="21"/>
          <w:szCs w:val="21"/>
          <w:highlight w:val="yellow"/>
        </w:rPr>
        <w:t>nin</w:t>
      </w:r>
      <w:r w:rsidRPr="00693DB3">
        <w:rPr>
          <w:rFonts w:ascii="Palatino Linotype" w:hAnsi="Palatino Linotype" w:cs="Times New Roman"/>
          <w:b/>
          <w:sz w:val="21"/>
          <w:szCs w:val="21"/>
          <w:highlight w:val="yellow"/>
        </w:rPr>
        <w:t xml:space="preserve"> adı yazıl</w:t>
      </w:r>
      <w:r w:rsidR="002C50F6" w:rsidRPr="00693DB3">
        <w:rPr>
          <w:rFonts w:ascii="Palatino Linotype" w:hAnsi="Palatino Linotype" w:cs="Times New Roman"/>
          <w:b/>
          <w:sz w:val="21"/>
          <w:szCs w:val="21"/>
          <w:highlight w:val="yellow"/>
        </w:rPr>
        <w:t>malı</w:t>
      </w:r>
      <w:r w:rsidRPr="00693DB3">
        <w:rPr>
          <w:rFonts w:ascii="Palatino Linotype" w:hAnsi="Palatino Linotype" w:cs="Times New Roman"/>
          <w:b/>
          <w:sz w:val="21"/>
          <w:szCs w:val="21"/>
          <w:highlight w:val="yellow"/>
        </w:rPr>
        <w:t>)</w:t>
      </w:r>
    </w:p>
    <w:p w14:paraId="265B20A3" w14:textId="77777777" w:rsidR="002C50F6" w:rsidRPr="00693DB3" w:rsidRDefault="00B76022" w:rsidP="002C50F6">
      <w:pPr>
        <w:spacing w:line="360" w:lineRule="auto"/>
        <w:jc w:val="center"/>
        <w:rPr>
          <w:rFonts w:ascii="Palatino Linotype" w:hAnsi="Palatino Linotype" w:cs="Times New Roman"/>
          <w:b/>
          <w:sz w:val="21"/>
          <w:szCs w:val="21"/>
        </w:rPr>
      </w:pPr>
      <w:r w:rsidRPr="00693DB3">
        <w:rPr>
          <w:rFonts w:ascii="Palatino Linotype" w:hAnsi="Palatino Linotype" w:cs="Times New Roman"/>
          <w:b/>
          <w:sz w:val="21"/>
          <w:szCs w:val="21"/>
        </w:rPr>
        <w:t xml:space="preserve">                                                     </w:t>
      </w:r>
      <w:r w:rsidR="002C50F6" w:rsidRPr="00693DB3">
        <w:rPr>
          <w:rFonts w:ascii="Palatino Linotype" w:hAnsi="Palatino Linotype" w:cs="Times New Roman"/>
          <w:b/>
          <w:sz w:val="21"/>
          <w:szCs w:val="21"/>
        </w:rPr>
        <w:t xml:space="preserve">                                                                                      </w:t>
      </w:r>
    </w:p>
    <w:p w14:paraId="5A79EFFA" w14:textId="5CFF5C4A" w:rsidR="00B76022" w:rsidRPr="00693DB3" w:rsidRDefault="002C50F6" w:rsidP="002C50F6">
      <w:pPr>
        <w:spacing w:line="360" w:lineRule="auto"/>
        <w:rPr>
          <w:rFonts w:ascii="Palatino Linotype" w:hAnsi="Palatino Linotype" w:cs="Times New Roman"/>
          <w:b/>
          <w:sz w:val="21"/>
          <w:szCs w:val="21"/>
        </w:rPr>
      </w:pPr>
      <w:r w:rsidRPr="00693DB3">
        <w:rPr>
          <w:rFonts w:ascii="Palatino Linotype" w:hAnsi="Palatino Linotype" w:cs="Times New Roman"/>
          <w:b/>
          <w:sz w:val="21"/>
          <w:szCs w:val="21"/>
        </w:rPr>
        <w:t xml:space="preserve"> </w:t>
      </w:r>
      <w:r w:rsidR="00B76022" w:rsidRPr="00693DB3">
        <w:rPr>
          <w:rFonts w:ascii="Palatino Linotype" w:hAnsi="Palatino Linotype" w:cs="Times New Roman"/>
          <w:b/>
          <w:sz w:val="21"/>
          <w:szCs w:val="21"/>
          <w:u w:val="thick"/>
        </w:rPr>
        <w:t xml:space="preserve">Dosya </w:t>
      </w:r>
      <w:proofErr w:type="gramStart"/>
      <w:r w:rsidRPr="00693DB3">
        <w:rPr>
          <w:rFonts w:ascii="Palatino Linotype" w:hAnsi="Palatino Linotype" w:cs="Times New Roman"/>
          <w:b/>
          <w:sz w:val="21"/>
          <w:szCs w:val="21"/>
          <w:u w:val="thick"/>
        </w:rPr>
        <w:t>N</w:t>
      </w:r>
      <w:r w:rsidR="00B76022" w:rsidRPr="00693DB3">
        <w:rPr>
          <w:rFonts w:ascii="Palatino Linotype" w:hAnsi="Palatino Linotype" w:cs="Times New Roman"/>
          <w:b/>
          <w:sz w:val="21"/>
          <w:szCs w:val="21"/>
          <w:u w:val="thick"/>
        </w:rPr>
        <w:t>o</w:t>
      </w:r>
      <w:r w:rsidR="00B76022" w:rsidRPr="00693DB3">
        <w:rPr>
          <w:rFonts w:ascii="Palatino Linotype" w:hAnsi="Palatino Linotype" w:cs="Times New Roman"/>
          <w:b/>
          <w:sz w:val="21"/>
          <w:szCs w:val="21"/>
          <w:u w:val="single"/>
        </w:rPr>
        <w:t>:</w:t>
      </w:r>
      <w:r w:rsidR="00B76022" w:rsidRPr="00693DB3">
        <w:rPr>
          <w:rFonts w:ascii="Palatino Linotype" w:hAnsi="Palatino Linotype" w:cs="Times New Roman"/>
          <w:b/>
          <w:sz w:val="21"/>
          <w:szCs w:val="21"/>
        </w:rPr>
        <w:t>…</w:t>
      </w:r>
      <w:proofErr w:type="gramEnd"/>
      <w:r w:rsidR="00B76022" w:rsidRPr="00693DB3">
        <w:rPr>
          <w:rFonts w:ascii="Palatino Linotype" w:hAnsi="Palatino Linotype" w:cs="Times New Roman"/>
          <w:b/>
          <w:sz w:val="21"/>
          <w:szCs w:val="21"/>
        </w:rPr>
        <w:t>/</w:t>
      </w:r>
      <w:r w:rsidRPr="00693DB3">
        <w:rPr>
          <w:rFonts w:ascii="Palatino Linotype" w:hAnsi="Palatino Linotype" w:cs="Times New Roman"/>
          <w:b/>
          <w:sz w:val="21"/>
          <w:szCs w:val="21"/>
        </w:rPr>
        <w:t>..</w:t>
      </w:r>
      <w:r w:rsidR="00B76022" w:rsidRPr="00693DB3">
        <w:rPr>
          <w:rFonts w:ascii="Palatino Linotype" w:hAnsi="Palatino Linotype" w:cs="Times New Roman"/>
          <w:b/>
          <w:sz w:val="21"/>
          <w:szCs w:val="21"/>
        </w:rPr>
        <w:t>.</w:t>
      </w:r>
      <w:proofErr w:type="gramStart"/>
      <w:r w:rsidR="00B76022" w:rsidRPr="00693DB3">
        <w:rPr>
          <w:rFonts w:ascii="Palatino Linotype" w:hAnsi="Palatino Linotype" w:cs="Times New Roman"/>
          <w:b/>
          <w:sz w:val="21"/>
          <w:szCs w:val="21"/>
        </w:rPr>
        <w:t>E,/</w:t>
      </w:r>
      <w:proofErr w:type="gramEnd"/>
      <w:r w:rsidRPr="00693DB3">
        <w:rPr>
          <w:rFonts w:ascii="Palatino Linotype" w:hAnsi="Palatino Linotype" w:cs="Times New Roman"/>
          <w:b/>
          <w:sz w:val="21"/>
          <w:szCs w:val="21"/>
        </w:rPr>
        <w:t xml:space="preserve">… K. </w:t>
      </w:r>
      <w:r w:rsidR="00745D10" w:rsidRPr="00693DB3">
        <w:rPr>
          <w:rFonts w:ascii="Palatino Linotype" w:hAnsi="Palatino Linotype" w:cs="Times New Roman"/>
          <w:b/>
          <w:sz w:val="21"/>
          <w:szCs w:val="21"/>
        </w:rPr>
        <w:t xml:space="preserve"> </w:t>
      </w:r>
      <w:r w:rsidR="00745D10" w:rsidRPr="00693DB3">
        <w:rPr>
          <w:rFonts w:ascii="Palatino Linotype" w:hAnsi="Palatino Linotype" w:cs="Times New Roman"/>
          <w:b/>
          <w:sz w:val="21"/>
          <w:szCs w:val="21"/>
          <w:highlight w:val="yellow"/>
        </w:rPr>
        <w:t>(İlk derece mahkemesi dava dosya numarası yazıl</w:t>
      </w:r>
      <w:r w:rsidRPr="00693DB3">
        <w:rPr>
          <w:rFonts w:ascii="Palatino Linotype" w:hAnsi="Palatino Linotype" w:cs="Times New Roman"/>
          <w:b/>
          <w:sz w:val="21"/>
          <w:szCs w:val="21"/>
          <w:highlight w:val="yellow"/>
        </w:rPr>
        <w:t>malı</w:t>
      </w:r>
      <w:r w:rsidR="00745D10" w:rsidRPr="00693DB3">
        <w:rPr>
          <w:rFonts w:ascii="Palatino Linotype" w:hAnsi="Palatino Linotype" w:cs="Times New Roman"/>
          <w:b/>
          <w:sz w:val="21"/>
          <w:szCs w:val="21"/>
          <w:highlight w:val="yellow"/>
        </w:rPr>
        <w:t>)</w:t>
      </w:r>
    </w:p>
    <w:p w14:paraId="30A466D6" w14:textId="77777777" w:rsidR="002C50F6" w:rsidRPr="00693DB3" w:rsidRDefault="002C50F6" w:rsidP="002C50F6">
      <w:pPr>
        <w:spacing w:line="360" w:lineRule="auto"/>
        <w:rPr>
          <w:rFonts w:ascii="Palatino Linotype" w:hAnsi="Palatino Linotype" w:cs="Times New Roman"/>
          <w:b/>
          <w:sz w:val="21"/>
          <w:szCs w:val="21"/>
        </w:rPr>
      </w:pPr>
    </w:p>
    <w:p w14:paraId="12F82576" w14:textId="77777777" w:rsidR="00B76022" w:rsidRPr="00693DB3" w:rsidRDefault="00B76022" w:rsidP="00261695">
      <w:pPr>
        <w:spacing w:line="360" w:lineRule="auto"/>
        <w:jc w:val="center"/>
        <w:rPr>
          <w:rFonts w:ascii="Palatino Linotype" w:hAnsi="Palatino Linotype" w:cs="Times New Roman"/>
          <w:b/>
          <w:sz w:val="21"/>
          <w:szCs w:val="21"/>
        </w:rPr>
      </w:pPr>
    </w:p>
    <w:p w14:paraId="54C1D8F6" w14:textId="470BEE98" w:rsidR="00B76022" w:rsidRPr="00693DB3" w:rsidRDefault="00854D9B" w:rsidP="00261695">
      <w:pPr>
        <w:tabs>
          <w:tab w:val="left" w:pos="3870"/>
        </w:tabs>
        <w:spacing w:line="360" w:lineRule="auto"/>
        <w:jc w:val="both"/>
        <w:rPr>
          <w:rFonts w:ascii="Palatino Linotype" w:hAnsi="Palatino Linotype" w:cs="Times New Roman"/>
          <w:b/>
          <w:sz w:val="21"/>
          <w:szCs w:val="21"/>
        </w:rPr>
      </w:pPr>
      <w:r w:rsidRPr="00693DB3">
        <w:rPr>
          <w:rFonts w:ascii="Palatino Linotype" w:hAnsi="Palatino Linotype" w:cs="Times New Roman"/>
          <w:b/>
          <w:sz w:val="21"/>
          <w:szCs w:val="21"/>
          <w:u w:val="thick"/>
        </w:rPr>
        <w:t>Talepte Bulunan Hükümlü</w:t>
      </w:r>
      <w:r w:rsidR="00B76022" w:rsidRPr="00693DB3">
        <w:rPr>
          <w:rFonts w:ascii="Palatino Linotype" w:hAnsi="Palatino Linotype" w:cs="Times New Roman"/>
          <w:b/>
          <w:sz w:val="21"/>
          <w:szCs w:val="21"/>
          <w:u w:val="thick"/>
        </w:rPr>
        <w:t xml:space="preserve"> </w:t>
      </w:r>
      <w:r w:rsidR="00D97B5F" w:rsidRPr="00693DB3">
        <w:rPr>
          <w:rFonts w:ascii="Palatino Linotype" w:hAnsi="Palatino Linotype" w:cs="Times New Roman"/>
          <w:b/>
          <w:sz w:val="21"/>
          <w:szCs w:val="21"/>
          <w:u w:val="thick"/>
        </w:rPr>
        <w:t xml:space="preserve">                </w:t>
      </w:r>
      <w:r w:rsidR="008B6FFF" w:rsidRPr="00693DB3">
        <w:rPr>
          <w:rFonts w:ascii="Palatino Linotype" w:hAnsi="Palatino Linotype" w:cs="Times New Roman"/>
          <w:b/>
          <w:sz w:val="21"/>
          <w:szCs w:val="21"/>
          <w:u w:val="thick"/>
        </w:rPr>
        <w:t xml:space="preserve">      </w:t>
      </w:r>
      <w:proofErr w:type="gramStart"/>
      <w:r w:rsidR="008B6FFF" w:rsidRPr="00693DB3">
        <w:rPr>
          <w:rFonts w:ascii="Palatino Linotype" w:hAnsi="Palatino Linotype" w:cs="Times New Roman"/>
          <w:b/>
          <w:sz w:val="21"/>
          <w:szCs w:val="21"/>
          <w:u w:val="thick"/>
        </w:rPr>
        <w:t xml:space="preserve">  </w:t>
      </w:r>
      <w:r w:rsidR="00B76022" w:rsidRPr="00693DB3">
        <w:rPr>
          <w:rFonts w:ascii="Palatino Linotype" w:hAnsi="Palatino Linotype" w:cs="Times New Roman"/>
          <w:b/>
          <w:sz w:val="21"/>
          <w:szCs w:val="21"/>
          <w:u w:val="thick"/>
        </w:rPr>
        <w:t>:</w:t>
      </w:r>
      <w:proofErr w:type="gramEnd"/>
      <w:r w:rsidR="008B6FFF" w:rsidRPr="00693DB3">
        <w:rPr>
          <w:rFonts w:ascii="Palatino Linotype" w:hAnsi="Palatino Linotype" w:cs="Times New Roman"/>
          <w:b/>
          <w:sz w:val="21"/>
          <w:szCs w:val="21"/>
          <w:u w:val="thick"/>
        </w:rPr>
        <w:t xml:space="preserve"> </w:t>
      </w:r>
    </w:p>
    <w:p w14:paraId="27588CE7" w14:textId="35231985" w:rsidR="008B6FFF" w:rsidRPr="00693DB3" w:rsidRDefault="008B6FFF" w:rsidP="008B6FFF">
      <w:pPr>
        <w:tabs>
          <w:tab w:val="left" w:pos="3870"/>
        </w:tabs>
        <w:spacing w:line="360" w:lineRule="auto"/>
        <w:jc w:val="both"/>
        <w:rPr>
          <w:rFonts w:ascii="Palatino Linotype" w:hAnsi="Palatino Linotype" w:cs="Times New Roman"/>
          <w:b/>
          <w:sz w:val="21"/>
          <w:szCs w:val="21"/>
          <w:u w:val="thick"/>
        </w:rPr>
      </w:pPr>
      <w:r w:rsidRPr="00693DB3">
        <w:rPr>
          <w:rFonts w:ascii="Palatino Linotype" w:hAnsi="Palatino Linotype" w:cs="Times New Roman"/>
          <w:b/>
          <w:sz w:val="21"/>
          <w:szCs w:val="21"/>
        </w:rPr>
        <w:t xml:space="preserve">Talepte Bulunan                                     </w:t>
      </w:r>
      <w:proofErr w:type="gramStart"/>
      <w:r w:rsidRPr="00693DB3">
        <w:rPr>
          <w:rFonts w:ascii="Palatino Linotype" w:hAnsi="Palatino Linotype" w:cs="Times New Roman"/>
          <w:b/>
          <w:sz w:val="21"/>
          <w:szCs w:val="21"/>
        </w:rPr>
        <w:t xml:space="preserve">  :</w:t>
      </w:r>
      <w:proofErr w:type="gramEnd"/>
      <w:r w:rsidRPr="00693DB3">
        <w:rPr>
          <w:rFonts w:ascii="Palatino Linotype" w:hAnsi="Palatino Linotype" w:cs="Times New Roman"/>
          <w:b/>
          <w:sz w:val="21"/>
          <w:szCs w:val="21"/>
        </w:rPr>
        <w:t xml:space="preserve"> </w:t>
      </w:r>
      <w:r w:rsidRPr="00693DB3">
        <w:rPr>
          <w:rFonts w:ascii="Palatino Linotype" w:hAnsi="Palatino Linotype" w:cs="Times New Roman"/>
          <w:b/>
          <w:sz w:val="21"/>
          <w:szCs w:val="21"/>
          <w:highlight w:val="yellow"/>
        </w:rPr>
        <w:t>(Vasi ya da eş talepte bulunuyorsa, o kişinin bilgileri.  Eğer kişi kendisi başvuru yapacaksa bu kısmı doldurmaya gerek yok)</w:t>
      </w:r>
    </w:p>
    <w:p w14:paraId="48D626BB" w14:textId="521E430F" w:rsidR="00A03E39" w:rsidRPr="00693DB3" w:rsidRDefault="00D97B5F" w:rsidP="00261695">
      <w:pPr>
        <w:tabs>
          <w:tab w:val="left" w:pos="3780"/>
        </w:tabs>
        <w:spacing w:line="360" w:lineRule="auto"/>
        <w:ind w:left="3960" w:hanging="3960"/>
        <w:jc w:val="both"/>
        <w:rPr>
          <w:rFonts w:ascii="Palatino Linotype" w:hAnsi="Palatino Linotype" w:cs="Times New Roman"/>
          <w:iCs/>
          <w:sz w:val="21"/>
          <w:szCs w:val="21"/>
          <w:lang w:val="tr"/>
        </w:rPr>
      </w:pPr>
      <w:r w:rsidRPr="00693DB3">
        <w:rPr>
          <w:rFonts w:ascii="Palatino Linotype" w:hAnsi="Palatino Linotype" w:cs="Times New Roman"/>
          <w:b/>
          <w:sz w:val="21"/>
          <w:szCs w:val="21"/>
          <w:u w:val="thick"/>
        </w:rPr>
        <w:t>Talep Konusu</w:t>
      </w:r>
      <w:r w:rsidR="00A03E39" w:rsidRPr="00693DB3">
        <w:rPr>
          <w:rFonts w:ascii="Palatino Linotype" w:hAnsi="Palatino Linotype" w:cs="Times New Roman"/>
          <w:b/>
          <w:sz w:val="21"/>
          <w:szCs w:val="21"/>
          <w:u w:val="thick"/>
        </w:rPr>
        <w:t xml:space="preserve">                                      </w:t>
      </w:r>
      <w:proofErr w:type="gramStart"/>
      <w:r w:rsidR="00A03E39" w:rsidRPr="00693DB3">
        <w:rPr>
          <w:rFonts w:ascii="Palatino Linotype" w:hAnsi="Palatino Linotype" w:cs="Times New Roman"/>
          <w:b/>
          <w:sz w:val="21"/>
          <w:szCs w:val="21"/>
          <w:u w:val="thick"/>
        </w:rPr>
        <w:tab/>
        <w:t xml:space="preserve"> :</w:t>
      </w:r>
      <w:proofErr w:type="gramEnd"/>
      <w:r w:rsidR="00A03E39" w:rsidRPr="00693DB3">
        <w:rPr>
          <w:rFonts w:ascii="Palatino Linotype" w:hAnsi="Palatino Linotype" w:cs="Times New Roman"/>
          <w:b/>
          <w:sz w:val="21"/>
          <w:szCs w:val="21"/>
        </w:rPr>
        <w:t xml:space="preserve"> </w:t>
      </w:r>
      <w:r w:rsidR="00B76022" w:rsidRPr="00693DB3">
        <w:rPr>
          <w:rFonts w:ascii="Palatino Linotype" w:hAnsi="Palatino Linotype" w:cs="Times New Roman"/>
          <w:b/>
          <w:sz w:val="21"/>
          <w:szCs w:val="21"/>
        </w:rPr>
        <w:t xml:space="preserve"> </w:t>
      </w:r>
      <w:r w:rsidR="00A03E39" w:rsidRPr="00693DB3">
        <w:rPr>
          <w:rFonts w:ascii="Palatino Linotype" w:hAnsi="Palatino Linotype" w:cs="Times New Roman"/>
          <w:iCs/>
          <w:sz w:val="21"/>
          <w:szCs w:val="21"/>
          <w:lang w:val="tr"/>
        </w:rPr>
        <w:t xml:space="preserve">AİHM’in </w:t>
      </w:r>
      <w:r w:rsidR="00693DB3" w:rsidRPr="00693DB3">
        <w:rPr>
          <w:rFonts w:ascii="Palatino Linotype" w:hAnsi="Palatino Linotype" w:cs="Times New Roman"/>
          <w:iCs/>
          <w:sz w:val="21"/>
          <w:szCs w:val="21"/>
          <w:lang w:val="tr"/>
        </w:rPr>
        <w:t>Yasak</w:t>
      </w:r>
      <w:r w:rsidR="00A03E39" w:rsidRPr="00693DB3">
        <w:rPr>
          <w:rFonts w:ascii="Palatino Linotype" w:hAnsi="Palatino Linotype" w:cs="Times New Roman"/>
          <w:iCs/>
          <w:sz w:val="21"/>
          <w:szCs w:val="21"/>
          <w:lang w:val="tr"/>
        </w:rPr>
        <w:t xml:space="preserve">/Türkiye davasındaki yeni olaylar ve gelişmeler nedeniyle, Mahkemenizin …………. </w:t>
      </w:r>
      <w:proofErr w:type="gramStart"/>
      <w:r w:rsidR="00A03E39" w:rsidRPr="00693DB3">
        <w:rPr>
          <w:rFonts w:ascii="Palatino Linotype" w:hAnsi="Palatino Linotype" w:cs="Times New Roman"/>
          <w:iCs/>
          <w:sz w:val="21"/>
          <w:szCs w:val="21"/>
          <w:lang w:val="tr"/>
        </w:rPr>
        <w:t>tarih</w:t>
      </w:r>
      <w:proofErr w:type="gramEnd"/>
      <w:r w:rsidR="00A03E39" w:rsidRPr="00693DB3">
        <w:rPr>
          <w:rFonts w:ascii="Palatino Linotype" w:hAnsi="Palatino Linotype" w:cs="Times New Roman"/>
          <w:iCs/>
          <w:sz w:val="21"/>
          <w:szCs w:val="21"/>
          <w:lang w:val="tr"/>
        </w:rPr>
        <w:t xml:space="preserve"> ve ………. E. …</w:t>
      </w:r>
      <w:proofErr w:type="gramStart"/>
      <w:r w:rsidR="00A03E39" w:rsidRPr="00693DB3">
        <w:rPr>
          <w:rFonts w:ascii="Palatino Linotype" w:hAnsi="Palatino Linotype" w:cs="Times New Roman"/>
          <w:iCs/>
          <w:sz w:val="21"/>
          <w:szCs w:val="21"/>
          <w:lang w:val="tr"/>
        </w:rPr>
        <w:t>…….</w:t>
      </w:r>
      <w:proofErr w:type="gramEnd"/>
      <w:r w:rsidR="00A03E39" w:rsidRPr="00693DB3">
        <w:rPr>
          <w:rFonts w:ascii="Palatino Linotype" w:hAnsi="Palatino Linotype" w:cs="Times New Roman"/>
          <w:iCs/>
          <w:sz w:val="21"/>
          <w:szCs w:val="21"/>
          <w:lang w:val="tr"/>
        </w:rPr>
        <w:t xml:space="preserve">.K.  </w:t>
      </w:r>
      <w:proofErr w:type="gramStart"/>
      <w:r w:rsidR="00A03E39" w:rsidRPr="00693DB3">
        <w:rPr>
          <w:rFonts w:ascii="Palatino Linotype" w:hAnsi="Palatino Linotype" w:cs="Times New Roman"/>
          <w:iCs/>
          <w:sz w:val="21"/>
          <w:szCs w:val="21"/>
          <w:lang w:val="tr"/>
        </w:rPr>
        <w:t>sayılı</w:t>
      </w:r>
      <w:proofErr w:type="gramEnd"/>
      <w:r w:rsidR="00A03E39" w:rsidRPr="00693DB3">
        <w:rPr>
          <w:rFonts w:ascii="Palatino Linotype" w:hAnsi="Palatino Linotype" w:cs="Times New Roman"/>
          <w:iCs/>
          <w:sz w:val="21"/>
          <w:szCs w:val="21"/>
          <w:lang w:val="tr"/>
        </w:rPr>
        <w:t xml:space="preserve"> </w:t>
      </w:r>
      <w:r w:rsidR="00A03E39" w:rsidRPr="00693DB3">
        <w:rPr>
          <w:rFonts w:ascii="Palatino Linotype" w:hAnsi="Palatino Linotype" w:cs="Times New Roman"/>
          <w:iCs/>
          <w:sz w:val="21"/>
          <w:szCs w:val="21"/>
          <w:highlight w:val="yellow"/>
          <w:lang w:val="tr"/>
        </w:rPr>
        <w:t>hakkı</w:t>
      </w:r>
      <w:r w:rsidR="009F0893" w:rsidRPr="00693DB3">
        <w:rPr>
          <w:rFonts w:ascii="Palatino Linotype" w:hAnsi="Palatino Linotype" w:cs="Times New Roman"/>
          <w:iCs/>
          <w:sz w:val="21"/>
          <w:szCs w:val="21"/>
          <w:highlight w:val="yellow"/>
          <w:lang w:val="tr"/>
        </w:rPr>
        <w:t>m</w:t>
      </w:r>
      <w:r w:rsidR="0070131E" w:rsidRPr="00693DB3">
        <w:rPr>
          <w:rFonts w:ascii="Palatino Linotype" w:hAnsi="Palatino Linotype" w:cs="Times New Roman"/>
          <w:iCs/>
          <w:sz w:val="21"/>
          <w:szCs w:val="21"/>
          <w:highlight w:val="yellow"/>
          <w:lang w:val="tr"/>
        </w:rPr>
        <w:t>da</w:t>
      </w:r>
      <w:r w:rsidR="009F0893" w:rsidRPr="00693DB3">
        <w:rPr>
          <w:rFonts w:ascii="Palatino Linotype" w:hAnsi="Palatino Linotype" w:cs="Times New Roman"/>
          <w:iCs/>
          <w:sz w:val="21"/>
          <w:szCs w:val="21"/>
          <w:highlight w:val="yellow"/>
          <w:lang w:val="tr"/>
        </w:rPr>
        <w:t>ki</w:t>
      </w:r>
      <w:r w:rsidR="008B6FFF" w:rsidRPr="00693DB3">
        <w:rPr>
          <w:rFonts w:ascii="Palatino Linotype" w:hAnsi="Palatino Linotype" w:cs="Times New Roman"/>
          <w:iCs/>
          <w:sz w:val="21"/>
          <w:szCs w:val="21"/>
          <w:highlight w:val="yellow"/>
          <w:lang w:val="tr"/>
        </w:rPr>
        <w:t>/eşim olan-vasi olduğum ...’in</w:t>
      </w:r>
      <w:r w:rsidR="0070131E" w:rsidRPr="00693DB3">
        <w:rPr>
          <w:rFonts w:ascii="Palatino Linotype" w:hAnsi="Palatino Linotype" w:cs="Times New Roman"/>
          <w:iCs/>
          <w:sz w:val="21"/>
          <w:szCs w:val="21"/>
          <w:lang w:val="tr"/>
        </w:rPr>
        <w:t xml:space="preserve"> </w:t>
      </w:r>
      <w:r w:rsidR="00A03E39" w:rsidRPr="00693DB3">
        <w:rPr>
          <w:rFonts w:ascii="Palatino Linotype" w:hAnsi="Palatino Linotype" w:cs="Times New Roman"/>
          <w:iCs/>
          <w:sz w:val="21"/>
          <w:szCs w:val="21"/>
          <w:lang w:val="tr"/>
        </w:rPr>
        <w:t xml:space="preserve">kesinleşmiş kararın CMK’nın 311/1-e ve f maddesi uyarınca yeniden yargılamaya konu yapılması, suçun unsurları oluşmadığı AİHM kararı ile tespit edildiğinden derhal </w:t>
      </w:r>
      <w:r w:rsidR="00A03E39" w:rsidRPr="00693DB3">
        <w:rPr>
          <w:rFonts w:ascii="Palatino Linotype" w:hAnsi="Palatino Linotype" w:cs="Times New Roman"/>
          <w:iCs/>
          <w:sz w:val="21"/>
          <w:szCs w:val="21"/>
          <w:highlight w:val="yellow"/>
          <w:lang w:val="tr"/>
        </w:rPr>
        <w:t>beraat</w:t>
      </w:r>
      <w:r w:rsidR="008B6FFF" w:rsidRPr="00693DB3">
        <w:rPr>
          <w:rFonts w:ascii="Palatino Linotype" w:hAnsi="Palatino Linotype" w:cs="Times New Roman"/>
          <w:iCs/>
          <w:sz w:val="21"/>
          <w:szCs w:val="21"/>
          <w:highlight w:val="yellow"/>
          <w:lang w:val="tr"/>
        </w:rPr>
        <w:t>ı</w:t>
      </w:r>
      <w:r w:rsidR="009F0893" w:rsidRPr="00693DB3">
        <w:rPr>
          <w:rFonts w:ascii="Palatino Linotype" w:hAnsi="Palatino Linotype" w:cs="Times New Roman"/>
          <w:iCs/>
          <w:sz w:val="21"/>
          <w:szCs w:val="21"/>
          <w:highlight w:val="yellow"/>
          <w:lang w:val="tr"/>
        </w:rPr>
        <w:t>m</w:t>
      </w:r>
      <w:r w:rsidR="008B6FFF" w:rsidRPr="00693DB3">
        <w:rPr>
          <w:rFonts w:ascii="Palatino Linotype" w:hAnsi="Palatino Linotype" w:cs="Times New Roman"/>
          <w:iCs/>
          <w:sz w:val="21"/>
          <w:szCs w:val="21"/>
          <w:highlight w:val="yellow"/>
          <w:lang w:val="tr"/>
        </w:rPr>
        <w:t>a/eşimin/vasisi olduğum</w:t>
      </w:r>
      <w:proofErr w:type="gramStart"/>
      <w:r w:rsidR="008B6FFF" w:rsidRPr="00693DB3">
        <w:rPr>
          <w:rFonts w:ascii="Palatino Linotype" w:hAnsi="Palatino Linotype" w:cs="Times New Roman"/>
          <w:iCs/>
          <w:sz w:val="21"/>
          <w:szCs w:val="21"/>
          <w:highlight w:val="yellow"/>
          <w:lang w:val="tr"/>
        </w:rPr>
        <w:t xml:space="preserve"> ....</w:t>
      </w:r>
      <w:proofErr w:type="gramEnd"/>
      <w:r w:rsidR="008B6FFF" w:rsidRPr="00693DB3">
        <w:rPr>
          <w:rFonts w:ascii="Palatino Linotype" w:hAnsi="Palatino Linotype" w:cs="Times New Roman"/>
          <w:iCs/>
          <w:sz w:val="21"/>
          <w:szCs w:val="21"/>
          <w:highlight w:val="yellow"/>
          <w:lang w:val="tr"/>
        </w:rPr>
        <w:t>’in beraatına</w:t>
      </w:r>
      <w:r w:rsidR="00A03E39" w:rsidRPr="00693DB3">
        <w:rPr>
          <w:rFonts w:ascii="Palatino Linotype" w:hAnsi="Palatino Linotype" w:cs="Times New Roman"/>
          <w:iCs/>
          <w:sz w:val="21"/>
          <w:szCs w:val="21"/>
          <w:lang w:val="tr"/>
        </w:rPr>
        <w:t xml:space="preserve"> karar verilmesi ve yargılama sonuna kadar </w:t>
      </w:r>
      <w:r w:rsidR="00A03E39" w:rsidRPr="00693DB3">
        <w:rPr>
          <w:rFonts w:ascii="Palatino Linotype" w:hAnsi="Palatino Linotype" w:cs="Times New Roman"/>
          <w:iCs/>
          <w:sz w:val="21"/>
          <w:szCs w:val="21"/>
          <w:highlight w:val="yellow"/>
          <w:lang w:val="tr"/>
        </w:rPr>
        <w:t>infazı</w:t>
      </w:r>
      <w:r w:rsidR="009F0893" w:rsidRPr="00693DB3">
        <w:rPr>
          <w:rFonts w:ascii="Palatino Linotype" w:hAnsi="Palatino Linotype" w:cs="Times New Roman"/>
          <w:iCs/>
          <w:sz w:val="21"/>
          <w:szCs w:val="21"/>
          <w:highlight w:val="yellow"/>
          <w:lang w:val="tr"/>
        </w:rPr>
        <w:t>m</w:t>
      </w:r>
      <w:r w:rsidR="0070131E" w:rsidRPr="00693DB3">
        <w:rPr>
          <w:rFonts w:ascii="Palatino Linotype" w:hAnsi="Palatino Linotype" w:cs="Times New Roman"/>
          <w:iCs/>
          <w:sz w:val="21"/>
          <w:szCs w:val="21"/>
          <w:highlight w:val="yellow"/>
          <w:lang w:val="tr"/>
        </w:rPr>
        <w:t>ın</w:t>
      </w:r>
      <w:r w:rsidR="008B6FFF" w:rsidRPr="00693DB3">
        <w:rPr>
          <w:rFonts w:ascii="Palatino Linotype" w:hAnsi="Palatino Linotype" w:cs="Times New Roman"/>
          <w:iCs/>
          <w:sz w:val="21"/>
          <w:szCs w:val="21"/>
          <w:highlight w:val="yellow"/>
          <w:lang w:val="tr"/>
        </w:rPr>
        <w:t>/infazını</w:t>
      </w:r>
      <w:r w:rsidR="00A03E39" w:rsidRPr="00693DB3">
        <w:rPr>
          <w:rFonts w:ascii="Palatino Linotype" w:hAnsi="Palatino Linotype" w:cs="Times New Roman"/>
          <w:iCs/>
          <w:sz w:val="21"/>
          <w:szCs w:val="21"/>
          <w:lang w:val="tr"/>
        </w:rPr>
        <w:t xml:space="preserve"> tedbiren durdurulması istemine ilişkindir.</w:t>
      </w:r>
    </w:p>
    <w:p w14:paraId="368261F7" w14:textId="7F30EBBD" w:rsidR="003A6719" w:rsidRPr="00693DB3" w:rsidRDefault="00D97B5F" w:rsidP="00693DB3">
      <w:pPr>
        <w:tabs>
          <w:tab w:val="left" w:pos="3870"/>
        </w:tabs>
        <w:spacing w:line="360" w:lineRule="auto"/>
        <w:ind w:left="3960" w:hanging="3960"/>
        <w:jc w:val="both"/>
        <w:rPr>
          <w:rFonts w:ascii="Palatino Linotype" w:hAnsi="Palatino Linotype" w:cs="Times New Roman"/>
          <w:b/>
          <w:sz w:val="21"/>
          <w:szCs w:val="21"/>
          <w:u w:val="thick"/>
        </w:rPr>
      </w:pPr>
      <w:r w:rsidRPr="00693DB3">
        <w:rPr>
          <w:rFonts w:ascii="Palatino Linotype" w:hAnsi="Palatino Linotype" w:cs="Times New Roman"/>
          <w:b/>
          <w:sz w:val="21"/>
          <w:szCs w:val="21"/>
          <w:u w:val="thick"/>
        </w:rPr>
        <w:t xml:space="preserve">Dayanılan Hukuki Kurallar             </w:t>
      </w:r>
      <w:proofErr w:type="gramStart"/>
      <w:r w:rsidRPr="00693DB3">
        <w:rPr>
          <w:rFonts w:ascii="Palatino Linotype" w:hAnsi="Palatino Linotype" w:cs="Times New Roman"/>
          <w:b/>
          <w:sz w:val="21"/>
          <w:szCs w:val="21"/>
          <w:u w:val="thick"/>
        </w:rPr>
        <w:t xml:space="preserve">  :</w:t>
      </w:r>
      <w:proofErr w:type="gramEnd"/>
      <w:r w:rsidRPr="00693DB3">
        <w:rPr>
          <w:rFonts w:ascii="Palatino Linotype" w:hAnsi="Palatino Linotype" w:cs="Times New Roman"/>
          <w:bCs/>
          <w:sz w:val="21"/>
          <w:szCs w:val="21"/>
        </w:rPr>
        <w:t xml:space="preserve"> </w:t>
      </w:r>
      <w:r w:rsidR="00055D06" w:rsidRPr="00693DB3">
        <w:rPr>
          <w:rFonts w:ascii="Palatino Linotype" w:hAnsi="Palatino Linotype" w:cs="Times New Roman"/>
          <w:bCs/>
          <w:sz w:val="21"/>
          <w:szCs w:val="21"/>
        </w:rPr>
        <w:t xml:space="preserve">   </w:t>
      </w:r>
      <w:r w:rsidR="00055D06" w:rsidRPr="00693DB3">
        <w:rPr>
          <w:rFonts w:ascii="Palatino Linotype" w:hAnsi="Palatino Linotype" w:cs="Times New Roman"/>
          <w:bCs/>
          <w:sz w:val="21"/>
          <w:szCs w:val="21"/>
          <w:highlight w:val="yellow"/>
        </w:rPr>
        <w:t>CMK’nın 262//1 (eş veya vasi başvuracaksa bu madde yazılmalı, şahsi başvuru yapılacaksa çıkarılmalı)</w:t>
      </w:r>
      <w:r w:rsidRPr="00693DB3">
        <w:rPr>
          <w:rFonts w:ascii="Palatino Linotype" w:hAnsi="Palatino Linotype" w:cs="Times New Roman"/>
          <w:bCs/>
          <w:sz w:val="21"/>
          <w:szCs w:val="21"/>
        </w:rPr>
        <w:t xml:space="preserve"> 311/1-e ve f maddesi; </w:t>
      </w:r>
      <w:proofErr w:type="spellStart"/>
      <w:r w:rsidRPr="00693DB3">
        <w:rPr>
          <w:rFonts w:ascii="Palatino Linotype" w:hAnsi="Palatino Linotype" w:cs="Times New Roman"/>
          <w:bCs/>
          <w:sz w:val="21"/>
          <w:szCs w:val="21"/>
        </w:rPr>
        <w:t>AY’nın</w:t>
      </w:r>
      <w:proofErr w:type="spellEnd"/>
      <w:r w:rsidRPr="00693DB3">
        <w:rPr>
          <w:rFonts w:ascii="Palatino Linotype" w:hAnsi="Palatino Linotype" w:cs="Times New Roman"/>
          <w:bCs/>
          <w:sz w:val="21"/>
          <w:szCs w:val="21"/>
        </w:rPr>
        <w:t xml:space="preserve"> 90. maddesi; AİHS’nin 6, 7, </w:t>
      </w:r>
      <w:r w:rsidR="003A6719" w:rsidRPr="00693DB3">
        <w:rPr>
          <w:rFonts w:ascii="Palatino Linotype" w:hAnsi="Palatino Linotype" w:cs="Times New Roman"/>
          <w:bCs/>
          <w:sz w:val="21"/>
          <w:szCs w:val="21"/>
        </w:rPr>
        <w:t xml:space="preserve">11, </w:t>
      </w:r>
      <w:r w:rsidRPr="00693DB3">
        <w:rPr>
          <w:rFonts w:ascii="Palatino Linotype" w:hAnsi="Palatino Linotype" w:cs="Times New Roman"/>
          <w:bCs/>
          <w:sz w:val="21"/>
          <w:szCs w:val="21"/>
        </w:rPr>
        <w:t>46</w:t>
      </w:r>
      <w:r w:rsidR="003A6719" w:rsidRPr="00693DB3">
        <w:rPr>
          <w:rFonts w:ascii="Palatino Linotype" w:hAnsi="Palatino Linotype" w:cs="Times New Roman"/>
          <w:bCs/>
          <w:sz w:val="21"/>
          <w:szCs w:val="21"/>
        </w:rPr>
        <w:t>. maddeleri; 6216 sayılı Kanunun 50. maddesi</w:t>
      </w:r>
      <w:r w:rsidRPr="00693DB3">
        <w:rPr>
          <w:rFonts w:ascii="Palatino Linotype" w:hAnsi="Palatino Linotype" w:cs="Times New Roman"/>
          <w:bCs/>
          <w:sz w:val="21"/>
          <w:szCs w:val="21"/>
        </w:rPr>
        <w:t xml:space="preserve">  </w:t>
      </w:r>
      <w:r w:rsidRPr="00693DB3">
        <w:rPr>
          <w:rFonts w:ascii="Palatino Linotype" w:hAnsi="Palatino Linotype" w:cs="Times New Roman"/>
          <w:b/>
          <w:sz w:val="21"/>
          <w:szCs w:val="21"/>
          <w:u w:val="thick"/>
        </w:rPr>
        <w:t xml:space="preserve">       </w:t>
      </w:r>
      <w:r w:rsidR="00B76022" w:rsidRPr="00693DB3">
        <w:rPr>
          <w:rFonts w:ascii="Palatino Linotype" w:hAnsi="Palatino Linotype" w:cs="Times New Roman"/>
          <w:b/>
          <w:sz w:val="21"/>
          <w:szCs w:val="21"/>
          <w:u w:val="thick"/>
        </w:rPr>
        <w:t xml:space="preserve">                   </w:t>
      </w:r>
      <w:r w:rsidR="00BA5188" w:rsidRPr="00693DB3">
        <w:rPr>
          <w:rFonts w:ascii="Palatino Linotype" w:hAnsi="Palatino Linotype" w:cs="Times New Roman"/>
          <w:b/>
          <w:sz w:val="21"/>
          <w:szCs w:val="21"/>
          <w:u w:val="thick"/>
        </w:rPr>
        <w:t xml:space="preserve">            </w:t>
      </w:r>
      <w:r w:rsidR="007018E6" w:rsidRPr="00693DB3">
        <w:rPr>
          <w:rFonts w:ascii="Palatino Linotype" w:hAnsi="Palatino Linotype" w:cs="Times New Roman"/>
          <w:b/>
          <w:sz w:val="21"/>
          <w:szCs w:val="21"/>
          <w:u w:val="thick"/>
        </w:rPr>
        <w:t xml:space="preserve">             </w:t>
      </w:r>
      <w:r w:rsidR="00BA5188" w:rsidRPr="00693DB3">
        <w:rPr>
          <w:rFonts w:ascii="Palatino Linotype" w:hAnsi="Palatino Linotype" w:cs="Times New Roman"/>
          <w:b/>
          <w:sz w:val="21"/>
          <w:szCs w:val="21"/>
          <w:u w:val="thick"/>
        </w:rPr>
        <w:t xml:space="preserve"> </w:t>
      </w:r>
      <w:r w:rsidR="00B76022" w:rsidRPr="00693DB3">
        <w:rPr>
          <w:rFonts w:ascii="Palatino Linotype" w:hAnsi="Palatino Linotype" w:cs="Times New Roman"/>
          <w:b/>
          <w:sz w:val="21"/>
          <w:szCs w:val="21"/>
          <w:u w:val="thick"/>
        </w:rPr>
        <w:t xml:space="preserve">     </w:t>
      </w:r>
    </w:p>
    <w:p w14:paraId="65BBC1ED" w14:textId="5F96C7F8" w:rsidR="00261695" w:rsidRPr="00693DB3" w:rsidRDefault="00261695" w:rsidP="003A6719">
      <w:pPr>
        <w:tabs>
          <w:tab w:val="left" w:pos="3870"/>
        </w:tabs>
        <w:spacing w:line="360" w:lineRule="auto"/>
        <w:jc w:val="center"/>
        <w:rPr>
          <w:rFonts w:ascii="Palatino Linotype" w:hAnsi="Palatino Linotype" w:cs="Times New Roman"/>
          <w:b/>
          <w:sz w:val="21"/>
          <w:szCs w:val="21"/>
        </w:rPr>
      </w:pPr>
      <w:r w:rsidRPr="00693DB3">
        <w:rPr>
          <w:rFonts w:ascii="Palatino Linotype" w:hAnsi="Palatino Linotype" w:cs="Times New Roman"/>
          <w:b/>
          <w:sz w:val="21"/>
          <w:szCs w:val="21"/>
        </w:rPr>
        <w:t>AÇIKLAMALAR</w:t>
      </w:r>
    </w:p>
    <w:p w14:paraId="2A9EB87F" w14:textId="36DD36CE" w:rsidR="00261695" w:rsidRPr="00693DB3" w:rsidRDefault="00261695" w:rsidP="00261695">
      <w:pPr>
        <w:tabs>
          <w:tab w:val="left" w:pos="3870"/>
        </w:tabs>
        <w:spacing w:line="360" w:lineRule="auto"/>
        <w:jc w:val="both"/>
        <w:rPr>
          <w:rFonts w:ascii="Palatino Linotype" w:hAnsi="Palatino Linotype" w:cs="Times New Roman"/>
          <w:b/>
          <w:sz w:val="21"/>
          <w:szCs w:val="21"/>
        </w:rPr>
      </w:pPr>
      <w:r w:rsidRPr="00693DB3">
        <w:rPr>
          <w:rFonts w:ascii="Palatino Linotype" w:hAnsi="Palatino Linotype" w:cs="Times New Roman"/>
          <w:b/>
          <w:sz w:val="21"/>
          <w:szCs w:val="21"/>
        </w:rPr>
        <w:t xml:space="preserve">I. </w:t>
      </w:r>
      <w:r w:rsidR="00865AE8" w:rsidRPr="00693DB3">
        <w:rPr>
          <w:rFonts w:ascii="Palatino Linotype" w:hAnsi="Palatino Linotype" w:cs="Times New Roman"/>
          <w:b/>
          <w:sz w:val="21"/>
          <w:szCs w:val="21"/>
        </w:rPr>
        <w:t xml:space="preserve">Müvekkilin </w:t>
      </w:r>
      <w:proofErr w:type="gramStart"/>
      <w:r w:rsidRPr="00693DB3">
        <w:rPr>
          <w:rFonts w:ascii="Palatino Linotype" w:hAnsi="Palatino Linotype" w:cs="Times New Roman"/>
          <w:b/>
          <w:sz w:val="21"/>
          <w:szCs w:val="21"/>
        </w:rPr>
        <w:t>Mahkumiyet</w:t>
      </w:r>
      <w:proofErr w:type="gramEnd"/>
      <w:r w:rsidRPr="00693DB3">
        <w:rPr>
          <w:rFonts w:ascii="Palatino Linotype" w:hAnsi="Palatino Linotype" w:cs="Times New Roman"/>
          <w:b/>
          <w:sz w:val="21"/>
          <w:szCs w:val="21"/>
        </w:rPr>
        <w:t xml:space="preserve"> Gerekçe</w:t>
      </w:r>
      <w:r w:rsidR="0070131E" w:rsidRPr="00693DB3">
        <w:rPr>
          <w:rFonts w:ascii="Palatino Linotype" w:hAnsi="Palatino Linotype" w:cs="Times New Roman"/>
          <w:b/>
          <w:sz w:val="21"/>
          <w:szCs w:val="21"/>
        </w:rPr>
        <w:t>si</w:t>
      </w:r>
    </w:p>
    <w:p w14:paraId="1AAFF770" w14:textId="5424E3EC" w:rsidR="00261695" w:rsidRPr="00693DB3" w:rsidRDefault="00261695" w:rsidP="00C65CE9">
      <w:pPr>
        <w:pStyle w:val="ListeParagraf"/>
        <w:numPr>
          <w:ilvl w:val="0"/>
          <w:numId w:val="2"/>
        </w:numPr>
        <w:tabs>
          <w:tab w:val="left" w:pos="3870"/>
        </w:tabs>
        <w:spacing w:line="360" w:lineRule="auto"/>
        <w:ind w:left="284" w:right="-378" w:hanging="284"/>
        <w:jc w:val="both"/>
        <w:rPr>
          <w:rFonts w:ascii="Palatino Linotype" w:hAnsi="Palatino Linotype" w:cs="Times New Roman"/>
          <w:bCs/>
          <w:sz w:val="21"/>
          <w:szCs w:val="21"/>
        </w:rPr>
      </w:pPr>
      <w:r w:rsidRPr="00693DB3">
        <w:rPr>
          <w:rFonts w:ascii="Palatino Linotype" w:hAnsi="Palatino Linotype" w:cs="Times New Roman"/>
          <w:bCs/>
          <w:sz w:val="21"/>
          <w:szCs w:val="21"/>
        </w:rPr>
        <w:t>Mahkemenizin</w:t>
      </w:r>
      <w:proofErr w:type="gramStart"/>
      <w:r w:rsidRPr="00693DB3">
        <w:rPr>
          <w:rFonts w:ascii="Palatino Linotype" w:hAnsi="Palatino Linotype" w:cs="Times New Roman"/>
          <w:bCs/>
          <w:sz w:val="21"/>
          <w:szCs w:val="21"/>
        </w:rPr>
        <w:t xml:space="preserve"> ….</w:t>
      </w:r>
      <w:proofErr w:type="gramEnd"/>
      <w:r w:rsidRPr="00693DB3">
        <w:rPr>
          <w:rFonts w:ascii="Palatino Linotype" w:hAnsi="Palatino Linotype" w:cs="Times New Roman"/>
          <w:bCs/>
          <w:sz w:val="21"/>
          <w:szCs w:val="21"/>
        </w:rPr>
        <w:t>E.,</w:t>
      </w:r>
      <w:r w:rsidR="009F0893" w:rsidRPr="00693DB3">
        <w:rPr>
          <w:rFonts w:ascii="Palatino Linotype" w:hAnsi="Palatino Linotype" w:cs="Times New Roman"/>
          <w:bCs/>
          <w:sz w:val="21"/>
          <w:szCs w:val="21"/>
        </w:rPr>
        <w:t xml:space="preserve"> ve</w:t>
      </w:r>
      <w:proofErr w:type="gramStart"/>
      <w:r w:rsidRPr="00693DB3">
        <w:rPr>
          <w:rFonts w:ascii="Palatino Linotype" w:hAnsi="Palatino Linotype" w:cs="Times New Roman"/>
          <w:bCs/>
          <w:sz w:val="21"/>
          <w:szCs w:val="21"/>
        </w:rPr>
        <w:t xml:space="preserve"> </w:t>
      </w:r>
      <w:r w:rsidR="009F0893" w:rsidRPr="00693DB3">
        <w:rPr>
          <w:rFonts w:ascii="Palatino Linotype" w:hAnsi="Palatino Linotype" w:cs="Times New Roman"/>
          <w:bCs/>
          <w:sz w:val="21"/>
          <w:szCs w:val="21"/>
        </w:rPr>
        <w:t>….</w:t>
      </w:r>
      <w:proofErr w:type="gramEnd"/>
      <w:r w:rsidR="009F0893" w:rsidRPr="00693DB3">
        <w:rPr>
          <w:rFonts w:ascii="Palatino Linotype" w:hAnsi="Palatino Linotype" w:cs="Times New Roman"/>
          <w:bCs/>
          <w:sz w:val="21"/>
          <w:szCs w:val="21"/>
        </w:rPr>
        <w:t>K</w:t>
      </w:r>
      <w:r w:rsidRPr="00693DB3">
        <w:rPr>
          <w:rFonts w:ascii="Palatino Linotype" w:hAnsi="Palatino Linotype" w:cs="Times New Roman"/>
          <w:bCs/>
          <w:sz w:val="21"/>
          <w:szCs w:val="21"/>
        </w:rPr>
        <w:t xml:space="preserve">…. </w:t>
      </w:r>
      <w:proofErr w:type="gramStart"/>
      <w:r w:rsidRPr="00693DB3">
        <w:rPr>
          <w:rFonts w:ascii="Palatino Linotype" w:hAnsi="Palatino Linotype" w:cs="Times New Roman"/>
          <w:bCs/>
          <w:sz w:val="21"/>
          <w:szCs w:val="21"/>
        </w:rPr>
        <w:t>sayılı</w:t>
      </w:r>
      <w:proofErr w:type="gramEnd"/>
      <w:r w:rsidRPr="00693DB3">
        <w:rPr>
          <w:rFonts w:ascii="Palatino Linotype" w:hAnsi="Palatino Linotype" w:cs="Times New Roman"/>
          <w:bCs/>
          <w:sz w:val="21"/>
          <w:szCs w:val="21"/>
        </w:rPr>
        <w:t xml:space="preserve"> </w:t>
      </w:r>
      <w:r w:rsidR="009F0893" w:rsidRPr="00693DB3">
        <w:rPr>
          <w:rFonts w:ascii="Palatino Linotype" w:hAnsi="Palatino Linotype" w:cs="Times New Roman"/>
          <w:bCs/>
          <w:sz w:val="21"/>
          <w:szCs w:val="21"/>
        </w:rPr>
        <w:t>k</w:t>
      </w:r>
      <w:r w:rsidRPr="00693DB3">
        <w:rPr>
          <w:rFonts w:ascii="Palatino Linotype" w:hAnsi="Palatino Linotype" w:cs="Times New Roman"/>
          <w:bCs/>
          <w:sz w:val="21"/>
          <w:szCs w:val="21"/>
        </w:rPr>
        <w:t xml:space="preserve">ararı ile </w:t>
      </w:r>
      <w:proofErr w:type="gramStart"/>
      <w:r w:rsidRPr="00693DB3">
        <w:rPr>
          <w:rFonts w:ascii="Palatino Linotype" w:hAnsi="Palatino Linotype" w:cs="Times New Roman"/>
          <w:bCs/>
          <w:sz w:val="21"/>
          <w:szCs w:val="21"/>
        </w:rPr>
        <w:t>…</w:t>
      </w:r>
      <w:r w:rsidR="00E40DC4" w:rsidRPr="00693DB3">
        <w:rPr>
          <w:rFonts w:ascii="Palatino Linotype" w:hAnsi="Palatino Linotype" w:cs="Times New Roman"/>
          <w:bCs/>
          <w:sz w:val="21"/>
          <w:szCs w:val="21"/>
        </w:rPr>
        <w:t>….</w:t>
      </w:r>
      <w:proofErr w:type="gramEnd"/>
      <w:r w:rsidRPr="00693DB3">
        <w:rPr>
          <w:rFonts w:ascii="Palatino Linotype" w:hAnsi="Palatino Linotype" w:cs="Times New Roman"/>
          <w:bCs/>
          <w:sz w:val="21"/>
          <w:szCs w:val="21"/>
        </w:rPr>
        <w:t xml:space="preserve">tarihinde </w:t>
      </w:r>
      <w:r w:rsidR="009F0893" w:rsidRPr="00693DB3">
        <w:rPr>
          <w:rFonts w:ascii="Palatino Linotype" w:hAnsi="Palatino Linotype" w:cs="Times New Roman"/>
          <w:bCs/>
          <w:sz w:val="21"/>
          <w:szCs w:val="21"/>
        </w:rPr>
        <w:t>si</w:t>
      </w:r>
      <w:r w:rsidR="0070131E" w:rsidRPr="00693DB3">
        <w:rPr>
          <w:rFonts w:ascii="Palatino Linotype" w:hAnsi="Palatino Linotype" w:cs="Times New Roman"/>
          <w:bCs/>
          <w:sz w:val="21"/>
          <w:szCs w:val="21"/>
        </w:rPr>
        <w:t xml:space="preserve">lahlı terör örgütüne üyelik suçlaması ile …. </w:t>
      </w:r>
      <w:proofErr w:type="gramStart"/>
      <w:r w:rsidR="0070131E" w:rsidRPr="00693DB3">
        <w:rPr>
          <w:rFonts w:ascii="Palatino Linotype" w:hAnsi="Palatino Linotype" w:cs="Times New Roman"/>
          <w:bCs/>
          <w:sz w:val="21"/>
          <w:szCs w:val="21"/>
        </w:rPr>
        <w:t>hapis</w:t>
      </w:r>
      <w:proofErr w:type="gramEnd"/>
      <w:r w:rsidR="0070131E" w:rsidRPr="00693DB3">
        <w:rPr>
          <w:rFonts w:ascii="Palatino Linotype" w:hAnsi="Palatino Linotype" w:cs="Times New Roman"/>
          <w:bCs/>
          <w:sz w:val="21"/>
          <w:szCs w:val="21"/>
        </w:rPr>
        <w:t xml:space="preserve"> cezasına </w:t>
      </w:r>
      <w:proofErr w:type="gramStart"/>
      <w:r w:rsidRPr="00693DB3">
        <w:rPr>
          <w:rFonts w:ascii="Palatino Linotype" w:hAnsi="Palatino Linotype" w:cs="Times New Roman"/>
          <w:bCs/>
          <w:sz w:val="21"/>
          <w:szCs w:val="21"/>
          <w:highlight w:val="yellow"/>
        </w:rPr>
        <w:t>mahkum</w:t>
      </w:r>
      <w:proofErr w:type="gramEnd"/>
      <w:r w:rsidRPr="00693DB3">
        <w:rPr>
          <w:rFonts w:ascii="Palatino Linotype" w:hAnsi="Palatino Linotype" w:cs="Times New Roman"/>
          <w:bCs/>
          <w:sz w:val="21"/>
          <w:szCs w:val="21"/>
          <w:highlight w:val="yellow"/>
        </w:rPr>
        <w:t xml:space="preserve"> edil</w:t>
      </w:r>
      <w:r w:rsidR="009F0893" w:rsidRPr="00693DB3">
        <w:rPr>
          <w:rFonts w:ascii="Palatino Linotype" w:hAnsi="Palatino Linotype" w:cs="Times New Roman"/>
          <w:bCs/>
          <w:sz w:val="21"/>
          <w:szCs w:val="21"/>
          <w:highlight w:val="yellow"/>
        </w:rPr>
        <w:t>dim</w:t>
      </w:r>
      <w:r w:rsidR="0037126F" w:rsidRPr="00693DB3">
        <w:rPr>
          <w:rFonts w:ascii="Palatino Linotype" w:hAnsi="Palatino Linotype" w:cs="Times New Roman"/>
          <w:bCs/>
          <w:sz w:val="21"/>
          <w:szCs w:val="21"/>
          <w:highlight w:val="yellow"/>
        </w:rPr>
        <w:t>/eşi</w:t>
      </w:r>
      <w:r w:rsidR="008B6FFF" w:rsidRPr="00693DB3">
        <w:rPr>
          <w:rFonts w:ascii="Palatino Linotype" w:hAnsi="Palatino Linotype" w:cs="Times New Roman"/>
          <w:bCs/>
          <w:sz w:val="21"/>
          <w:szCs w:val="21"/>
          <w:highlight w:val="yellow"/>
        </w:rPr>
        <w:t xml:space="preserve">m-vasisi </w:t>
      </w:r>
      <w:proofErr w:type="gramStart"/>
      <w:r w:rsidR="008B6FFF" w:rsidRPr="00693DB3">
        <w:rPr>
          <w:rFonts w:ascii="Palatino Linotype" w:hAnsi="Palatino Linotype" w:cs="Times New Roman"/>
          <w:bCs/>
          <w:sz w:val="21"/>
          <w:szCs w:val="21"/>
          <w:highlight w:val="yellow"/>
        </w:rPr>
        <w:t>olduğum(</w:t>
      </w:r>
      <w:proofErr w:type="gramEnd"/>
      <w:r w:rsidR="008B6FFF" w:rsidRPr="00693DB3">
        <w:rPr>
          <w:rFonts w:ascii="Palatino Linotype" w:hAnsi="Palatino Linotype" w:cs="Times New Roman"/>
          <w:bCs/>
          <w:sz w:val="21"/>
          <w:szCs w:val="21"/>
          <w:highlight w:val="yellow"/>
        </w:rPr>
        <w:t>kişi ismi yazılacak)</w:t>
      </w:r>
      <w:r w:rsidR="0070131E" w:rsidRPr="00693DB3">
        <w:rPr>
          <w:rFonts w:ascii="Palatino Linotype" w:hAnsi="Palatino Linotype" w:cs="Times New Roman"/>
          <w:bCs/>
          <w:sz w:val="21"/>
          <w:szCs w:val="21"/>
          <w:highlight w:val="yellow"/>
        </w:rPr>
        <w:t xml:space="preserve"> </w:t>
      </w:r>
      <w:proofErr w:type="gramStart"/>
      <w:r w:rsidR="008B6FFF" w:rsidRPr="00693DB3">
        <w:rPr>
          <w:rFonts w:ascii="Palatino Linotype" w:hAnsi="Palatino Linotype" w:cs="Times New Roman"/>
          <w:bCs/>
          <w:sz w:val="21"/>
          <w:szCs w:val="21"/>
          <w:highlight w:val="yellow"/>
        </w:rPr>
        <w:t>mahkum</w:t>
      </w:r>
      <w:proofErr w:type="gramEnd"/>
      <w:r w:rsidR="008B6FFF" w:rsidRPr="00693DB3">
        <w:rPr>
          <w:rFonts w:ascii="Palatino Linotype" w:hAnsi="Palatino Linotype" w:cs="Times New Roman"/>
          <w:bCs/>
          <w:sz w:val="21"/>
          <w:szCs w:val="21"/>
          <w:highlight w:val="yellow"/>
        </w:rPr>
        <w:t xml:space="preserve"> edildi</w:t>
      </w:r>
      <w:r w:rsidR="008B6FFF" w:rsidRPr="00693DB3">
        <w:rPr>
          <w:rFonts w:ascii="Palatino Linotype" w:hAnsi="Palatino Linotype" w:cs="Times New Roman"/>
          <w:bCs/>
          <w:sz w:val="21"/>
          <w:szCs w:val="21"/>
        </w:rPr>
        <w:t xml:space="preserve"> </w:t>
      </w:r>
      <w:r w:rsidR="0070131E" w:rsidRPr="00693DB3">
        <w:rPr>
          <w:rFonts w:ascii="Palatino Linotype" w:hAnsi="Palatino Linotype" w:cs="Times New Roman"/>
          <w:bCs/>
          <w:sz w:val="21"/>
          <w:szCs w:val="21"/>
        </w:rPr>
        <w:t xml:space="preserve">ve </w:t>
      </w:r>
      <w:r w:rsidR="0070131E" w:rsidRPr="00693DB3">
        <w:rPr>
          <w:rFonts w:ascii="Palatino Linotype" w:hAnsi="Palatino Linotype" w:cs="Times New Roman"/>
          <w:bCs/>
          <w:sz w:val="21"/>
          <w:szCs w:val="21"/>
          <w:highlight w:val="yellow"/>
        </w:rPr>
        <w:t>hakkı</w:t>
      </w:r>
      <w:r w:rsidR="009F0893" w:rsidRPr="00693DB3">
        <w:rPr>
          <w:rFonts w:ascii="Palatino Linotype" w:hAnsi="Palatino Linotype" w:cs="Times New Roman"/>
          <w:bCs/>
          <w:sz w:val="21"/>
          <w:szCs w:val="21"/>
          <w:highlight w:val="yellow"/>
        </w:rPr>
        <w:t>m</w:t>
      </w:r>
      <w:r w:rsidR="0070131E" w:rsidRPr="00693DB3">
        <w:rPr>
          <w:rFonts w:ascii="Palatino Linotype" w:hAnsi="Palatino Linotype" w:cs="Times New Roman"/>
          <w:bCs/>
          <w:sz w:val="21"/>
          <w:szCs w:val="21"/>
          <w:highlight w:val="yellow"/>
        </w:rPr>
        <w:t>daki</w:t>
      </w:r>
      <w:r w:rsidR="008B6FFF" w:rsidRPr="00693DB3">
        <w:rPr>
          <w:rFonts w:ascii="Palatino Linotype" w:hAnsi="Palatino Linotype" w:cs="Times New Roman"/>
          <w:bCs/>
          <w:sz w:val="21"/>
          <w:szCs w:val="21"/>
          <w:highlight w:val="yellow"/>
        </w:rPr>
        <w:t>/hakkındaki</w:t>
      </w:r>
      <w:r w:rsidR="0070131E" w:rsidRPr="00693DB3">
        <w:rPr>
          <w:rFonts w:ascii="Palatino Linotype" w:hAnsi="Palatino Linotype" w:cs="Times New Roman"/>
          <w:bCs/>
          <w:sz w:val="21"/>
          <w:szCs w:val="21"/>
        </w:rPr>
        <w:t xml:space="preserve"> karar …tarihinde kesinleşmiştir.</w:t>
      </w:r>
    </w:p>
    <w:p w14:paraId="14FD250D" w14:textId="77777777" w:rsidR="00AA57F8" w:rsidRDefault="009F0893" w:rsidP="00AA57F8">
      <w:pPr>
        <w:pStyle w:val="ListeParagraf"/>
        <w:numPr>
          <w:ilvl w:val="0"/>
          <w:numId w:val="2"/>
        </w:numPr>
        <w:tabs>
          <w:tab w:val="left" w:pos="3870"/>
        </w:tabs>
        <w:spacing w:line="360" w:lineRule="auto"/>
        <w:ind w:left="567" w:right="-378" w:hanging="425"/>
        <w:jc w:val="both"/>
        <w:rPr>
          <w:rFonts w:ascii="Palatino Linotype" w:hAnsi="Palatino Linotype" w:cs="Times New Roman"/>
          <w:bCs/>
          <w:sz w:val="21"/>
          <w:szCs w:val="21"/>
        </w:rPr>
      </w:pPr>
      <w:r w:rsidRPr="00693DB3">
        <w:rPr>
          <w:rFonts w:ascii="Palatino Linotype" w:hAnsi="Palatino Linotype" w:cs="Times New Roman"/>
          <w:bCs/>
          <w:sz w:val="21"/>
          <w:szCs w:val="21"/>
          <w:highlight w:val="yellow"/>
        </w:rPr>
        <w:lastRenderedPageBreak/>
        <w:t>Hakkımdaki</w:t>
      </w:r>
      <w:r w:rsidR="008B6FFF" w:rsidRPr="00693DB3">
        <w:rPr>
          <w:rFonts w:ascii="Palatino Linotype" w:hAnsi="Palatino Linotype" w:cs="Times New Roman"/>
          <w:bCs/>
          <w:sz w:val="21"/>
          <w:szCs w:val="21"/>
          <w:highlight w:val="yellow"/>
        </w:rPr>
        <w:t>/hakkındaki</w:t>
      </w:r>
      <w:r w:rsidR="0070131E" w:rsidRPr="00693DB3">
        <w:rPr>
          <w:rFonts w:ascii="Palatino Linotype" w:hAnsi="Palatino Linotype" w:cs="Times New Roman"/>
          <w:bCs/>
          <w:sz w:val="21"/>
          <w:szCs w:val="21"/>
        </w:rPr>
        <w:t xml:space="preserve"> mahkumiyet gerekçesi; sırasıyla </w:t>
      </w:r>
      <w:r w:rsidR="0070131E" w:rsidRPr="00693DB3">
        <w:rPr>
          <w:rFonts w:ascii="Palatino Linotype" w:hAnsi="Palatino Linotype" w:cs="Times New Roman"/>
          <w:bCs/>
          <w:sz w:val="21"/>
          <w:szCs w:val="21"/>
          <w:highlight w:val="yellow"/>
        </w:rPr>
        <w:t>(herkes kendi mahkumiyet gerekçesini yaz</w:t>
      </w:r>
      <w:r w:rsidR="00C65CE9">
        <w:rPr>
          <w:rFonts w:ascii="Palatino Linotype" w:hAnsi="Palatino Linotype" w:cs="Times New Roman"/>
          <w:bCs/>
          <w:sz w:val="21"/>
          <w:szCs w:val="21"/>
          <w:highlight w:val="yellow"/>
        </w:rPr>
        <w:t>malı</w:t>
      </w:r>
      <w:r w:rsidR="0070131E" w:rsidRPr="00693DB3">
        <w:rPr>
          <w:rFonts w:ascii="Palatino Linotype" w:hAnsi="Palatino Linotype" w:cs="Times New Roman"/>
          <w:bCs/>
          <w:sz w:val="21"/>
          <w:szCs w:val="21"/>
          <w:highlight w:val="yellow"/>
        </w:rPr>
        <w:t>)</w:t>
      </w:r>
      <w:r w:rsidR="0070131E" w:rsidRPr="00693DB3">
        <w:rPr>
          <w:rFonts w:ascii="Palatino Linotype" w:hAnsi="Palatino Linotype" w:cs="Times New Roman"/>
          <w:bCs/>
          <w:sz w:val="21"/>
          <w:szCs w:val="21"/>
        </w:rPr>
        <w:t xml:space="preserve"> </w:t>
      </w:r>
      <w:r w:rsidR="0070131E" w:rsidRPr="00693DB3">
        <w:rPr>
          <w:rFonts w:ascii="Palatino Linotype" w:hAnsi="Palatino Linotype" w:cs="Times New Roman"/>
          <w:bCs/>
          <w:sz w:val="21"/>
          <w:szCs w:val="21"/>
          <w:highlight w:val="yellow"/>
        </w:rPr>
        <w:t xml:space="preserve">ByLock uygulamasını indirmek, </w:t>
      </w:r>
      <w:r w:rsidR="00C7633D" w:rsidRPr="00693DB3">
        <w:rPr>
          <w:rFonts w:ascii="Palatino Linotype" w:hAnsi="Palatino Linotype" w:cs="Times New Roman"/>
          <w:bCs/>
          <w:sz w:val="21"/>
          <w:szCs w:val="21"/>
          <w:highlight w:val="yellow"/>
        </w:rPr>
        <w:t xml:space="preserve">Bank Asya’da hesap açmak, …derneğine ve …sendikasına üye olmak, …x okulunda okumak, …x gazetesi ve dergisine abone olmak, …x aboneliğini sonlandırmak, … 1dolar bulundurmak, …x derneğine yardım etmek, …x tanığın beyanı ile cemaat sohbetlerine katılmak, çocuğunu …x okulunda okutturmak, örgüte üyelikten hakkında soruşturma açılmış olan </w:t>
      </w:r>
      <w:proofErr w:type="spellStart"/>
      <w:r w:rsidR="00C7633D" w:rsidRPr="00693DB3">
        <w:rPr>
          <w:rFonts w:ascii="Palatino Linotype" w:hAnsi="Palatino Linotype" w:cs="Times New Roman"/>
          <w:bCs/>
          <w:sz w:val="21"/>
          <w:szCs w:val="21"/>
          <w:highlight w:val="yellow"/>
        </w:rPr>
        <w:t>xyz</w:t>
      </w:r>
      <w:proofErr w:type="spellEnd"/>
      <w:r w:rsidR="00C7633D" w:rsidRPr="00693DB3">
        <w:rPr>
          <w:rFonts w:ascii="Palatino Linotype" w:hAnsi="Palatino Linotype" w:cs="Times New Roman"/>
          <w:bCs/>
          <w:sz w:val="21"/>
          <w:szCs w:val="21"/>
          <w:highlight w:val="yellow"/>
        </w:rPr>
        <w:t xml:space="preserve"> kişiler ile görüşmek</w:t>
      </w:r>
      <w:r w:rsidR="00454D63" w:rsidRPr="00693DB3">
        <w:rPr>
          <w:rFonts w:ascii="Palatino Linotype" w:hAnsi="Palatino Linotype" w:cs="Times New Roman"/>
          <w:bCs/>
          <w:sz w:val="21"/>
          <w:szCs w:val="21"/>
          <w:highlight w:val="yellow"/>
        </w:rPr>
        <w:t>, seçimlerde …x partisine veya (HSK ve vb kurum seçimlerinde) x grubuna destek vermek (vb)</w:t>
      </w:r>
      <w:r w:rsidR="00454D63" w:rsidRPr="00693DB3">
        <w:rPr>
          <w:rFonts w:ascii="Palatino Linotype" w:hAnsi="Palatino Linotype" w:cs="Times New Roman"/>
          <w:bCs/>
          <w:sz w:val="21"/>
          <w:szCs w:val="21"/>
        </w:rPr>
        <w:t xml:space="preserve"> hususlarına dayan</w:t>
      </w:r>
      <w:r w:rsidRPr="00693DB3">
        <w:rPr>
          <w:rFonts w:ascii="Palatino Linotype" w:hAnsi="Palatino Linotype" w:cs="Times New Roman"/>
          <w:bCs/>
          <w:sz w:val="21"/>
          <w:szCs w:val="21"/>
        </w:rPr>
        <w:t>dırılmıştır</w:t>
      </w:r>
      <w:r w:rsidR="00454D63" w:rsidRPr="00693DB3">
        <w:rPr>
          <w:rFonts w:ascii="Palatino Linotype" w:hAnsi="Palatino Linotype" w:cs="Times New Roman"/>
          <w:bCs/>
          <w:sz w:val="21"/>
          <w:szCs w:val="21"/>
        </w:rPr>
        <w:t xml:space="preserve">. </w:t>
      </w:r>
    </w:p>
    <w:p w14:paraId="05551C66" w14:textId="77777777" w:rsidR="00AA57F8" w:rsidRPr="00AA57F8" w:rsidRDefault="009F0893" w:rsidP="00AA57F8">
      <w:pPr>
        <w:pStyle w:val="ListeParagraf"/>
        <w:numPr>
          <w:ilvl w:val="0"/>
          <w:numId w:val="2"/>
        </w:numPr>
        <w:tabs>
          <w:tab w:val="left" w:pos="3870"/>
        </w:tabs>
        <w:spacing w:line="360" w:lineRule="auto"/>
        <w:ind w:left="567" w:right="-378" w:hanging="425"/>
        <w:jc w:val="both"/>
        <w:rPr>
          <w:rFonts w:ascii="Palatino Linotype" w:hAnsi="Palatino Linotype" w:cs="Times New Roman"/>
          <w:bCs/>
          <w:sz w:val="21"/>
          <w:szCs w:val="21"/>
        </w:rPr>
      </w:pPr>
      <w:r w:rsidRPr="00AA57F8">
        <w:rPr>
          <w:rFonts w:ascii="Palatino Linotype" w:hAnsi="Palatino Linotype"/>
          <w:bCs/>
        </w:rPr>
        <w:t>Mahkûmiyete gerekçe yapılan bu olguların hukuki niteliği, ülkemizin ceza ve ceza muhakemesi hukuku alanındaki en yetkin akademisyenleri</w:t>
      </w:r>
      <w:r w:rsidR="00AA57F8" w:rsidRPr="00AA57F8">
        <w:rPr>
          <w:rFonts w:ascii="Palatino Linotype" w:hAnsi="Palatino Linotype"/>
          <w:bCs/>
        </w:rPr>
        <w:t>nden</w:t>
      </w:r>
      <w:r w:rsidRPr="00AA57F8">
        <w:rPr>
          <w:rFonts w:ascii="Palatino Linotype" w:hAnsi="Palatino Linotype"/>
          <w:bCs/>
        </w:rPr>
        <w:t xml:space="preserve"> olan Prof. Dr. </w:t>
      </w:r>
      <w:proofErr w:type="gramStart"/>
      <w:r w:rsidRPr="00AA57F8">
        <w:rPr>
          <w:rFonts w:ascii="Palatino Linotype" w:hAnsi="Palatino Linotype"/>
          <w:bCs/>
        </w:rPr>
        <w:t>Adem</w:t>
      </w:r>
      <w:proofErr w:type="gramEnd"/>
      <w:r w:rsidRPr="00AA57F8">
        <w:rPr>
          <w:rFonts w:ascii="Palatino Linotype" w:hAnsi="Palatino Linotype"/>
          <w:bCs/>
        </w:rPr>
        <w:t xml:space="preserve"> SÖZÜER, Prof. Dr. İzzet ÖZGENÇ, Prof. Dr. Faruk TURHAN, Prof. Dr. Cumhur ŞAHİN ve Prof. Dr. Tolga ŞİRİN tarafından, CMK’nın 67/6 hükmüne istinaden hazırlanan hukukî mütalaada ayrıntılı biçimde ele alınmıştır (Mütalaa, s. 1). Mütalaada, AİHM’in banka hesabı ile sendika ve dernek üyeliklerine ilişkin bu eylemleri, gerçekleştirildikleri tarihte “yasallık karinesinden yararlanan görünüşte yasal eylemler” olarak nitelendirdiği ve yerel mahkemelerin bu eylemlerin örgüt üyeliği suçu kapsamında değerlendirilmesi hususunda anlamlı bir tartışma yapmadığını kaydettiği belirtilmiştir (Mütalaa, s. 34).</w:t>
      </w:r>
    </w:p>
    <w:p w14:paraId="5D1A8385" w14:textId="2CD330DC" w:rsidR="00AA57F8" w:rsidRPr="00AA57F8" w:rsidRDefault="009F0893" w:rsidP="00AA57F8">
      <w:pPr>
        <w:pStyle w:val="ListeParagraf"/>
        <w:numPr>
          <w:ilvl w:val="0"/>
          <w:numId w:val="2"/>
        </w:numPr>
        <w:tabs>
          <w:tab w:val="left" w:pos="3870"/>
        </w:tabs>
        <w:spacing w:line="360" w:lineRule="auto"/>
        <w:ind w:left="567" w:right="-378" w:hanging="425"/>
        <w:jc w:val="both"/>
        <w:rPr>
          <w:rFonts w:ascii="Palatino Linotype" w:hAnsi="Palatino Linotype" w:cs="Times New Roman"/>
          <w:bCs/>
          <w:sz w:val="21"/>
          <w:szCs w:val="21"/>
        </w:rPr>
      </w:pPr>
      <w:r w:rsidRPr="00AA57F8">
        <w:rPr>
          <w:rFonts w:ascii="Palatino Linotype" w:hAnsi="Palatino Linotype"/>
          <w:bCs/>
        </w:rPr>
        <w:t>Mütalaada bu hususta AİHM’in Çakar ve diğerleri/Türkiye ile Yaman ve diğerleri/Türkiye kararlarına atıf yapılarak, yasal yayınlara abone olmak, hukuka uygun şekilde faaliyet gösteren okullara çocukları kaydettirmek ve ilgili bankada hesap bulundurmak gibi eylemlerin “yalnızca dolaylı nitelikte” olduğu, ek deliller bulunmadıkça isnat edilen suçun işlendiğine dair makul bir şüphe dahi doğuramayacağı vurgulanmıştır. Mütalaanın isabetle belirttiği üzere, “tutuklama için gereken şüphe düzeyini karşılamayan bir delilin hüküm için de yetmeyeceği açıktır.” (Mütalaa, s. 50-51).</w:t>
      </w:r>
    </w:p>
    <w:p w14:paraId="5DCDC42E" w14:textId="3D0623A4" w:rsidR="007A42D5" w:rsidRPr="00AA57F8" w:rsidRDefault="009F0893" w:rsidP="00AA57F8">
      <w:pPr>
        <w:pStyle w:val="ListeParagraf"/>
        <w:numPr>
          <w:ilvl w:val="0"/>
          <w:numId w:val="2"/>
        </w:numPr>
        <w:tabs>
          <w:tab w:val="left" w:pos="3870"/>
        </w:tabs>
        <w:spacing w:line="360" w:lineRule="auto"/>
        <w:ind w:left="567" w:right="-378" w:hanging="425"/>
        <w:jc w:val="both"/>
        <w:rPr>
          <w:rFonts w:ascii="Palatino Linotype" w:hAnsi="Palatino Linotype" w:cs="Times New Roman"/>
          <w:bCs/>
          <w:sz w:val="21"/>
          <w:szCs w:val="21"/>
        </w:rPr>
      </w:pPr>
      <w:r w:rsidRPr="00AA57F8">
        <w:rPr>
          <w:rFonts w:ascii="Palatino Linotype" w:hAnsi="Palatino Linotype"/>
          <w:bCs/>
        </w:rPr>
        <w:t>Nitekim mütalaada, Anayasa Mahkemesi’nin M.G. ve Hüda Kaya kararlarına atıfla; içeriği belli olmayan görüşme verilerinin, detaylandırılmamış HTS kayıtlarının, cemaate ait evlerde kalmanın veya sohbetlere katılmanın, kapatılan sendikaya üyeliğin ve banka hesabı bulundurmanın, talimatla gerçekleştiği ortaya konulmadıkça kuvvetli suç belirtisi dahi oluşturmayacağı kaydedilmiştir (Mütalaa, s. 51-52). Mütalaada ayrıca ByLock ile diğer deliller arasında hukuki nitelik ve ispat gücü bakımından bir fark bulunmadığı; bu kriterlerin “kitlesel bir kümeleme mantığıyla ‘tamamlayıcı delil’ adı altında” cezalandırmaya gerekçe yapılmasının, AİHS m. 7’nin ihlaliyle malul olan toptancı yaklaşımın farklı bir kılıf altında yeniden üretilmesinden ibaret olduğu belirtilmiştir (Mütalaa, s. 50).</w:t>
      </w:r>
    </w:p>
    <w:p w14:paraId="2EBBFE0E" w14:textId="68081404" w:rsidR="007A42D5" w:rsidRPr="00693DB3" w:rsidRDefault="007A42D5" w:rsidP="00C65CE9">
      <w:pPr>
        <w:tabs>
          <w:tab w:val="left" w:pos="3870"/>
        </w:tabs>
        <w:spacing w:line="360" w:lineRule="auto"/>
        <w:ind w:left="-142" w:right="-378"/>
        <w:jc w:val="both"/>
        <w:rPr>
          <w:rFonts w:ascii="Palatino Linotype" w:hAnsi="Palatino Linotype" w:cs="Times New Roman"/>
          <w:b/>
          <w:sz w:val="21"/>
          <w:szCs w:val="21"/>
        </w:rPr>
      </w:pPr>
      <w:r w:rsidRPr="00693DB3">
        <w:rPr>
          <w:rFonts w:ascii="Palatino Linotype" w:hAnsi="Palatino Linotype" w:cs="Times New Roman"/>
          <w:b/>
          <w:sz w:val="21"/>
          <w:szCs w:val="21"/>
        </w:rPr>
        <w:lastRenderedPageBreak/>
        <w:t>II. Yargılamanın Yenilenmesi Talebin</w:t>
      </w:r>
      <w:r w:rsidR="00762D0A" w:rsidRPr="00693DB3">
        <w:rPr>
          <w:rFonts w:ascii="Palatino Linotype" w:hAnsi="Palatino Linotype" w:cs="Times New Roman"/>
          <w:b/>
          <w:sz w:val="21"/>
          <w:szCs w:val="21"/>
        </w:rPr>
        <w:t>in Dayandığı Hukuki Kurallar</w:t>
      </w:r>
    </w:p>
    <w:p w14:paraId="7F46673B" w14:textId="77777777" w:rsidR="00AA57F8" w:rsidRDefault="00762D0A" w:rsidP="00AA57F8">
      <w:pPr>
        <w:pStyle w:val="ListeParagraf"/>
        <w:numPr>
          <w:ilvl w:val="0"/>
          <w:numId w:val="2"/>
        </w:numPr>
        <w:tabs>
          <w:tab w:val="left" w:pos="3870"/>
        </w:tabs>
        <w:spacing w:line="360" w:lineRule="auto"/>
        <w:ind w:left="630" w:right="-378"/>
        <w:jc w:val="both"/>
        <w:rPr>
          <w:rFonts w:ascii="Palatino Linotype" w:hAnsi="Palatino Linotype" w:cs="Times New Roman"/>
          <w:bCs/>
          <w:sz w:val="21"/>
          <w:szCs w:val="21"/>
        </w:rPr>
      </w:pPr>
      <w:r w:rsidRPr="00693DB3">
        <w:rPr>
          <w:rFonts w:ascii="Palatino Linotype" w:hAnsi="Palatino Linotype" w:cs="Times New Roman"/>
          <w:bCs/>
          <w:sz w:val="21"/>
          <w:szCs w:val="21"/>
        </w:rPr>
        <w:t xml:space="preserve">Hükümlü lehine yargılamanın yenilenmesi nedenleri CMK’nın 311. Maddesinde düzenlenmiştir. Müvekkil açısından yargılamanın yenilenmesi dayanağını oluşturacak düzenleme aşağıdaki gibidir: </w:t>
      </w:r>
    </w:p>
    <w:p w14:paraId="370634AC" w14:textId="77777777" w:rsidR="00AA57F8" w:rsidRPr="00AA57F8" w:rsidRDefault="00762D0A" w:rsidP="00AA57F8">
      <w:pPr>
        <w:pStyle w:val="ListeParagraf"/>
        <w:tabs>
          <w:tab w:val="left" w:pos="3870"/>
        </w:tabs>
        <w:spacing w:line="360" w:lineRule="auto"/>
        <w:ind w:left="630" w:right="-378"/>
        <w:jc w:val="both"/>
        <w:rPr>
          <w:rFonts w:ascii="Palatino Linotype" w:hAnsi="Palatino Linotype" w:cs="Times New Roman"/>
          <w:bCs/>
          <w:sz w:val="21"/>
          <w:szCs w:val="21"/>
        </w:rPr>
      </w:pPr>
      <w:r w:rsidRPr="00AA57F8">
        <w:rPr>
          <w:rFonts w:ascii="Palatino Linotype" w:hAnsi="Palatino Linotype" w:cs="Times New Roman"/>
          <w:bCs/>
          <w:i/>
          <w:iCs/>
          <w:sz w:val="21"/>
          <w:szCs w:val="21"/>
        </w:rPr>
        <w:t>“Madde 311 – (1) Kesinleşen bir hükümle sonuçlanmış bir dava, aşağıda yazılı hâllerde hükümlü lehine olarak yargılamanın yenilenmesi yoluyla tekrar görülür:</w:t>
      </w:r>
      <w:r w:rsidRPr="00AA57F8">
        <w:rPr>
          <w:rFonts w:ascii="Palatino Linotype" w:hAnsi="Palatino Linotype" w:cs="Times New Roman"/>
          <w:i/>
          <w:iCs/>
          <w:sz w:val="21"/>
          <w:szCs w:val="21"/>
        </w:rPr>
        <w:t xml:space="preserve"> </w:t>
      </w:r>
    </w:p>
    <w:p w14:paraId="0E1E28D1" w14:textId="77777777" w:rsidR="00AA57F8" w:rsidRPr="00AA57F8" w:rsidRDefault="00762D0A" w:rsidP="00AA57F8">
      <w:pPr>
        <w:pStyle w:val="ListeParagraf"/>
        <w:tabs>
          <w:tab w:val="left" w:pos="3870"/>
        </w:tabs>
        <w:spacing w:line="360" w:lineRule="auto"/>
        <w:ind w:left="630" w:right="-378"/>
        <w:jc w:val="both"/>
        <w:rPr>
          <w:rFonts w:ascii="Palatino Linotype" w:hAnsi="Palatino Linotype" w:cs="Times New Roman"/>
          <w:bCs/>
          <w:sz w:val="21"/>
          <w:szCs w:val="21"/>
        </w:rPr>
      </w:pPr>
      <w:r w:rsidRPr="00AA57F8">
        <w:rPr>
          <w:rFonts w:ascii="Palatino Linotype" w:hAnsi="Palatino Linotype" w:cs="Times New Roman"/>
          <w:bCs/>
          <w:i/>
          <w:iCs/>
          <w:sz w:val="21"/>
          <w:szCs w:val="21"/>
        </w:rPr>
        <w:t xml:space="preserve">e) Yeni olaylar veya yeni deliller ortaya konulup da bunlar yalnız başına veya önceden sunulan delillerle birlikte göz önüne alındıklarında sanığın beraatini veya daha hafif bir cezayı içeren kanun hükmünün uygulanması ile mahkûm edilmesini gerektirecek nitelikte olursa. </w:t>
      </w:r>
    </w:p>
    <w:p w14:paraId="583FDCA9" w14:textId="77777777" w:rsidR="00AA57F8" w:rsidRPr="00AA57F8" w:rsidRDefault="00762D0A" w:rsidP="00AA57F8">
      <w:pPr>
        <w:pStyle w:val="ListeParagraf"/>
        <w:tabs>
          <w:tab w:val="left" w:pos="3870"/>
        </w:tabs>
        <w:spacing w:line="360" w:lineRule="auto"/>
        <w:ind w:left="630" w:right="-378"/>
        <w:jc w:val="both"/>
        <w:rPr>
          <w:rFonts w:ascii="Palatino Linotype" w:hAnsi="Palatino Linotype" w:cs="Times New Roman"/>
          <w:bCs/>
          <w:sz w:val="21"/>
          <w:szCs w:val="21"/>
        </w:rPr>
      </w:pPr>
      <w:r w:rsidRPr="00AA57F8">
        <w:rPr>
          <w:rFonts w:ascii="Palatino Linotype" w:hAnsi="Palatino Linotype" w:cs="Times New Roman"/>
          <w:bCs/>
          <w:i/>
          <w:iCs/>
          <w:sz w:val="21"/>
          <w:szCs w:val="21"/>
        </w:rPr>
        <w:t>f) Ceza hükmünün, İnsan Haklarını ve Ana Hürriyetleri Korumaya Dair Sözleşmenin veya eki protokollerin ihlâli suretiyle verildiğinin ve hükmün bu aykırılığa dayandığının, Avrupa İnsan Hakları Mahkemesinin kesinleşmiş kararıyla tespit edilmiş olması veya ceza hükmü aleyhine Avrupa İnsan Hakları Mahkemesine yapılan başvuru hakkında dostane çözüm ya da tek taraflı deklarasyon sonucunda düşme kararı verilmesi. Bu hâlde yargılamanın yenilenmesi, Avrupa İnsan Hakları Mahkemesi kararının kesinleştiği tarihten itibaren bir yıl içinde istenebilir.</w:t>
      </w:r>
    </w:p>
    <w:p w14:paraId="3D2C7317" w14:textId="77777777" w:rsidR="00AA57F8" w:rsidRPr="00AA57F8" w:rsidRDefault="00762D0A" w:rsidP="00AA57F8">
      <w:pPr>
        <w:pStyle w:val="ListeParagraf"/>
        <w:numPr>
          <w:ilvl w:val="0"/>
          <w:numId w:val="2"/>
        </w:numPr>
        <w:tabs>
          <w:tab w:val="left" w:pos="3870"/>
        </w:tabs>
        <w:spacing w:line="360" w:lineRule="auto"/>
        <w:ind w:left="630" w:right="-378"/>
        <w:jc w:val="both"/>
        <w:rPr>
          <w:rFonts w:ascii="Palatino Linotype" w:hAnsi="Palatino Linotype" w:cs="Times New Roman"/>
          <w:bCs/>
          <w:sz w:val="21"/>
          <w:szCs w:val="21"/>
        </w:rPr>
      </w:pPr>
      <w:r w:rsidRPr="00AA57F8">
        <w:rPr>
          <w:rFonts w:ascii="Palatino Linotype" w:hAnsi="Palatino Linotype"/>
          <w:bCs/>
        </w:rPr>
        <w:t>Mütalaada, CMK m. 311/1-f hükmünün münhasıran hükümlü lehine bir yargılamanın yenilenmesi nedeni olarak kabul edildiği; bu sürecin Anayasa (m. 90/5) ve AİHS (m. 46) hükümlerinden kaynaklanan amacının, ihlalin ve doğurduğu tüm haksız sonuçların bütünüyle ortadan kaldırılması, diğer bir ifadeyle hukuken mümkün olduğu ölçüde hükümlünün ihlalden önceki durumuna döndürülmesini gerektiren “eski hâle getirme” (restitutio in integrum) yükümlülüğünün eksiksiz olarak yerine getirilmesi olduğu belirtilmiştir (Mütalaa, s. 66 ve s. 11-12).</w:t>
      </w:r>
    </w:p>
    <w:p w14:paraId="2E73DDFD" w14:textId="72F50778" w:rsidR="007A42D5" w:rsidRPr="00AA57F8" w:rsidRDefault="00762D0A" w:rsidP="00AA57F8">
      <w:pPr>
        <w:pStyle w:val="ListeParagraf"/>
        <w:numPr>
          <w:ilvl w:val="0"/>
          <w:numId w:val="2"/>
        </w:numPr>
        <w:tabs>
          <w:tab w:val="left" w:pos="3870"/>
        </w:tabs>
        <w:spacing w:line="360" w:lineRule="auto"/>
        <w:ind w:left="630" w:right="-378"/>
        <w:jc w:val="both"/>
        <w:rPr>
          <w:rFonts w:ascii="Palatino Linotype" w:hAnsi="Palatino Linotype" w:cs="Times New Roman"/>
          <w:bCs/>
          <w:sz w:val="21"/>
          <w:szCs w:val="21"/>
        </w:rPr>
      </w:pPr>
      <w:r w:rsidRPr="00AA57F8">
        <w:rPr>
          <w:rFonts w:ascii="Palatino Linotype" w:hAnsi="Palatino Linotype"/>
          <w:bCs/>
        </w:rPr>
        <w:t>Mütalaada bu sürecin sınırları da açıkça çizilmiştir: CMK m. 311/1-f kapsamında yürütülen yargılamanın yenilenmesi süreci, iddia makamına veya mahkemeye sıfırdan yeni bir kamu davası inşa etme ya da serbestçe hükümlü aleyhine delil toplama yetkisi veren genel bir kovuşturma evresi değildir. Mahkemenin hareket alanı, AİHM kararında tespit edilen ihlali ve sonuçlarını giderme amacıyla sınırlıdır; mahkemenin re’sen hükümlü aleyhine yeni delil araştırması yapması ceza muhakemesinin temel ilkelerine açıkça aykırıdır (Mütalaa, s. 67 ve s. 13).</w:t>
      </w:r>
    </w:p>
    <w:p w14:paraId="4110D753" w14:textId="77777777" w:rsidR="00AA57F8" w:rsidRDefault="00F83122" w:rsidP="00AA57F8">
      <w:pPr>
        <w:pStyle w:val="ListeParagraf"/>
        <w:numPr>
          <w:ilvl w:val="0"/>
          <w:numId w:val="2"/>
        </w:numPr>
        <w:tabs>
          <w:tab w:val="left" w:pos="3870"/>
        </w:tabs>
        <w:spacing w:line="360" w:lineRule="auto"/>
        <w:ind w:left="630" w:right="-378"/>
        <w:jc w:val="both"/>
        <w:rPr>
          <w:rFonts w:ascii="Palatino Linotype" w:hAnsi="Palatino Linotype" w:cs="Times New Roman"/>
          <w:bCs/>
          <w:sz w:val="21"/>
          <w:szCs w:val="21"/>
        </w:rPr>
      </w:pPr>
      <w:r w:rsidRPr="00693DB3">
        <w:rPr>
          <w:rFonts w:ascii="Palatino Linotype" w:hAnsi="Palatino Linotype" w:cs="Times New Roman"/>
          <w:bCs/>
          <w:sz w:val="21"/>
          <w:szCs w:val="21"/>
        </w:rPr>
        <w:t>Avrupa İnsan Hakları Sözleşmesi dahil Milletlerarası Anlaşmalar ile ilgili Anayasa’nın 90. Maddesinin ilgili fıkrası şöyledir:</w:t>
      </w:r>
    </w:p>
    <w:p w14:paraId="2C202F9B" w14:textId="77777777" w:rsidR="00AA57F8" w:rsidRPr="00AA57F8" w:rsidRDefault="00D97B5F" w:rsidP="00AA57F8">
      <w:pPr>
        <w:pStyle w:val="ListeParagraf"/>
        <w:tabs>
          <w:tab w:val="left" w:pos="3870"/>
        </w:tabs>
        <w:spacing w:line="360" w:lineRule="auto"/>
        <w:ind w:left="630" w:right="-378"/>
        <w:jc w:val="both"/>
        <w:rPr>
          <w:rFonts w:ascii="Palatino Linotype" w:hAnsi="Palatino Linotype" w:cs="Times New Roman"/>
          <w:bCs/>
          <w:sz w:val="21"/>
          <w:szCs w:val="21"/>
        </w:rPr>
      </w:pPr>
      <w:r w:rsidRPr="00AA57F8">
        <w:rPr>
          <w:rFonts w:ascii="Palatino Linotype" w:hAnsi="Palatino Linotype" w:cs="Times New Roman"/>
          <w:bCs/>
          <w:i/>
          <w:iCs/>
          <w:sz w:val="21"/>
          <w:szCs w:val="21"/>
        </w:rPr>
        <w:lastRenderedPageBreak/>
        <w:t>“</w:t>
      </w:r>
      <w:r w:rsidR="00F83122" w:rsidRPr="00AA57F8">
        <w:rPr>
          <w:rFonts w:ascii="Palatino Linotype" w:hAnsi="Palatino Linotype" w:cs="Times New Roman"/>
          <w:bCs/>
          <w:i/>
          <w:iCs/>
          <w:sz w:val="21"/>
          <w:szCs w:val="21"/>
        </w:rPr>
        <w:t xml:space="preserve">Usulüne göre yürürlüğe konulmuş Milletlerarası </w:t>
      </w:r>
      <w:proofErr w:type="spellStart"/>
      <w:r w:rsidR="00F83122" w:rsidRPr="00AA57F8">
        <w:rPr>
          <w:rFonts w:ascii="Palatino Linotype" w:hAnsi="Palatino Linotype" w:cs="Times New Roman"/>
          <w:bCs/>
          <w:i/>
          <w:iCs/>
          <w:sz w:val="21"/>
          <w:szCs w:val="21"/>
        </w:rPr>
        <w:t>andlaşmalar</w:t>
      </w:r>
      <w:proofErr w:type="spellEnd"/>
      <w:r w:rsidR="00F83122" w:rsidRPr="00AA57F8">
        <w:rPr>
          <w:rFonts w:ascii="Palatino Linotype" w:hAnsi="Palatino Linotype" w:cs="Times New Roman"/>
          <w:bCs/>
          <w:i/>
          <w:iCs/>
          <w:sz w:val="21"/>
          <w:szCs w:val="21"/>
        </w:rPr>
        <w:t xml:space="preserve"> kanun hükmündedir. Bunlar hakkında Anayasaya aykırılık iddiası ile Anayasa Mahkemesine başvurulamaz. (Ek cümle: 7/5/2004- 5170/7 md.) Usulüne göre yürürlüğe konulmuş temel hak ve özgürlüklere ilişkin milletlerarası </w:t>
      </w:r>
      <w:proofErr w:type="spellStart"/>
      <w:r w:rsidR="00F83122" w:rsidRPr="00AA57F8">
        <w:rPr>
          <w:rFonts w:ascii="Palatino Linotype" w:hAnsi="Palatino Linotype" w:cs="Times New Roman"/>
          <w:bCs/>
          <w:i/>
          <w:iCs/>
          <w:sz w:val="21"/>
          <w:szCs w:val="21"/>
        </w:rPr>
        <w:t>andlaşmalarla</w:t>
      </w:r>
      <w:proofErr w:type="spellEnd"/>
      <w:r w:rsidR="00F83122" w:rsidRPr="00AA57F8">
        <w:rPr>
          <w:rFonts w:ascii="Palatino Linotype" w:hAnsi="Palatino Linotype" w:cs="Times New Roman"/>
          <w:bCs/>
          <w:i/>
          <w:iCs/>
          <w:sz w:val="21"/>
          <w:szCs w:val="21"/>
        </w:rPr>
        <w:t xml:space="preserve"> kanunların aynı konuda farklı hükümler içermesi nedeniyle çıkabilecek uyuşmazlıklarda milletlerarası </w:t>
      </w:r>
      <w:proofErr w:type="spellStart"/>
      <w:r w:rsidR="00F83122" w:rsidRPr="00AA57F8">
        <w:rPr>
          <w:rFonts w:ascii="Palatino Linotype" w:hAnsi="Palatino Linotype" w:cs="Times New Roman"/>
          <w:bCs/>
          <w:i/>
          <w:iCs/>
          <w:sz w:val="21"/>
          <w:szCs w:val="21"/>
        </w:rPr>
        <w:t>andlaşma</w:t>
      </w:r>
      <w:proofErr w:type="spellEnd"/>
      <w:r w:rsidR="00F83122" w:rsidRPr="00AA57F8">
        <w:rPr>
          <w:rFonts w:ascii="Palatino Linotype" w:hAnsi="Palatino Linotype" w:cs="Times New Roman"/>
          <w:bCs/>
          <w:i/>
          <w:iCs/>
          <w:sz w:val="21"/>
          <w:szCs w:val="21"/>
        </w:rPr>
        <w:t xml:space="preserve"> hükümleri esas alınır.</w:t>
      </w:r>
      <w:r w:rsidRPr="00AA57F8">
        <w:rPr>
          <w:rFonts w:ascii="Palatino Linotype" w:hAnsi="Palatino Linotype" w:cs="Times New Roman"/>
          <w:bCs/>
          <w:i/>
          <w:iCs/>
          <w:sz w:val="21"/>
          <w:szCs w:val="21"/>
        </w:rPr>
        <w:t>”</w:t>
      </w:r>
    </w:p>
    <w:p w14:paraId="2E17F273" w14:textId="37E37585" w:rsidR="00F83122" w:rsidRPr="00AA57F8" w:rsidRDefault="00D97B5F" w:rsidP="00AA57F8">
      <w:pPr>
        <w:pStyle w:val="ListeParagraf"/>
        <w:numPr>
          <w:ilvl w:val="0"/>
          <w:numId w:val="2"/>
        </w:numPr>
        <w:tabs>
          <w:tab w:val="left" w:pos="3870"/>
        </w:tabs>
        <w:spacing w:line="360" w:lineRule="auto"/>
        <w:ind w:left="630" w:right="-378"/>
        <w:jc w:val="both"/>
        <w:rPr>
          <w:rFonts w:ascii="Palatino Linotype" w:hAnsi="Palatino Linotype" w:cs="Times New Roman"/>
          <w:bCs/>
          <w:sz w:val="21"/>
          <w:szCs w:val="21"/>
        </w:rPr>
      </w:pPr>
      <w:r w:rsidRPr="00AA57F8">
        <w:rPr>
          <w:rFonts w:ascii="Palatino Linotype" w:hAnsi="Palatino Linotype"/>
          <w:bCs/>
        </w:rPr>
        <w:t>Mütalaada da bu hükmün niteliği açıklanarak, Anayasa m. 90/5 kuralının bir “zımnî ilga kuralı” olduğu ve temel hak ve özgürlüklere ilişkin sözleşme hükümleriyle çatışan kanun hükümlerinin uygulanma kabiliyetini ortadan kaldırdığı; Anayasa Mahkemesi’nin de AİHM kararlarına uymamanın aynı zamanda Anayasa’nın ihlali anlamına geldiğini kabul ederek AİHM kararlarının iç hukukta doğrudan etki doğurduğunu benimsediği ifade edilmiştir (Mütalaa, s. 46).</w:t>
      </w:r>
    </w:p>
    <w:p w14:paraId="1FA142D1" w14:textId="16AD402F" w:rsidR="00F83122" w:rsidRPr="00693DB3" w:rsidRDefault="003A6719" w:rsidP="00C61BA4">
      <w:pPr>
        <w:tabs>
          <w:tab w:val="left" w:pos="3870"/>
        </w:tabs>
        <w:spacing w:line="360" w:lineRule="auto"/>
        <w:ind w:right="-378"/>
        <w:jc w:val="both"/>
        <w:rPr>
          <w:rFonts w:ascii="Palatino Linotype" w:hAnsi="Palatino Linotype" w:cs="Times New Roman"/>
          <w:b/>
          <w:sz w:val="21"/>
          <w:szCs w:val="21"/>
        </w:rPr>
      </w:pPr>
      <w:r w:rsidRPr="00693DB3">
        <w:rPr>
          <w:rFonts w:ascii="Palatino Linotype" w:hAnsi="Palatino Linotype" w:cs="Times New Roman"/>
          <w:b/>
          <w:sz w:val="21"/>
          <w:szCs w:val="21"/>
        </w:rPr>
        <w:t>III. Yargılamanın Yenilenmesi Talebine Neden Olan Yeni Olay</w:t>
      </w:r>
    </w:p>
    <w:p w14:paraId="7E37E5DB" w14:textId="55616295" w:rsidR="0000402A" w:rsidRPr="00693DB3" w:rsidRDefault="0000402A" w:rsidP="008A5BF2">
      <w:pPr>
        <w:pStyle w:val="ListeParagraf"/>
        <w:numPr>
          <w:ilvl w:val="0"/>
          <w:numId w:val="2"/>
        </w:numPr>
        <w:tabs>
          <w:tab w:val="left" w:pos="3870"/>
        </w:tabs>
        <w:spacing w:line="360" w:lineRule="auto"/>
        <w:ind w:left="630" w:right="-378"/>
        <w:jc w:val="both"/>
        <w:rPr>
          <w:rFonts w:ascii="Palatino Linotype" w:hAnsi="Palatino Linotype" w:cs="Times New Roman"/>
          <w:bCs/>
          <w:sz w:val="21"/>
          <w:szCs w:val="21"/>
        </w:rPr>
      </w:pPr>
      <w:r w:rsidRPr="00693DB3">
        <w:rPr>
          <w:rFonts w:ascii="Palatino Linotype" w:hAnsi="Palatino Linotype" w:cs="Times New Roman"/>
          <w:bCs/>
          <w:sz w:val="21"/>
          <w:szCs w:val="21"/>
        </w:rPr>
        <w:t xml:space="preserve">Avrupa İnsan Hakları Mahkemesi </w:t>
      </w:r>
      <w:r w:rsidR="00693DB3" w:rsidRPr="00693DB3">
        <w:rPr>
          <w:rFonts w:ascii="Palatino Linotype" w:hAnsi="Palatino Linotype" w:cs="Times New Roman"/>
          <w:bCs/>
          <w:sz w:val="21"/>
          <w:szCs w:val="21"/>
        </w:rPr>
        <w:t>5 Mayıs</w:t>
      </w:r>
      <w:r w:rsidRPr="00693DB3">
        <w:rPr>
          <w:rFonts w:ascii="Palatino Linotype" w:hAnsi="Palatino Linotype" w:cs="Times New Roman"/>
          <w:bCs/>
          <w:sz w:val="21"/>
          <w:szCs w:val="21"/>
        </w:rPr>
        <w:t xml:space="preserve"> </w:t>
      </w:r>
      <w:r w:rsidR="00693DB3" w:rsidRPr="00693DB3">
        <w:rPr>
          <w:rFonts w:ascii="Palatino Linotype" w:hAnsi="Palatino Linotype" w:cs="Times New Roman"/>
          <w:bCs/>
          <w:sz w:val="21"/>
          <w:szCs w:val="21"/>
        </w:rPr>
        <w:t xml:space="preserve">2026 </w:t>
      </w:r>
      <w:r w:rsidRPr="00693DB3">
        <w:rPr>
          <w:rFonts w:ascii="Palatino Linotype" w:hAnsi="Palatino Linotype" w:cs="Times New Roman"/>
          <w:bCs/>
          <w:sz w:val="21"/>
          <w:szCs w:val="21"/>
        </w:rPr>
        <w:t xml:space="preserve">tarihinde müvekkil ile aynı suçlamaya maruz kalmış, aynı deliller ile </w:t>
      </w:r>
      <w:proofErr w:type="gramStart"/>
      <w:r w:rsidRPr="00693DB3">
        <w:rPr>
          <w:rFonts w:ascii="Palatino Linotype" w:hAnsi="Palatino Linotype" w:cs="Times New Roman"/>
          <w:bCs/>
          <w:sz w:val="21"/>
          <w:szCs w:val="21"/>
        </w:rPr>
        <w:t>mahkum</w:t>
      </w:r>
      <w:proofErr w:type="gramEnd"/>
      <w:r w:rsidRPr="00693DB3">
        <w:rPr>
          <w:rFonts w:ascii="Palatino Linotype" w:hAnsi="Palatino Linotype" w:cs="Times New Roman"/>
          <w:bCs/>
          <w:sz w:val="21"/>
          <w:szCs w:val="21"/>
        </w:rPr>
        <w:t xml:space="preserve"> olmuş ve hakkındaki karar kesinleşmiş olan </w:t>
      </w:r>
      <w:r w:rsidR="00693DB3" w:rsidRPr="00693DB3">
        <w:rPr>
          <w:rFonts w:ascii="Palatino Linotype" w:hAnsi="Palatino Linotype" w:cs="Times New Roman"/>
          <w:bCs/>
          <w:sz w:val="21"/>
          <w:szCs w:val="21"/>
        </w:rPr>
        <w:t>Şaban Yasak</w:t>
      </w:r>
      <w:r w:rsidRPr="00693DB3">
        <w:rPr>
          <w:rFonts w:ascii="Palatino Linotype" w:hAnsi="Palatino Linotype" w:cs="Times New Roman"/>
          <w:bCs/>
          <w:sz w:val="21"/>
          <w:szCs w:val="21"/>
        </w:rPr>
        <w:t xml:space="preserve"> başvurusunda temel hak ihlali tespiti yapmıştır.</w:t>
      </w:r>
    </w:p>
    <w:p w14:paraId="7C1F5FA2" w14:textId="140FC0A1" w:rsidR="00F83122" w:rsidRPr="00693DB3" w:rsidRDefault="009C3F9F" w:rsidP="008A5BF2">
      <w:pPr>
        <w:pStyle w:val="ListeParagraf"/>
        <w:numPr>
          <w:ilvl w:val="0"/>
          <w:numId w:val="2"/>
        </w:numPr>
        <w:tabs>
          <w:tab w:val="left" w:pos="3870"/>
        </w:tabs>
        <w:spacing w:line="360" w:lineRule="auto"/>
        <w:ind w:left="630" w:right="-378"/>
        <w:jc w:val="both"/>
        <w:rPr>
          <w:rFonts w:ascii="Palatino Linotype" w:hAnsi="Palatino Linotype" w:cs="Times New Roman"/>
          <w:bCs/>
          <w:sz w:val="21"/>
          <w:szCs w:val="21"/>
        </w:rPr>
      </w:pPr>
      <w:r w:rsidRPr="00693DB3">
        <w:rPr>
          <w:rFonts w:ascii="Palatino Linotype" w:hAnsi="Palatino Linotype" w:cs="Times New Roman"/>
          <w:bCs/>
          <w:sz w:val="21"/>
          <w:szCs w:val="21"/>
        </w:rPr>
        <w:t>AİHM kararları CMK 311/1-f gereği yargılamanın yenilenmesine konu olduğu gibi, bu durum, aynı zamanda Anayasa Mahkemesi’nin İbrahim Er ve Diğerleri kararında</w:t>
      </w:r>
      <w:r w:rsidR="00D4338F" w:rsidRPr="00693DB3">
        <w:rPr>
          <w:rFonts w:ascii="Palatino Linotype" w:hAnsi="Palatino Linotype" w:cs="Times New Roman"/>
          <w:bCs/>
          <w:sz w:val="21"/>
          <w:szCs w:val="21"/>
        </w:rPr>
        <w:t>,</w:t>
      </w:r>
      <w:r w:rsidRPr="00693DB3">
        <w:rPr>
          <w:rFonts w:ascii="Palatino Linotype" w:hAnsi="Palatino Linotype" w:cs="Times New Roman"/>
          <w:bCs/>
          <w:sz w:val="21"/>
          <w:szCs w:val="21"/>
        </w:rPr>
        <w:t xml:space="preserve"> yine bir terör örgütü üyeliği ve yargılamanın yenilenmesi bağlamında</w:t>
      </w:r>
      <w:r w:rsidR="00D4338F" w:rsidRPr="00693DB3">
        <w:rPr>
          <w:rFonts w:ascii="Palatino Linotype" w:hAnsi="Palatino Linotype" w:cs="Times New Roman"/>
          <w:bCs/>
          <w:sz w:val="21"/>
          <w:szCs w:val="21"/>
        </w:rPr>
        <w:t>,</w:t>
      </w:r>
      <w:r w:rsidRPr="00693DB3">
        <w:rPr>
          <w:rFonts w:ascii="Palatino Linotype" w:hAnsi="Palatino Linotype" w:cs="Times New Roman"/>
          <w:bCs/>
          <w:sz w:val="21"/>
          <w:szCs w:val="21"/>
        </w:rPr>
        <w:t xml:space="preserve"> ortaya konulduğu gibi </w:t>
      </w:r>
      <w:r w:rsidRPr="00693DB3">
        <w:rPr>
          <w:rFonts w:ascii="Palatino Linotype" w:hAnsi="Palatino Linotype" w:cs="Times New Roman"/>
          <w:bCs/>
          <w:i/>
          <w:iCs/>
          <w:sz w:val="21"/>
          <w:szCs w:val="21"/>
        </w:rPr>
        <w:t>“yeni bir olay”</w:t>
      </w:r>
      <w:r w:rsidRPr="00693DB3">
        <w:rPr>
          <w:rFonts w:ascii="Palatino Linotype" w:hAnsi="Palatino Linotype" w:cs="Times New Roman"/>
          <w:bCs/>
          <w:sz w:val="21"/>
          <w:szCs w:val="21"/>
        </w:rPr>
        <w:t xml:space="preserve"> olduğundan, CMK 311/1-e kapsamında da hukuki dayanağa sahiptir.</w:t>
      </w:r>
    </w:p>
    <w:p w14:paraId="769AFA23" w14:textId="77777777" w:rsidR="00AA57F8" w:rsidRDefault="009F0893" w:rsidP="00AA57F8">
      <w:pPr>
        <w:pStyle w:val="ListeParagraf"/>
        <w:numPr>
          <w:ilvl w:val="0"/>
          <w:numId w:val="2"/>
        </w:numPr>
        <w:tabs>
          <w:tab w:val="left" w:pos="3870"/>
        </w:tabs>
        <w:spacing w:line="360" w:lineRule="auto"/>
        <w:ind w:left="630" w:right="-378"/>
        <w:jc w:val="both"/>
        <w:rPr>
          <w:rFonts w:ascii="Palatino Linotype" w:hAnsi="Palatino Linotype" w:cs="Times New Roman"/>
          <w:bCs/>
          <w:sz w:val="21"/>
          <w:szCs w:val="21"/>
        </w:rPr>
      </w:pPr>
      <w:r w:rsidRPr="00693DB3">
        <w:rPr>
          <w:rFonts w:ascii="Palatino Linotype" w:hAnsi="Palatino Linotype" w:cs="Times New Roman"/>
          <w:bCs/>
          <w:sz w:val="21"/>
          <w:szCs w:val="21"/>
          <w:highlight w:val="yellow"/>
        </w:rPr>
        <w:t>D</w:t>
      </w:r>
      <w:r w:rsidR="00D4338F" w:rsidRPr="00693DB3">
        <w:rPr>
          <w:rFonts w:ascii="Palatino Linotype" w:hAnsi="Palatino Linotype" w:cs="Times New Roman"/>
          <w:bCs/>
          <w:sz w:val="21"/>
          <w:szCs w:val="21"/>
          <w:highlight w:val="yellow"/>
        </w:rPr>
        <w:t>urumu</w:t>
      </w:r>
      <w:r w:rsidRPr="00693DB3">
        <w:rPr>
          <w:rFonts w:ascii="Palatino Linotype" w:hAnsi="Palatino Linotype" w:cs="Times New Roman"/>
          <w:bCs/>
          <w:sz w:val="21"/>
          <w:szCs w:val="21"/>
          <w:highlight w:val="yellow"/>
        </w:rPr>
        <w:t>m</w:t>
      </w:r>
      <w:r w:rsidR="008B6FFF" w:rsidRPr="00693DB3">
        <w:rPr>
          <w:rFonts w:ascii="Palatino Linotype" w:hAnsi="Palatino Linotype" w:cs="Times New Roman"/>
          <w:bCs/>
          <w:sz w:val="21"/>
          <w:szCs w:val="21"/>
          <w:highlight w:val="yellow"/>
        </w:rPr>
        <w:t>/eşimin/vasisi olduğum …’in durumu</w:t>
      </w:r>
      <w:r w:rsidRPr="00693DB3">
        <w:rPr>
          <w:rFonts w:ascii="Palatino Linotype" w:hAnsi="Palatino Linotype" w:cs="Times New Roman"/>
          <w:bCs/>
          <w:sz w:val="21"/>
          <w:szCs w:val="21"/>
        </w:rPr>
        <w:t>,</w:t>
      </w:r>
      <w:r w:rsidR="00D4338F" w:rsidRPr="00693DB3">
        <w:rPr>
          <w:rFonts w:ascii="Palatino Linotype" w:hAnsi="Palatino Linotype" w:cs="Times New Roman"/>
          <w:bCs/>
          <w:sz w:val="21"/>
          <w:szCs w:val="21"/>
        </w:rPr>
        <w:t xml:space="preserve"> AİHM kararına konu olan suçlama ile yüzde yüz örtüşmektedir. </w:t>
      </w:r>
      <w:r w:rsidRPr="00693DB3">
        <w:rPr>
          <w:rFonts w:ascii="Palatino Linotype" w:hAnsi="Palatino Linotype" w:cs="Times New Roman"/>
          <w:bCs/>
          <w:sz w:val="21"/>
          <w:szCs w:val="21"/>
          <w:highlight w:val="yellow"/>
        </w:rPr>
        <w:t>Ben de</w:t>
      </w:r>
      <w:r w:rsidR="008B6FFF" w:rsidRPr="00693DB3">
        <w:rPr>
          <w:rFonts w:ascii="Palatino Linotype" w:hAnsi="Palatino Linotype" w:cs="Times New Roman"/>
          <w:bCs/>
          <w:sz w:val="21"/>
          <w:szCs w:val="21"/>
          <w:highlight w:val="yellow"/>
        </w:rPr>
        <w:t>/eşim/vasisi olduğum</w:t>
      </w:r>
      <w:proofErr w:type="gramStart"/>
      <w:r w:rsidR="008B6FFF" w:rsidRPr="00693DB3">
        <w:rPr>
          <w:rFonts w:ascii="Palatino Linotype" w:hAnsi="Palatino Linotype" w:cs="Times New Roman"/>
          <w:bCs/>
          <w:sz w:val="21"/>
          <w:szCs w:val="21"/>
          <w:highlight w:val="yellow"/>
        </w:rPr>
        <w:t xml:space="preserve"> ….</w:t>
      </w:r>
      <w:proofErr w:type="gramEnd"/>
      <w:r w:rsidR="00D4338F" w:rsidRPr="00693DB3">
        <w:rPr>
          <w:rFonts w:ascii="Palatino Linotype" w:hAnsi="Palatino Linotype" w:cs="Times New Roman"/>
          <w:bCs/>
          <w:sz w:val="21"/>
          <w:szCs w:val="21"/>
          <w:highlight w:val="yellow"/>
        </w:rPr>
        <w:t>,</w:t>
      </w:r>
      <w:r w:rsidR="00D4338F" w:rsidRPr="00693DB3">
        <w:rPr>
          <w:rFonts w:ascii="Palatino Linotype" w:hAnsi="Palatino Linotype" w:cs="Times New Roman"/>
          <w:bCs/>
          <w:sz w:val="21"/>
          <w:szCs w:val="21"/>
        </w:rPr>
        <w:t xml:space="preserve"> AİHM’in kastettiği sistemik sorunun bir </w:t>
      </w:r>
      <w:r w:rsidR="00D4338F" w:rsidRPr="00693DB3">
        <w:rPr>
          <w:rFonts w:ascii="Palatino Linotype" w:hAnsi="Palatino Linotype" w:cs="Times New Roman"/>
          <w:bCs/>
          <w:sz w:val="21"/>
          <w:szCs w:val="21"/>
          <w:highlight w:val="yellow"/>
        </w:rPr>
        <w:t>parçası</w:t>
      </w:r>
      <w:r w:rsidRPr="00693DB3">
        <w:rPr>
          <w:rFonts w:ascii="Palatino Linotype" w:hAnsi="Palatino Linotype" w:cs="Times New Roman"/>
          <w:bCs/>
          <w:sz w:val="21"/>
          <w:szCs w:val="21"/>
          <w:highlight w:val="yellow"/>
        </w:rPr>
        <w:t>yım</w:t>
      </w:r>
      <w:r w:rsidR="008B6FFF" w:rsidRPr="00693DB3">
        <w:rPr>
          <w:rFonts w:ascii="Palatino Linotype" w:hAnsi="Palatino Linotype" w:cs="Times New Roman"/>
          <w:bCs/>
          <w:sz w:val="21"/>
          <w:szCs w:val="21"/>
          <w:highlight w:val="yellow"/>
        </w:rPr>
        <w:t>/parçasıdır</w:t>
      </w:r>
      <w:r w:rsidR="00D4338F" w:rsidRPr="00693DB3">
        <w:rPr>
          <w:rFonts w:ascii="Palatino Linotype" w:hAnsi="Palatino Linotype" w:cs="Times New Roman"/>
          <w:bCs/>
          <w:sz w:val="21"/>
          <w:szCs w:val="21"/>
        </w:rPr>
        <w:t xml:space="preserve">. AİHM, verdiği kararının benzer dosyalara, kesinleşen kararlara da uygulanmasını ve yargılamalarının yenilenmesini istemiştir. </w:t>
      </w:r>
      <w:r w:rsidR="00CD76E1" w:rsidRPr="00693DB3">
        <w:rPr>
          <w:rFonts w:ascii="Palatino Linotype" w:hAnsi="Palatino Linotype" w:cs="Times New Roman"/>
          <w:bCs/>
          <w:sz w:val="21"/>
          <w:szCs w:val="21"/>
        </w:rPr>
        <w:t>Bu nedenle mahkemenin</w:t>
      </w:r>
      <w:r w:rsidRPr="00693DB3">
        <w:rPr>
          <w:rFonts w:ascii="Palatino Linotype" w:hAnsi="Palatino Linotype" w:cs="Times New Roman"/>
          <w:bCs/>
          <w:sz w:val="21"/>
          <w:szCs w:val="21"/>
        </w:rPr>
        <w:t xml:space="preserve"> </w:t>
      </w:r>
      <w:r w:rsidR="00CD76E1" w:rsidRPr="00693DB3">
        <w:rPr>
          <w:rFonts w:ascii="Palatino Linotype" w:hAnsi="Palatino Linotype" w:cs="Times New Roman"/>
          <w:bCs/>
          <w:sz w:val="21"/>
          <w:szCs w:val="21"/>
          <w:highlight w:val="yellow"/>
        </w:rPr>
        <w:t>hakkı</w:t>
      </w:r>
      <w:r w:rsidRPr="00693DB3">
        <w:rPr>
          <w:rFonts w:ascii="Palatino Linotype" w:hAnsi="Palatino Linotype" w:cs="Times New Roman"/>
          <w:bCs/>
          <w:sz w:val="21"/>
          <w:szCs w:val="21"/>
          <w:highlight w:val="yellow"/>
        </w:rPr>
        <w:t>m</w:t>
      </w:r>
      <w:r w:rsidR="00CD76E1" w:rsidRPr="00693DB3">
        <w:rPr>
          <w:rFonts w:ascii="Palatino Linotype" w:hAnsi="Palatino Linotype" w:cs="Times New Roman"/>
          <w:bCs/>
          <w:sz w:val="21"/>
          <w:szCs w:val="21"/>
          <w:highlight w:val="yellow"/>
        </w:rPr>
        <w:t>da</w:t>
      </w:r>
      <w:r w:rsidR="008B6FFF" w:rsidRPr="00693DB3">
        <w:rPr>
          <w:rFonts w:ascii="Palatino Linotype" w:hAnsi="Palatino Linotype" w:cs="Times New Roman"/>
          <w:bCs/>
          <w:sz w:val="21"/>
          <w:szCs w:val="21"/>
          <w:highlight w:val="yellow"/>
        </w:rPr>
        <w:t>/hakkında</w:t>
      </w:r>
      <w:r w:rsidR="00CD76E1" w:rsidRPr="00693DB3">
        <w:rPr>
          <w:rFonts w:ascii="Palatino Linotype" w:hAnsi="Palatino Linotype" w:cs="Times New Roman"/>
          <w:bCs/>
          <w:sz w:val="21"/>
          <w:szCs w:val="21"/>
        </w:rPr>
        <w:t xml:space="preserve"> yeniden yargılama yapması Anayasanın ve Sözleşme hukukunun üstünlüğünün gereğidir.</w:t>
      </w:r>
      <w:r w:rsidR="00D4338F" w:rsidRPr="00693DB3">
        <w:rPr>
          <w:rFonts w:ascii="Palatino Linotype" w:hAnsi="Palatino Linotype" w:cs="Times New Roman"/>
          <w:bCs/>
          <w:sz w:val="21"/>
          <w:szCs w:val="21"/>
        </w:rPr>
        <w:t xml:space="preserve"> </w:t>
      </w:r>
    </w:p>
    <w:p w14:paraId="2AC21611" w14:textId="77777777" w:rsidR="00AA57F8" w:rsidRPr="00AA57F8" w:rsidRDefault="009F0893" w:rsidP="00AA57F8">
      <w:pPr>
        <w:pStyle w:val="ListeParagraf"/>
        <w:numPr>
          <w:ilvl w:val="0"/>
          <w:numId w:val="2"/>
        </w:numPr>
        <w:tabs>
          <w:tab w:val="left" w:pos="3870"/>
        </w:tabs>
        <w:spacing w:line="360" w:lineRule="auto"/>
        <w:ind w:left="630" w:right="-378"/>
        <w:jc w:val="both"/>
        <w:rPr>
          <w:rFonts w:ascii="Palatino Linotype" w:hAnsi="Palatino Linotype" w:cs="Times New Roman"/>
          <w:bCs/>
          <w:sz w:val="21"/>
          <w:szCs w:val="21"/>
        </w:rPr>
      </w:pPr>
      <w:r w:rsidRPr="00AA57F8">
        <w:rPr>
          <w:rFonts w:ascii="Palatino Linotype" w:hAnsi="Palatino Linotype"/>
          <w:bCs/>
        </w:rPr>
        <w:t>Bu husus mütalaada da ayrıntılı biçimde ele alınmıştır. Mütalaaya göre anılan AİHM kararları “yarı-pilot” (quasi-pilot) nitelikte, diğer bir ifadeyle “madde 46 kararları”dır; yapısal veya sistemik sorunları tespit eden bu tür kararlar bakımından bağlayıcılık aynen geçerlidir (Mütalaa, s. 43-44).</w:t>
      </w:r>
    </w:p>
    <w:p w14:paraId="48C70554" w14:textId="77777777" w:rsidR="00AA57F8" w:rsidRPr="00AA57F8" w:rsidRDefault="009F0893" w:rsidP="00AA57F8">
      <w:pPr>
        <w:pStyle w:val="ListeParagraf"/>
        <w:numPr>
          <w:ilvl w:val="0"/>
          <w:numId w:val="2"/>
        </w:numPr>
        <w:tabs>
          <w:tab w:val="left" w:pos="3870"/>
        </w:tabs>
        <w:spacing w:line="360" w:lineRule="auto"/>
        <w:ind w:left="630" w:right="-378"/>
        <w:jc w:val="both"/>
        <w:rPr>
          <w:rFonts w:ascii="Palatino Linotype" w:hAnsi="Palatino Linotype" w:cs="Times New Roman"/>
          <w:bCs/>
          <w:sz w:val="21"/>
          <w:szCs w:val="21"/>
        </w:rPr>
      </w:pPr>
      <w:r w:rsidRPr="00AA57F8">
        <w:rPr>
          <w:rFonts w:ascii="Palatino Linotype" w:hAnsi="Palatino Linotype"/>
          <w:bCs/>
        </w:rPr>
        <w:t xml:space="preserve">Mütalaada, ortada aynı tipik eylemlerden (kriterlerden) kaynaklanan kitlesel bir ihlal tespiti varken kanun hükmünün salt başvuranlarla sınırlı tutulmasının, olağanüstü kanun yolunun </w:t>
      </w:r>
      <w:r w:rsidRPr="00AA57F8">
        <w:rPr>
          <w:rFonts w:ascii="Palatino Linotype" w:hAnsi="Palatino Linotype"/>
          <w:bCs/>
        </w:rPr>
        <w:lastRenderedPageBreak/>
        <w:t>ihdas ediliş amacıyla bağdaşmadığı; kanun hükmünde doğrudan AİHM nezdinde bireysel başvuru yapan kişi hakkında bu hükmün uygulanacağı yönünde özel bir belirleme bulunmadığı vurgulanmıştır. Zira AİHM, yalnızca münferit başvuran bakımından tespit yapmadığını belirterek sistematik sorunun varlığını ve bu sorunun binlerce kişiyi etkilediğini ifade etmiştir (Mütalaa, s. 36 ve s. 37-38).</w:t>
      </w:r>
    </w:p>
    <w:p w14:paraId="2C0D640B" w14:textId="77777777" w:rsidR="00AA57F8" w:rsidRPr="00AA57F8" w:rsidRDefault="009F0893" w:rsidP="00AA57F8">
      <w:pPr>
        <w:pStyle w:val="ListeParagraf"/>
        <w:numPr>
          <w:ilvl w:val="0"/>
          <w:numId w:val="2"/>
        </w:numPr>
        <w:tabs>
          <w:tab w:val="left" w:pos="3870"/>
        </w:tabs>
        <w:spacing w:line="360" w:lineRule="auto"/>
        <w:ind w:left="630" w:right="-378"/>
        <w:jc w:val="both"/>
        <w:rPr>
          <w:rFonts w:ascii="Palatino Linotype" w:hAnsi="Palatino Linotype" w:cs="Times New Roman"/>
          <w:bCs/>
          <w:sz w:val="21"/>
          <w:szCs w:val="21"/>
        </w:rPr>
      </w:pPr>
      <w:r w:rsidRPr="00AA57F8">
        <w:rPr>
          <w:rFonts w:ascii="Palatino Linotype" w:hAnsi="Palatino Linotype"/>
          <w:bCs/>
        </w:rPr>
        <w:t>Mütalaada ayrıca, CMK m. 311/1-f hükmünün dar yorumlanmasının, kabul edilebilirlik şartlarını karşılayamayan kişiler bakımından başvurulabilecek etkili bir hukuki yolun bulunmaması sonucunu doğuracağı; haksız yere tesis edilen mahkûmiyet hükmünün düzeltilmesinin toplumu ve adaleti daha yakından ilgilendirdiği; hukuki bir hatanın varlığı anlaşılmasına rağmen kesin hükmün varlığının devam etmesinin hukuk devleti ilkesine aykırı olduğu ve hukuk devletine olan güveni zedeleyeceği belirtilmiştir (Mütalaa, s. 37-38).</w:t>
      </w:r>
    </w:p>
    <w:p w14:paraId="5090ACEE" w14:textId="2438A48C" w:rsidR="00693DB3" w:rsidRPr="00AA57F8" w:rsidRDefault="009F0893" w:rsidP="00AA57F8">
      <w:pPr>
        <w:pStyle w:val="ListeParagraf"/>
        <w:numPr>
          <w:ilvl w:val="0"/>
          <w:numId w:val="2"/>
        </w:numPr>
        <w:tabs>
          <w:tab w:val="left" w:pos="3870"/>
        </w:tabs>
        <w:spacing w:line="360" w:lineRule="auto"/>
        <w:ind w:left="630" w:right="-378"/>
        <w:jc w:val="both"/>
        <w:rPr>
          <w:rFonts w:ascii="Palatino Linotype" w:hAnsi="Palatino Linotype" w:cs="Times New Roman"/>
          <w:bCs/>
          <w:sz w:val="21"/>
          <w:szCs w:val="21"/>
        </w:rPr>
      </w:pPr>
      <w:r w:rsidRPr="00AA57F8">
        <w:rPr>
          <w:rFonts w:ascii="Palatino Linotype" w:hAnsi="Palatino Linotype"/>
          <w:bCs/>
        </w:rPr>
        <w:t>Mütalaada, AİHM tarafından yaygın ve sistematik bir sorunun tespit edilmesinin, ihlalin ve sonuçlarının giderilebilmesi amacıyla CMK m. 311/1-e bakımından “yeni olay ya da yeni delil” kapsamında değerlendirilebileceği; bu değerlendirmenin m. 311/1-f kapsamındaki temel argümanı destekleyici ve tamamlayıcı nitelikte olduğu ifade edilmiştir (Mütalaa, s. 40 ve s. 69).</w:t>
      </w:r>
    </w:p>
    <w:p w14:paraId="3496C42A" w14:textId="1D35CF9D" w:rsidR="00693DB3" w:rsidRPr="003E353F" w:rsidRDefault="00C61BA4" w:rsidP="003E353F">
      <w:pPr>
        <w:tabs>
          <w:tab w:val="left" w:pos="3870"/>
        </w:tabs>
        <w:spacing w:line="360" w:lineRule="auto"/>
        <w:ind w:left="270" w:right="-378"/>
        <w:jc w:val="both"/>
        <w:rPr>
          <w:rFonts w:ascii="Palatino Linotype" w:hAnsi="Palatino Linotype" w:cs="Times New Roman"/>
          <w:bCs/>
          <w:sz w:val="21"/>
          <w:szCs w:val="21"/>
        </w:rPr>
      </w:pPr>
      <w:r w:rsidRPr="003E353F">
        <w:rPr>
          <w:rFonts w:ascii="Palatino Linotype" w:hAnsi="Palatino Linotype" w:cs="Times New Roman"/>
          <w:b/>
          <w:sz w:val="21"/>
          <w:szCs w:val="21"/>
          <w:lang w:val="tr"/>
        </w:rPr>
        <w:t xml:space="preserve">A- </w:t>
      </w:r>
      <w:r w:rsidR="008A5BF2" w:rsidRPr="003E353F">
        <w:rPr>
          <w:rFonts w:ascii="Palatino Linotype" w:hAnsi="Palatino Linotype" w:cs="Times New Roman"/>
          <w:b/>
          <w:sz w:val="21"/>
          <w:szCs w:val="21"/>
          <w:lang w:val="tr"/>
        </w:rPr>
        <w:t xml:space="preserve">AİHM’in </w:t>
      </w:r>
      <w:r w:rsidR="003E353F" w:rsidRPr="003E353F">
        <w:rPr>
          <w:rFonts w:ascii="Palatino Linotype" w:hAnsi="Palatino Linotype" w:cs="Times New Roman"/>
          <w:b/>
          <w:sz w:val="21"/>
          <w:szCs w:val="21"/>
          <w:lang w:val="tr"/>
        </w:rPr>
        <w:t>Yasak</w:t>
      </w:r>
      <w:r w:rsidR="008A5BF2" w:rsidRPr="003E353F">
        <w:rPr>
          <w:rFonts w:ascii="Palatino Linotype" w:hAnsi="Palatino Linotype" w:cs="Times New Roman"/>
          <w:b/>
          <w:sz w:val="21"/>
          <w:szCs w:val="21"/>
          <w:lang w:val="tr"/>
        </w:rPr>
        <w:t xml:space="preserve"> / Türkiye Davasının </w:t>
      </w:r>
      <w:r w:rsidRPr="003E353F">
        <w:rPr>
          <w:rFonts w:ascii="Palatino Linotype" w:hAnsi="Palatino Linotype" w:cs="Times New Roman"/>
          <w:b/>
          <w:sz w:val="21"/>
          <w:szCs w:val="21"/>
          <w:lang w:val="tr"/>
        </w:rPr>
        <w:t xml:space="preserve">Süreci </w:t>
      </w:r>
      <w:r w:rsidR="008A5BF2" w:rsidRPr="003E353F">
        <w:rPr>
          <w:rFonts w:ascii="Palatino Linotype" w:hAnsi="Palatino Linotype" w:cs="Times New Roman"/>
          <w:i/>
          <w:sz w:val="21"/>
          <w:szCs w:val="21"/>
          <w:lang w:val="tr"/>
        </w:rPr>
        <w:t xml:space="preserve">(Büyük </w:t>
      </w:r>
      <w:proofErr w:type="gramStart"/>
      <w:r w:rsidR="008A5BF2" w:rsidRPr="003E353F">
        <w:rPr>
          <w:rFonts w:ascii="Palatino Linotype" w:hAnsi="Palatino Linotype" w:cs="Times New Roman"/>
          <w:i/>
          <w:sz w:val="21"/>
          <w:szCs w:val="21"/>
          <w:lang w:val="tr"/>
        </w:rPr>
        <w:t>Daire -</w:t>
      </w:r>
      <w:proofErr w:type="gramEnd"/>
      <w:r w:rsidR="008A5BF2" w:rsidRPr="003E353F">
        <w:rPr>
          <w:rFonts w:ascii="Palatino Linotype" w:hAnsi="Palatino Linotype" w:cs="Times New Roman"/>
          <w:i/>
          <w:sz w:val="21"/>
          <w:szCs w:val="21"/>
          <w:lang w:val="tr"/>
        </w:rPr>
        <w:t xml:space="preserve"> Başvuru No.</w:t>
      </w:r>
      <w:r w:rsidR="003E353F" w:rsidRPr="003E353F">
        <w:rPr>
          <w:rFonts w:ascii="Palatino Linotype" w:hAnsi="Palatino Linotype" w:cs="Times New Roman"/>
          <w:i/>
          <w:sz w:val="21"/>
          <w:szCs w:val="21"/>
          <w:lang w:val="tr"/>
        </w:rPr>
        <w:t>17389/20</w:t>
      </w:r>
      <w:r w:rsidR="008A5BF2" w:rsidRPr="003E353F">
        <w:rPr>
          <w:rFonts w:ascii="Palatino Linotype" w:hAnsi="Palatino Linotype" w:cs="Times New Roman"/>
          <w:i/>
          <w:sz w:val="21"/>
          <w:szCs w:val="21"/>
          <w:lang w:val="tr"/>
        </w:rPr>
        <w:t xml:space="preserve">; </w:t>
      </w:r>
      <w:r w:rsidR="003E353F" w:rsidRPr="003E353F">
        <w:rPr>
          <w:rFonts w:ascii="Palatino Linotype" w:hAnsi="Palatino Linotype" w:cs="Times New Roman"/>
          <w:i/>
          <w:sz w:val="21"/>
          <w:szCs w:val="21"/>
          <w:lang w:val="tr"/>
        </w:rPr>
        <w:t>5 Eylül 2026</w:t>
      </w:r>
      <w:r w:rsidR="008A5BF2" w:rsidRPr="003E353F">
        <w:rPr>
          <w:rFonts w:ascii="Palatino Linotype" w:hAnsi="Palatino Linotype" w:cs="Times New Roman"/>
          <w:i/>
          <w:sz w:val="21"/>
          <w:szCs w:val="21"/>
          <w:lang w:val="tr"/>
        </w:rPr>
        <w:t>)</w:t>
      </w:r>
    </w:p>
    <w:p w14:paraId="5B8CA148" w14:textId="52865E8C" w:rsidR="00693DB3" w:rsidRPr="00693DB3" w:rsidRDefault="00693DB3" w:rsidP="00693DB3">
      <w:pPr>
        <w:pStyle w:val="ListeParagraf"/>
        <w:numPr>
          <w:ilvl w:val="0"/>
          <w:numId w:val="2"/>
        </w:numPr>
        <w:tabs>
          <w:tab w:val="left" w:pos="3870"/>
        </w:tabs>
        <w:spacing w:line="360" w:lineRule="auto"/>
        <w:ind w:left="630" w:right="-378"/>
        <w:jc w:val="both"/>
        <w:rPr>
          <w:rFonts w:ascii="Palatino Linotype" w:hAnsi="Palatino Linotype" w:cs="Times New Roman"/>
          <w:bCs/>
          <w:sz w:val="21"/>
          <w:szCs w:val="21"/>
        </w:rPr>
      </w:pPr>
      <w:r w:rsidRPr="00C65CE9">
        <w:rPr>
          <w:rFonts w:ascii="Palatino Linotype" w:hAnsi="Palatino Linotype"/>
          <w:color w:val="000000"/>
          <w:sz w:val="21"/>
          <w:szCs w:val="21"/>
          <w:highlight w:val="yellow"/>
        </w:rPr>
        <w:t>Müvekkil hakkında</w:t>
      </w:r>
      <w:r w:rsidR="00C65CE9" w:rsidRPr="00C65CE9">
        <w:rPr>
          <w:rFonts w:ascii="Palatino Linotype" w:hAnsi="Palatino Linotype"/>
          <w:color w:val="000000"/>
          <w:sz w:val="21"/>
          <w:szCs w:val="21"/>
          <w:highlight w:val="yellow"/>
        </w:rPr>
        <w:t>/hakkımda</w:t>
      </w:r>
      <w:r w:rsidRPr="00693DB3">
        <w:rPr>
          <w:rFonts w:ascii="Palatino Linotype" w:hAnsi="Palatino Linotype"/>
          <w:color w:val="000000"/>
          <w:sz w:val="21"/>
          <w:szCs w:val="21"/>
        </w:rPr>
        <w:t xml:space="preserve"> "silahlı terör örgütü üyeliği" (TCK </w:t>
      </w:r>
      <w:proofErr w:type="spellStart"/>
      <w:r w:rsidRPr="00693DB3">
        <w:rPr>
          <w:rFonts w:ascii="Palatino Linotype" w:hAnsi="Palatino Linotype"/>
          <w:color w:val="000000"/>
          <w:sz w:val="21"/>
          <w:szCs w:val="21"/>
        </w:rPr>
        <w:t>md.</w:t>
      </w:r>
      <w:proofErr w:type="spellEnd"/>
      <w:r w:rsidRPr="00693DB3">
        <w:rPr>
          <w:rFonts w:ascii="Palatino Linotype" w:hAnsi="Palatino Linotype"/>
          <w:color w:val="000000"/>
          <w:sz w:val="21"/>
          <w:szCs w:val="21"/>
        </w:rPr>
        <w:t xml:space="preserve"> 314/2) suçlamasıyla </w:t>
      </w:r>
      <w:r w:rsidR="00C65CE9">
        <w:rPr>
          <w:rFonts w:ascii="Palatino Linotype" w:hAnsi="Palatino Linotype"/>
          <w:color w:val="000000"/>
          <w:sz w:val="21"/>
          <w:szCs w:val="21"/>
        </w:rPr>
        <w:t>verilen mahkumiyete gerekçe yapılan hususlar</w:t>
      </w:r>
      <w:r w:rsidRPr="00693DB3">
        <w:rPr>
          <w:rFonts w:ascii="Palatino Linotype" w:hAnsi="Palatino Linotype"/>
          <w:color w:val="000000"/>
          <w:sz w:val="21"/>
          <w:szCs w:val="21"/>
        </w:rPr>
        <w:t>, esasen 15 Temmuz 2016 tarihi öncesinde gerçekleştirildiği iddia edilen ve o dönem itibarıyla tamamen yasal olan veya yasal bir görünüm arz eden, devletin denetimi altındaki rutin faaliyetlere dayanmaktadır. AİHM Büyük Dairesi'nin 5 Mayıs 2026 tarihinde verdiği</w:t>
      </w:r>
      <w:r w:rsidRPr="00693DB3">
        <w:rPr>
          <w:rStyle w:val="apple-converted-space"/>
          <w:rFonts w:ascii="Palatino Linotype" w:eastAsiaTheme="majorEastAsia" w:hAnsi="Palatino Linotype"/>
          <w:color w:val="000000"/>
          <w:sz w:val="21"/>
          <w:szCs w:val="21"/>
        </w:rPr>
        <w:t> </w:t>
      </w:r>
      <w:r w:rsidRPr="00693DB3">
        <w:rPr>
          <w:rFonts w:ascii="Palatino Linotype" w:hAnsi="Palatino Linotype"/>
          <w:i/>
          <w:iCs/>
          <w:color w:val="000000"/>
          <w:sz w:val="21"/>
          <w:szCs w:val="21"/>
        </w:rPr>
        <w:t>Yasak v. Türkiye</w:t>
      </w:r>
      <w:r w:rsidRPr="00693DB3">
        <w:rPr>
          <w:rStyle w:val="apple-converted-space"/>
          <w:rFonts w:ascii="Palatino Linotype" w:eastAsiaTheme="majorEastAsia" w:hAnsi="Palatino Linotype"/>
          <w:color w:val="000000"/>
          <w:sz w:val="21"/>
          <w:szCs w:val="21"/>
        </w:rPr>
        <w:t> </w:t>
      </w:r>
      <w:r w:rsidRPr="00693DB3">
        <w:rPr>
          <w:rFonts w:ascii="Palatino Linotype" w:hAnsi="Palatino Linotype"/>
          <w:color w:val="000000"/>
          <w:sz w:val="21"/>
          <w:szCs w:val="21"/>
        </w:rPr>
        <w:t>kararı, bu nitelikteki dosyalarda cezai sorumluluğun tespiti için gerekli olan "manevi unsur" (</w:t>
      </w:r>
      <w:proofErr w:type="spellStart"/>
      <w:r w:rsidRPr="00693DB3">
        <w:rPr>
          <w:rFonts w:ascii="Palatino Linotype" w:hAnsi="Palatino Linotype"/>
          <w:color w:val="000000"/>
          <w:sz w:val="21"/>
          <w:szCs w:val="21"/>
        </w:rPr>
        <w:t>mens</w:t>
      </w:r>
      <w:proofErr w:type="spellEnd"/>
      <w:r w:rsidRPr="00693DB3">
        <w:rPr>
          <w:rFonts w:ascii="Palatino Linotype" w:hAnsi="Palatino Linotype"/>
          <w:color w:val="000000"/>
          <w:sz w:val="21"/>
          <w:szCs w:val="21"/>
        </w:rPr>
        <w:t xml:space="preserve"> </w:t>
      </w:r>
      <w:proofErr w:type="spellStart"/>
      <w:r w:rsidRPr="00693DB3">
        <w:rPr>
          <w:rFonts w:ascii="Palatino Linotype" w:hAnsi="Palatino Linotype"/>
          <w:color w:val="000000"/>
          <w:sz w:val="21"/>
          <w:szCs w:val="21"/>
        </w:rPr>
        <w:t>rea</w:t>
      </w:r>
      <w:proofErr w:type="spellEnd"/>
      <w:r w:rsidRPr="00693DB3">
        <w:rPr>
          <w:rFonts w:ascii="Palatino Linotype" w:hAnsi="Palatino Linotype"/>
          <w:color w:val="000000"/>
          <w:sz w:val="21"/>
          <w:szCs w:val="21"/>
        </w:rPr>
        <w:t xml:space="preserve"> / suç kastı) şartını çok net sınırlarla çizmiş ve bu unsurun varlığının somut olarak tespit edilmemesi halinde verilecek mahkûmiyetlerin veya yürütülecek cezai süreçlerin Avrupa İnsan Hakları Sözleşmesi'nin (AİHS) 7. maddesini açıkça ihlal edeceğini hüküm altına almıştır. Sayın Mahkemenizce</w:t>
      </w:r>
      <w:r w:rsidRPr="00693DB3">
        <w:rPr>
          <w:rStyle w:val="apple-converted-space"/>
          <w:rFonts w:ascii="Palatino Linotype" w:eastAsiaTheme="majorEastAsia" w:hAnsi="Palatino Linotype"/>
          <w:color w:val="000000"/>
          <w:sz w:val="21"/>
          <w:szCs w:val="21"/>
        </w:rPr>
        <w:t> </w:t>
      </w:r>
      <w:r w:rsidRPr="00693DB3">
        <w:rPr>
          <w:rFonts w:ascii="Palatino Linotype" w:hAnsi="Palatino Linotype"/>
          <w:color w:val="000000"/>
          <w:sz w:val="21"/>
          <w:szCs w:val="21"/>
        </w:rPr>
        <w:t>yürütülen</w:t>
      </w:r>
      <w:r w:rsidRPr="00693DB3">
        <w:rPr>
          <w:rStyle w:val="apple-converted-space"/>
          <w:rFonts w:ascii="Palatino Linotype" w:eastAsiaTheme="majorEastAsia" w:hAnsi="Palatino Linotype"/>
          <w:color w:val="000000"/>
          <w:sz w:val="21"/>
          <w:szCs w:val="21"/>
        </w:rPr>
        <w:t> </w:t>
      </w:r>
      <w:r w:rsidRPr="00693DB3">
        <w:rPr>
          <w:rFonts w:ascii="Palatino Linotype" w:hAnsi="Palatino Linotype"/>
          <w:color w:val="000000"/>
          <w:sz w:val="21"/>
          <w:szCs w:val="21"/>
        </w:rPr>
        <w:t>kovuşturmada,</w:t>
      </w:r>
      <w:r w:rsidRPr="00693DB3">
        <w:rPr>
          <w:rFonts w:ascii="-webkit-standard" w:hAnsi="-webkit-standard"/>
          <w:color w:val="000000"/>
          <w:sz w:val="21"/>
          <w:szCs w:val="21"/>
        </w:rPr>
        <w:t xml:space="preserve"> </w:t>
      </w:r>
      <w:r w:rsidRPr="00693DB3">
        <w:rPr>
          <w:rFonts w:ascii="Palatino Linotype" w:hAnsi="Palatino Linotype"/>
          <w:color w:val="000000"/>
          <w:sz w:val="21"/>
          <w:szCs w:val="21"/>
        </w:rPr>
        <w:t>atılı suçun maddi ve manevi unsurlarının oluşmadığı, bilhassa bu emsal karar ışığında tartışmasız biçimde ortaya çıkmıştır.</w:t>
      </w:r>
    </w:p>
    <w:p w14:paraId="43746D45" w14:textId="1414A7F3" w:rsidR="00693DB3" w:rsidRPr="00693DB3" w:rsidRDefault="00693DB3" w:rsidP="00693DB3">
      <w:pPr>
        <w:pStyle w:val="ListeParagraf"/>
        <w:numPr>
          <w:ilvl w:val="0"/>
          <w:numId w:val="2"/>
        </w:numPr>
        <w:tabs>
          <w:tab w:val="left" w:pos="3870"/>
        </w:tabs>
        <w:spacing w:line="360" w:lineRule="auto"/>
        <w:ind w:left="630" w:right="-378"/>
        <w:jc w:val="both"/>
        <w:rPr>
          <w:rFonts w:ascii="Palatino Linotype" w:hAnsi="Palatino Linotype" w:cs="Times New Roman"/>
          <w:bCs/>
          <w:sz w:val="21"/>
          <w:szCs w:val="21"/>
        </w:rPr>
      </w:pPr>
      <w:r w:rsidRPr="00693DB3">
        <w:rPr>
          <w:rFonts w:ascii="Palatino Linotype" w:hAnsi="Palatino Linotype"/>
          <w:color w:val="000000"/>
          <w:sz w:val="21"/>
          <w:szCs w:val="21"/>
        </w:rPr>
        <w:t>AİHM Büyük Dairesi,</w:t>
      </w:r>
      <w:r w:rsidRPr="00693DB3">
        <w:rPr>
          <w:rStyle w:val="apple-converted-space"/>
          <w:rFonts w:ascii="Palatino Linotype" w:eastAsiaTheme="majorEastAsia" w:hAnsi="Palatino Linotype"/>
          <w:color w:val="000000"/>
          <w:sz w:val="21"/>
          <w:szCs w:val="21"/>
        </w:rPr>
        <w:t> </w:t>
      </w:r>
      <w:r w:rsidRPr="00693DB3">
        <w:rPr>
          <w:rFonts w:ascii="Palatino Linotype" w:hAnsi="Palatino Linotype"/>
          <w:i/>
          <w:iCs/>
          <w:color w:val="000000"/>
          <w:sz w:val="21"/>
          <w:szCs w:val="21"/>
        </w:rPr>
        <w:t>Yasak</w:t>
      </w:r>
      <w:r w:rsidRPr="00693DB3">
        <w:rPr>
          <w:rStyle w:val="apple-converted-space"/>
          <w:rFonts w:ascii="Palatino Linotype" w:eastAsiaTheme="majorEastAsia" w:hAnsi="Palatino Linotype"/>
          <w:color w:val="000000"/>
          <w:sz w:val="21"/>
          <w:szCs w:val="21"/>
        </w:rPr>
        <w:t> </w:t>
      </w:r>
      <w:r w:rsidR="003E353F" w:rsidRPr="00693DB3">
        <w:rPr>
          <w:rFonts w:ascii="Palatino Linotype" w:hAnsi="Palatino Linotype"/>
          <w:color w:val="000000"/>
          <w:sz w:val="21"/>
          <w:szCs w:val="21"/>
        </w:rPr>
        <w:t>kararında</w:t>
      </w:r>
      <w:r w:rsidRPr="00693DB3">
        <w:rPr>
          <w:rFonts w:ascii="Palatino Linotype" w:hAnsi="Palatino Linotype"/>
          <w:color w:val="000000"/>
          <w:sz w:val="21"/>
          <w:szCs w:val="21"/>
        </w:rPr>
        <w:t xml:space="preserve"> hem maddi hem de manevi unsurların somut bir biçimde incelenmeksizin ihlal kararı verilen</w:t>
      </w:r>
      <w:r w:rsidRPr="00693DB3">
        <w:rPr>
          <w:rStyle w:val="apple-converted-space"/>
          <w:rFonts w:ascii="Palatino Linotype" w:eastAsiaTheme="majorEastAsia" w:hAnsi="Palatino Linotype"/>
          <w:color w:val="000000"/>
          <w:sz w:val="21"/>
          <w:szCs w:val="21"/>
        </w:rPr>
        <w:t> </w:t>
      </w:r>
      <w:r w:rsidRPr="00693DB3">
        <w:rPr>
          <w:rFonts w:ascii="Palatino Linotype" w:hAnsi="Palatino Linotype"/>
          <w:i/>
          <w:iCs/>
          <w:color w:val="000000"/>
          <w:sz w:val="21"/>
          <w:szCs w:val="21"/>
        </w:rPr>
        <w:t>Yalçınkaya</w:t>
      </w:r>
      <w:r w:rsidRPr="00693DB3">
        <w:rPr>
          <w:rStyle w:val="apple-converted-space"/>
          <w:rFonts w:ascii="Palatino Linotype" w:eastAsiaTheme="majorEastAsia" w:hAnsi="Palatino Linotype"/>
          <w:color w:val="000000"/>
          <w:sz w:val="21"/>
          <w:szCs w:val="21"/>
        </w:rPr>
        <w:t> </w:t>
      </w:r>
      <w:r w:rsidRPr="00693DB3">
        <w:rPr>
          <w:rFonts w:ascii="Palatino Linotype" w:hAnsi="Palatino Linotype"/>
          <w:color w:val="000000"/>
          <w:sz w:val="21"/>
          <w:szCs w:val="21"/>
        </w:rPr>
        <w:t>kararından farklı ve daha spesifik bir inceleme yapmıştır.</w:t>
      </w:r>
      <w:r w:rsidRPr="00693DB3">
        <w:rPr>
          <w:rStyle w:val="apple-converted-space"/>
          <w:rFonts w:ascii="Palatino Linotype" w:eastAsiaTheme="majorEastAsia" w:hAnsi="Palatino Linotype"/>
          <w:color w:val="000000"/>
          <w:sz w:val="21"/>
          <w:szCs w:val="21"/>
        </w:rPr>
        <w:t> </w:t>
      </w:r>
      <w:r w:rsidRPr="00693DB3">
        <w:rPr>
          <w:rFonts w:ascii="Palatino Linotype" w:hAnsi="Palatino Linotype"/>
          <w:i/>
          <w:iCs/>
          <w:color w:val="000000"/>
          <w:sz w:val="21"/>
          <w:szCs w:val="21"/>
        </w:rPr>
        <w:t>Yalçınkaya</w:t>
      </w:r>
      <w:r w:rsidRPr="00693DB3">
        <w:rPr>
          <w:rStyle w:val="apple-converted-space"/>
          <w:rFonts w:ascii="Palatino Linotype" w:eastAsiaTheme="majorEastAsia" w:hAnsi="Palatino Linotype"/>
          <w:color w:val="000000"/>
          <w:sz w:val="21"/>
          <w:szCs w:val="21"/>
        </w:rPr>
        <w:t> </w:t>
      </w:r>
      <w:r w:rsidRPr="00693DB3">
        <w:rPr>
          <w:rFonts w:ascii="Palatino Linotype" w:hAnsi="Palatino Linotype"/>
          <w:color w:val="000000"/>
          <w:sz w:val="21"/>
          <w:szCs w:val="21"/>
        </w:rPr>
        <w:t>kararında salt ByLock kullanımından otomatik mahkûmiyet verilmesi ihlal sebebi sayılmışken,</w:t>
      </w:r>
      <w:r w:rsidRPr="00693DB3">
        <w:rPr>
          <w:rStyle w:val="apple-converted-space"/>
          <w:rFonts w:ascii="Palatino Linotype" w:eastAsiaTheme="majorEastAsia" w:hAnsi="Palatino Linotype"/>
          <w:color w:val="000000"/>
          <w:sz w:val="21"/>
          <w:szCs w:val="21"/>
        </w:rPr>
        <w:t> </w:t>
      </w:r>
      <w:r w:rsidRPr="00693DB3">
        <w:rPr>
          <w:rFonts w:ascii="Palatino Linotype" w:hAnsi="Palatino Linotype"/>
          <w:i/>
          <w:iCs/>
          <w:color w:val="000000"/>
          <w:sz w:val="21"/>
          <w:szCs w:val="21"/>
        </w:rPr>
        <w:t>Yasak</w:t>
      </w:r>
      <w:r w:rsidRPr="00693DB3">
        <w:rPr>
          <w:rStyle w:val="apple-converted-space"/>
          <w:rFonts w:ascii="Palatino Linotype" w:eastAsiaTheme="majorEastAsia" w:hAnsi="Palatino Linotype"/>
          <w:color w:val="000000"/>
          <w:sz w:val="21"/>
          <w:szCs w:val="21"/>
        </w:rPr>
        <w:t> </w:t>
      </w:r>
      <w:r w:rsidRPr="00693DB3">
        <w:rPr>
          <w:rFonts w:ascii="Palatino Linotype" w:hAnsi="Palatino Linotype"/>
          <w:color w:val="000000"/>
          <w:sz w:val="21"/>
          <w:szCs w:val="21"/>
        </w:rPr>
        <w:t xml:space="preserve">dosyasında çok daha geniş bir delil yelpazesi temelinde aynı suçtan </w:t>
      </w:r>
      <w:r w:rsidRPr="00693DB3">
        <w:rPr>
          <w:rFonts w:ascii="Palatino Linotype" w:hAnsi="Palatino Linotype"/>
          <w:color w:val="000000"/>
          <w:sz w:val="21"/>
          <w:szCs w:val="21"/>
        </w:rPr>
        <w:lastRenderedPageBreak/>
        <w:t>mahkûmiyet kurulmuş olmasına rağmen, konunun yine</w:t>
      </w:r>
      <w:r w:rsidRPr="00693DB3">
        <w:rPr>
          <w:rStyle w:val="apple-converted-space"/>
          <w:rFonts w:ascii="Palatino Linotype" w:eastAsiaTheme="majorEastAsia" w:hAnsi="Palatino Linotype"/>
          <w:color w:val="000000"/>
          <w:sz w:val="21"/>
          <w:szCs w:val="21"/>
        </w:rPr>
        <w:t> </w:t>
      </w:r>
      <w:r w:rsidRPr="00693DB3">
        <w:rPr>
          <w:rFonts w:ascii="Palatino Linotype" w:hAnsi="Palatino Linotype"/>
          <w:i/>
          <w:iCs/>
          <w:color w:val="000000"/>
          <w:sz w:val="21"/>
          <w:szCs w:val="21"/>
        </w:rPr>
        <w:t>Yalçınkaya</w:t>
      </w:r>
      <w:r w:rsidRPr="00693DB3">
        <w:rPr>
          <w:rFonts w:ascii="Palatino Linotype" w:hAnsi="Palatino Linotype"/>
          <w:color w:val="000000"/>
          <w:sz w:val="21"/>
          <w:szCs w:val="21"/>
        </w:rPr>
        <w:t>’daki aynı yapısal sorunu gündeme getirdiği belirtilmiştir (§§ 201-202). AİHM, bu kararda ulusal mahkemelerin suçun maddi ve manevi unsurlarını bireyselleştirme yaparak ortaya koyup koymadıklarını inceleyeceğini belirtmiş ve devamında manevi unsur (kasıt) yokluğu bakımından çok kapsamlı bir değerlendirme yaparak ihlal olduğu sonucuna varmıştır (§§ 200-201). Bu durum, eylemleri ne denli çeşitli olursa olsun, kastın yokluğu halinde suçun oluşmayacağının en net göstergesidir.</w:t>
      </w:r>
    </w:p>
    <w:p w14:paraId="422FDF84" w14:textId="77777777" w:rsidR="00693DB3" w:rsidRPr="00693DB3" w:rsidRDefault="00693DB3" w:rsidP="00693DB3">
      <w:pPr>
        <w:pStyle w:val="ListeParagraf"/>
        <w:numPr>
          <w:ilvl w:val="0"/>
          <w:numId w:val="2"/>
        </w:numPr>
        <w:tabs>
          <w:tab w:val="left" w:pos="3870"/>
        </w:tabs>
        <w:spacing w:line="360" w:lineRule="auto"/>
        <w:ind w:left="630" w:right="-378"/>
        <w:jc w:val="both"/>
        <w:rPr>
          <w:rFonts w:ascii="Palatino Linotype" w:hAnsi="Palatino Linotype" w:cs="Times New Roman"/>
          <w:bCs/>
          <w:sz w:val="21"/>
          <w:szCs w:val="21"/>
        </w:rPr>
      </w:pPr>
      <w:r w:rsidRPr="00693DB3">
        <w:rPr>
          <w:rFonts w:ascii="Palatino Linotype" w:hAnsi="Palatino Linotype"/>
          <w:color w:val="000000"/>
          <w:sz w:val="21"/>
          <w:szCs w:val="21"/>
        </w:rPr>
        <w:t>Mahkeme, söz konusu kararda eylemlerin zamansal yönü (15 Temmuz öncesi olması) ve türü (örneğin eğitim alanında veya yasal zeminde olması) bakımından manevi unsurun titizlikle değerlendirilmesini özellikle önemsemiş ve bu unsurun değerlendirmesinin somut delillerle yapılmamış olmasını doğrudan 7. maddenin ihlaline dayanak yapmıştır. Kararda kolektif suçluluk ya da suç ortaklığı (aidiyet/iltisak temelli cezalandırma) yaklaşımı açıkça ve kesin bir dille reddedilmiş, cezai sorumluluğun tamamen bireysel olarak ve "suç kastıyla" birlikte tespitinin zorunlu olduğu kabul edilmiştir (§§ 202-203). Mahkeme, örtülü olarak da olsa, bu tür dosyalarda yerel mahkemelerin kolektif suçluluk yaklaşımıyla mahkûmiyet verdiklerini kayda geçirmiş ve bu hukuka aykırı pratiği mahkûm etmiştir.</w:t>
      </w:r>
    </w:p>
    <w:p w14:paraId="35B3180E" w14:textId="316E4682" w:rsidR="00AA57F8" w:rsidRPr="00AA57F8" w:rsidRDefault="00693DB3" w:rsidP="00AA57F8">
      <w:pPr>
        <w:pStyle w:val="ListeParagraf"/>
        <w:numPr>
          <w:ilvl w:val="0"/>
          <w:numId w:val="2"/>
        </w:numPr>
        <w:tabs>
          <w:tab w:val="left" w:pos="3870"/>
        </w:tabs>
        <w:spacing w:line="360" w:lineRule="auto"/>
        <w:ind w:left="630" w:right="-378"/>
        <w:jc w:val="both"/>
        <w:rPr>
          <w:rFonts w:ascii="Palatino Linotype" w:hAnsi="Palatino Linotype" w:cs="Times New Roman"/>
          <w:bCs/>
          <w:sz w:val="21"/>
          <w:szCs w:val="21"/>
        </w:rPr>
      </w:pPr>
      <w:r w:rsidRPr="00693DB3">
        <w:rPr>
          <w:rFonts w:ascii="Palatino Linotype" w:hAnsi="Palatino Linotype"/>
          <w:color w:val="000000"/>
          <w:sz w:val="21"/>
          <w:szCs w:val="21"/>
        </w:rPr>
        <w:t xml:space="preserve">Kararda bilhassa vurgulanan bir diğer </w:t>
      </w:r>
      <w:r w:rsidR="00C65CE9">
        <w:rPr>
          <w:rFonts w:ascii="Palatino Linotype" w:hAnsi="Palatino Linotype"/>
          <w:color w:val="000000"/>
          <w:sz w:val="21"/>
          <w:szCs w:val="21"/>
        </w:rPr>
        <w:t xml:space="preserve">önemli </w:t>
      </w:r>
      <w:r w:rsidRPr="00693DB3">
        <w:rPr>
          <w:rFonts w:ascii="Palatino Linotype" w:hAnsi="Palatino Linotype"/>
          <w:color w:val="000000"/>
          <w:sz w:val="21"/>
          <w:szCs w:val="21"/>
        </w:rPr>
        <w:t xml:space="preserve">husus, TCK'nın 314. maddesinde düzenlenen suçun mahiyetidir. Mahkemeye göre, bu suç sıradan veya suç faaliyetlerinde bulunan herhangi bir yapıya üyeliği değil, doğrudan doğruya "şiddete" başvurmakta olan bir silahlı terör örgütü üyeliğini ilgilendirmektedir. Bu nedenle sanığın, suç tarihinde </w:t>
      </w:r>
      <w:r w:rsidR="00215C49">
        <w:rPr>
          <w:rFonts w:ascii="Palatino Linotype" w:hAnsi="Palatino Linotype"/>
          <w:color w:val="000000"/>
          <w:sz w:val="21"/>
          <w:szCs w:val="21"/>
        </w:rPr>
        <w:t>yapının iddia edilen</w:t>
      </w:r>
      <w:r w:rsidRPr="00693DB3">
        <w:rPr>
          <w:rFonts w:ascii="Palatino Linotype" w:hAnsi="Palatino Linotype"/>
          <w:color w:val="000000"/>
          <w:sz w:val="21"/>
          <w:szCs w:val="21"/>
        </w:rPr>
        <w:t xml:space="preserve"> amaçları ve "şiddet içeren yöntemlerinden" haberdar olduğunu somut olarak göstermek, cezalandırmanın vazgeçilmez bir ön koşuludur. Yargıtay tarafından geliştirilen kasıt içtihadı da kişinin bilerek ve isteyerek hareket ettiğinin, yani bizzat şiddete başvuran böyle bir </w:t>
      </w:r>
      <w:r w:rsidR="00215C49">
        <w:rPr>
          <w:rFonts w:ascii="Palatino Linotype" w:hAnsi="Palatino Linotype"/>
          <w:color w:val="000000"/>
        </w:rPr>
        <w:t>yapının</w:t>
      </w:r>
      <w:r w:rsidR="00215C49" w:rsidRPr="00693DB3">
        <w:rPr>
          <w:rFonts w:ascii="Palatino Linotype" w:hAnsi="Palatino Linotype"/>
          <w:color w:val="000000"/>
          <w:sz w:val="21"/>
          <w:szCs w:val="21"/>
        </w:rPr>
        <w:t xml:space="preserve"> </w:t>
      </w:r>
      <w:r w:rsidRPr="00693DB3">
        <w:rPr>
          <w:rFonts w:ascii="Palatino Linotype" w:hAnsi="Palatino Linotype"/>
          <w:color w:val="000000"/>
          <w:sz w:val="21"/>
          <w:szCs w:val="21"/>
        </w:rPr>
        <w:t xml:space="preserve">parçası olmayı arzuladığının ortaya konulmasını gerektirmektedir. AİHM'e göre, bir eylemi sadece örgütle temas kurmaktan ya da açıkça suç işleme kastı olmaksızın örgüte salt üye olmaktan ayıran </w:t>
      </w:r>
      <w:proofErr w:type="gramStart"/>
      <w:r w:rsidRPr="00693DB3">
        <w:rPr>
          <w:rFonts w:ascii="Palatino Linotype" w:hAnsi="Palatino Linotype"/>
          <w:color w:val="000000"/>
          <w:sz w:val="21"/>
          <w:szCs w:val="21"/>
        </w:rPr>
        <w:t>yegane</w:t>
      </w:r>
      <w:proofErr w:type="gramEnd"/>
      <w:r w:rsidRPr="00693DB3">
        <w:rPr>
          <w:rFonts w:ascii="Palatino Linotype" w:hAnsi="Palatino Linotype"/>
          <w:color w:val="000000"/>
          <w:sz w:val="21"/>
          <w:szCs w:val="21"/>
        </w:rPr>
        <w:t xml:space="preserve"> husus budur (§ 203). Yani Mahkeme, salt yapı üyeliğinin değil, ancak amaçları ve şiddet içeren yöntemlerinden haberdar olunduğu kanıtlanabilen kişilerin terör örgütü üyesi olarak cezalandırılabileceğini belirtmektedir.</w:t>
      </w:r>
    </w:p>
    <w:p w14:paraId="59470698" w14:textId="3B6D41CA" w:rsidR="00693DB3" w:rsidRPr="00AA57F8" w:rsidRDefault="00693DB3" w:rsidP="00AA57F8">
      <w:pPr>
        <w:pStyle w:val="ListeParagraf"/>
        <w:numPr>
          <w:ilvl w:val="0"/>
          <w:numId w:val="2"/>
        </w:numPr>
        <w:tabs>
          <w:tab w:val="left" w:pos="3870"/>
        </w:tabs>
        <w:spacing w:line="360" w:lineRule="auto"/>
        <w:ind w:left="630" w:right="-378"/>
        <w:jc w:val="both"/>
        <w:rPr>
          <w:rFonts w:ascii="Palatino Linotype" w:hAnsi="Palatino Linotype" w:cs="Times New Roman"/>
          <w:bCs/>
          <w:sz w:val="21"/>
          <w:szCs w:val="21"/>
        </w:rPr>
      </w:pPr>
      <w:r w:rsidRPr="00AA57F8">
        <w:rPr>
          <w:rFonts w:ascii="Palatino Linotype" w:hAnsi="Palatino Linotype"/>
          <w:bCs/>
        </w:rPr>
        <w:t xml:space="preserve">Mütalaada da aynı doğrultuda, örgüt üyeliği suçunun ancak doğrudan kastla işlenebileceği, bu suçun olası kastla işlenmesinin mümkün olmadığı ve söz konusu suçun “amaç suç” niteliği taşıdığı belirtilmiştir. Mahkûmiyet için kişinin ya intisap edilen </w:t>
      </w:r>
      <w:r w:rsidR="00215C49">
        <w:rPr>
          <w:rFonts w:ascii="Palatino Linotype" w:hAnsi="Palatino Linotype"/>
          <w:color w:val="000000"/>
        </w:rPr>
        <w:t>yapının</w:t>
      </w:r>
      <w:r w:rsidR="00215C49" w:rsidRPr="00AA57F8">
        <w:rPr>
          <w:rFonts w:ascii="Palatino Linotype" w:hAnsi="Palatino Linotype"/>
          <w:bCs/>
        </w:rPr>
        <w:t xml:space="preserve"> </w:t>
      </w:r>
      <w:r w:rsidRPr="00AA57F8">
        <w:rPr>
          <w:rFonts w:ascii="Palatino Linotype" w:hAnsi="Palatino Linotype"/>
          <w:bCs/>
        </w:rPr>
        <w:t xml:space="preserve">faaliyeti çerçevesinde bir suç işlemesi ya da </w:t>
      </w:r>
      <w:r w:rsidR="00215C49">
        <w:rPr>
          <w:rFonts w:ascii="Palatino Linotype" w:hAnsi="Palatino Linotype"/>
          <w:color w:val="000000"/>
        </w:rPr>
        <w:t>yapı</w:t>
      </w:r>
      <w:r w:rsidR="00215C49">
        <w:rPr>
          <w:rFonts w:ascii="Palatino Linotype" w:hAnsi="Palatino Linotype"/>
          <w:color w:val="000000"/>
        </w:rPr>
        <w:t>ya</w:t>
      </w:r>
      <w:r w:rsidRPr="00AA57F8">
        <w:rPr>
          <w:rFonts w:ascii="Palatino Linotype" w:hAnsi="Palatino Linotype"/>
          <w:bCs/>
        </w:rPr>
        <w:t xml:space="preserve"> bu özelliğini bilerek ve isteyerek yardım etmesi gerekir. Mütalaada bu husus tereddüde yer bırakmayacak biçimde ifade edilmiştir: “TCK ve TMK </w:t>
      </w:r>
      <w:r w:rsidRPr="00AA57F8">
        <w:rPr>
          <w:rFonts w:ascii="Palatino Linotype" w:hAnsi="Palatino Linotype"/>
          <w:bCs/>
        </w:rPr>
        <w:lastRenderedPageBreak/>
        <w:t>düzenlemeleri, bu fiiller olmadan örgüt üyeliğinden mahkûmiyete asla izin vermemektedir.” (Mütalaa, s. 3-4).</w:t>
      </w:r>
    </w:p>
    <w:p w14:paraId="4CF5B31C" w14:textId="77777777" w:rsidR="00AA57F8" w:rsidRPr="00AA57F8" w:rsidRDefault="00693DB3" w:rsidP="00AA57F8">
      <w:pPr>
        <w:pStyle w:val="ListeParagraf"/>
        <w:numPr>
          <w:ilvl w:val="0"/>
          <w:numId w:val="2"/>
        </w:numPr>
        <w:tabs>
          <w:tab w:val="left" w:pos="3870"/>
        </w:tabs>
        <w:spacing w:line="360" w:lineRule="auto"/>
        <w:ind w:left="630" w:right="-378"/>
        <w:jc w:val="both"/>
        <w:rPr>
          <w:rFonts w:ascii="Palatino Linotype" w:hAnsi="Palatino Linotype" w:cs="Times New Roman"/>
          <w:bCs/>
          <w:sz w:val="21"/>
          <w:szCs w:val="21"/>
        </w:rPr>
      </w:pPr>
      <w:r w:rsidRPr="00693DB3">
        <w:rPr>
          <w:rFonts w:ascii="Palatino Linotype" w:hAnsi="Palatino Linotype"/>
          <w:color w:val="000000"/>
          <w:sz w:val="21"/>
          <w:szCs w:val="21"/>
        </w:rPr>
        <w:t>AİHM, kasıt unsurunun nasıl tespit edileceğine ve çıkarım yapılacağına dair ulusal mahkemelerin uygulamasını incelemiş ve izlenen yöntemi son derece sorunlu bulmuştur. Mahkemeye göre bu tespit, varsayımlarla değil bireysel olarak her kişi özelinde yapılmalıdır. Toplumun her kesiminde yer edinmiş Cemaat/Yapı yargılamalarında bu zorunluluk bilhassa elzemdir. Zira salt Cemaat mensubiyetinin veya temasının doğrudan terör örgütü üyeliği olarak cezalandırılmaması için bu ayrımın yapılması şarttır. Başvuranın atfedilen fiillerinin gerçekleştiği zaman ve fiilin kendi bağlamından hareketle manevi unsur çıkarımı büyük bir titizlikle yapılmak zorundadır (§ 204). Müvekkilin dosyasında da atılı yasal eylemlerden suç kastı çıkarılması, AİHM'in aradığı bu titizlikten tamamen yoksundur.</w:t>
      </w:r>
    </w:p>
    <w:p w14:paraId="78C5DCDD" w14:textId="6981AD9C" w:rsidR="00AA57F8" w:rsidRPr="00AA57F8" w:rsidRDefault="00693DB3" w:rsidP="00AA57F8">
      <w:pPr>
        <w:pStyle w:val="ListeParagraf"/>
        <w:numPr>
          <w:ilvl w:val="0"/>
          <w:numId w:val="2"/>
        </w:numPr>
        <w:tabs>
          <w:tab w:val="left" w:pos="3870"/>
        </w:tabs>
        <w:spacing w:line="360" w:lineRule="auto"/>
        <w:ind w:left="630" w:right="-378"/>
        <w:jc w:val="both"/>
        <w:rPr>
          <w:rFonts w:ascii="Palatino Linotype" w:hAnsi="Palatino Linotype" w:cs="Times New Roman"/>
          <w:bCs/>
          <w:sz w:val="21"/>
          <w:szCs w:val="21"/>
        </w:rPr>
      </w:pPr>
      <w:r w:rsidRPr="00AA57F8">
        <w:rPr>
          <w:rFonts w:ascii="Palatino Linotype" w:hAnsi="Palatino Linotype"/>
          <w:bCs/>
        </w:rPr>
        <w:t xml:space="preserve">Mütalaada </w:t>
      </w:r>
      <w:proofErr w:type="gramStart"/>
      <w:r w:rsidRPr="00AA57F8">
        <w:rPr>
          <w:rFonts w:ascii="Palatino Linotype" w:hAnsi="Palatino Linotype"/>
          <w:bCs/>
        </w:rPr>
        <w:t>da,</w:t>
      </w:r>
      <w:proofErr w:type="gramEnd"/>
      <w:r w:rsidRPr="00AA57F8">
        <w:rPr>
          <w:rFonts w:ascii="Palatino Linotype" w:hAnsi="Palatino Linotype"/>
          <w:bCs/>
        </w:rPr>
        <w:t xml:space="preserve"> “bir oluşumun çekirdeğini oluşturan kişiler suç işlemek amacıyla hareket etmekle birlikte, bu oluşumun içinde yer alan ve fakat bu amaçtan habersiz olan kişilerin, suç işlemek amacıyla kurulmuş bir örgüte üye olmaktan sorumlu tutulamayacakları” açıkça ifade edilmiştir (Mütalaa, s. 7).</w:t>
      </w:r>
    </w:p>
    <w:p w14:paraId="46CCD972" w14:textId="0D866B0F" w:rsidR="00693DB3" w:rsidRPr="00AA57F8" w:rsidRDefault="00693DB3" w:rsidP="00AA57F8">
      <w:pPr>
        <w:pStyle w:val="ListeParagraf"/>
        <w:numPr>
          <w:ilvl w:val="0"/>
          <w:numId w:val="2"/>
        </w:numPr>
        <w:tabs>
          <w:tab w:val="left" w:pos="3870"/>
        </w:tabs>
        <w:spacing w:line="360" w:lineRule="auto"/>
        <w:ind w:left="630" w:right="-378"/>
        <w:jc w:val="both"/>
        <w:rPr>
          <w:rFonts w:ascii="Palatino Linotype" w:hAnsi="Palatino Linotype" w:cs="Times New Roman"/>
          <w:bCs/>
          <w:sz w:val="21"/>
          <w:szCs w:val="21"/>
        </w:rPr>
      </w:pPr>
      <w:r w:rsidRPr="00AA57F8">
        <w:rPr>
          <w:rFonts w:ascii="Palatino Linotype" w:hAnsi="Palatino Linotype"/>
          <w:bCs/>
        </w:rPr>
        <w:t>Bununla bağlantılı olarak mütalaada, ceza sorumluluğunun ancak kanunda tanımlanan statüler bakımından doğabileceği; kurucu, yönetici, üye, örgüt adına suç işlemek, örgüte yardım etmek ve propagandasını yapmak dışında bir ilişki biçiminin yaptırım uygulanmasını gerektirmeyeceği; “sempatizan, radikal, köktenci, irtibatlı” gibi terimlerin ise sorumluluk doğuracak bir gerekçelendirmeye esas alınamayacağı belirtilmiştir (Mütalaa, s. 66).</w:t>
      </w:r>
    </w:p>
    <w:p w14:paraId="4358143D" w14:textId="77777777" w:rsidR="00AA57F8" w:rsidRPr="00AA57F8" w:rsidRDefault="00693DB3" w:rsidP="00AA57F8">
      <w:pPr>
        <w:pStyle w:val="ListeParagraf"/>
        <w:numPr>
          <w:ilvl w:val="0"/>
          <w:numId w:val="2"/>
        </w:numPr>
        <w:tabs>
          <w:tab w:val="left" w:pos="3870"/>
        </w:tabs>
        <w:spacing w:line="360" w:lineRule="auto"/>
        <w:ind w:left="630" w:right="-378"/>
        <w:jc w:val="both"/>
        <w:rPr>
          <w:rFonts w:ascii="Palatino Linotype" w:hAnsi="Palatino Linotype" w:cs="Times New Roman"/>
          <w:bCs/>
          <w:sz w:val="21"/>
          <w:szCs w:val="21"/>
        </w:rPr>
      </w:pPr>
      <w:r w:rsidRPr="00693DB3">
        <w:rPr>
          <w:rFonts w:ascii="Palatino Linotype" w:hAnsi="Palatino Linotype"/>
          <w:color w:val="000000"/>
          <w:sz w:val="21"/>
          <w:szCs w:val="21"/>
        </w:rPr>
        <w:t xml:space="preserve">Büyük Daire, kararında çok önemli bir "zamansal" değerlendirme yapmıştır. Başvurucuya atfedilen eylemlerin ne zaman gerçekleştirildiği dahi tam belirlenmeden, iddialar üzerine mahkûmiyet kurulması eleştirilmiştir. İlgili yapının önce idari makamlar tarafından, sonra da mahkemeler tarafından 15 Temmuz </w:t>
      </w:r>
      <w:r w:rsidR="00C65CE9">
        <w:rPr>
          <w:rFonts w:ascii="Palatino Linotype" w:hAnsi="Palatino Linotype"/>
          <w:color w:val="000000"/>
          <w:sz w:val="21"/>
          <w:szCs w:val="21"/>
        </w:rPr>
        <w:t>2016</w:t>
      </w:r>
      <w:r w:rsidRPr="00693DB3">
        <w:rPr>
          <w:rFonts w:ascii="Palatino Linotype" w:hAnsi="Palatino Linotype"/>
          <w:color w:val="000000"/>
          <w:sz w:val="21"/>
          <w:szCs w:val="21"/>
        </w:rPr>
        <w:t xml:space="preserve"> sonrası terör örgütü olarak tanındığı gerçeği karşısında AİHM, ulusal makamların ve mahkemelerin, başvuranın söz konusu yapı içinde bulunmasının "masum bir katılımla mı" yoksa bilinçli bir "terörist projeye katılma kastıyla mı" olduğunu değerlendirmek zorunda olduğunu açıkça ifade etmiştir. 2014 yılına veya 15 Temmuz öncesine kadar gerçekleştirilen eylemlerin kasıt unsurunu nasıl oluşturduğu, varsayımlarla değil maddi gerçeklikle açıklanmalıdır (§ 205).</w:t>
      </w:r>
    </w:p>
    <w:p w14:paraId="425B9979" w14:textId="77777777" w:rsidR="00AA57F8" w:rsidRPr="00AA57F8" w:rsidRDefault="00693DB3" w:rsidP="00AA57F8">
      <w:pPr>
        <w:pStyle w:val="ListeParagraf"/>
        <w:numPr>
          <w:ilvl w:val="0"/>
          <w:numId w:val="2"/>
        </w:numPr>
        <w:tabs>
          <w:tab w:val="left" w:pos="3870"/>
        </w:tabs>
        <w:spacing w:line="360" w:lineRule="auto"/>
        <w:ind w:left="630" w:right="-378"/>
        <w:jc w:val="both"/>
        <w:rPr>
          <w:rFonts w:ascii="Palatino Linotype" w:hAnsi="Palatino Linotype" w:cs="Times New Roman"/>
          <w:bCs/>
          <w:sz w:val="21"/>
          <w:szCs w:val="21"/>
        </w:rPr>
      </w:pPr>
      <w:r w:rsidRPr="00AA57F8">
        <w:rPr>
          <w:rFonts w:ascii="Palatino Linotype" w:hAnsi="Palatino Linotype"/>
          <w:bCs/>
        </w:rPr>
        <w:t xml:space="preserve">Mütalaada </w:t>
      </w:r>
      <w:proofErr w:type="gramStart"/>
      <w:r w:rsidRPr="00AA57F8">
        <w:rPr>
          <w:rFonts w:ascii="Palatino Linotype" w:hAnsi="Palatino Linotype"/>
          <w:bCs/>
        </w:rPr>
        <w:t>da,</w:t>
      </w:r>
      <w:proofErr w:type="gramEnd"/>
      <w:r w:rsidRPr="00AA57F8">
        <w:rPr>
          <w:rFonts w:ascii="Palatino Linotype" w:hAnsi="Palatino Linotype"/>
          <w:bCs/>
        </w:rPr>
        <w:t xml:space="preserve"> bir örgütsel yapının suç örgütüne evrilmesinin bir maddi vakıa sorunu olduğu; bir yapının Millî Güvenlik Kurulu kararlarıyla suç örgütüne evrildiğini kabul etmenin “yargı faaliyeti bakımından hiçbir öneminin bulunmadığı” önemle vurgulanmıştır (Mütalaa, s. 4-5). </w:t>
      </w:r>
      <w:r w:rsidRPr="00AA57F8">
        <w:rPr>
          <w:rFonts w:ascii="Palatino Linotype" w:hAnsi="Palatino Linotype"/>
          <w:bCs/>
        </w:rPr>
        <w:lastRenderedPageBreak/>
        <w:t>AİHM Büyük Dairesi de ulusal yargıda adeta birer otomatik suç karinesi olarak kurgulanan “milat” tarihlerinin ceza hukuku dogmatiği açısından hiçbir kurucu değer taşımadığını açıkça saptamıştır (Mütalaa, s. 48-49).</w:t>
      </w:r>
    </w:p>
    <w:p w14:paraId="1DD561CF" w14:textId="67083EBC" w:rsidR="00693DB3" w:rsidRPr="00AA57F8" w:rsidRDefault="00693DB3" w:rsidP="00AA57F8">
      <w:pPr>
        <w:pStyle w:val="ListeParagraf"/>
        <w:numPr>
          <w:ilvl w:val="0"/>
          <w:numId w:val="2"/>
        </w:numPr>
        <w:tabs>
          <w:tab w:val="left" w:pos="3870"/>
        </w:tabs>
        <w:spacing w:line="360" w:lineRule="auto"/>
        <w:ind w:left="630" w:right="-378"/>
        <w:jc w:val="both"/>
        <w:rPr>
          <w:rFonts w:ascii="Palatino Linotype" w:hAnsi="Palatino Linotype" w:cs="Times New Roman"/>
          <w:bCs/>
          <w:sz w:val="21"/>
          <w:szCs w:val="21"/>
        </w:rPr>
      </w:pPr>
      <w:r w:rsidRPr="00AA57F8">
        <w:rPr>
          <w:rFonts w:ascii="Palatino Linotype" w:hAnsi="Palatino Linotype"/>
          <w:bCs/>
        </w:rPr>
        <w:t>Mütalaada, 15 Temmuz 2016 tarihli darbe teşebbüsü öncesinde herhangi somut bir suçun icrasına iştirak etmemiş olmak kaydıyla, sırf hayrî mülahazalarla çeşitli derneklere, vakıflara veya sosyal etkinliklere maddi veya manevi yardımda bulunan, bu kurumlarda kurucu, yönetici veya üye olarak yer alan kişilerin salt bu sebeple terör örgütü üyesi olarak sorumlu tutulmasının “hukuken mümkün değil” olduğu sonucuna varılmıştır (Mütalaa, s. 9 ve s. 66).</w:t>
      </w:r>
    </w:p>
    <w:p w14:paraId="440D4F64" w14:textId="41600943" w:rsidR="00693DB3" w:rsidRPr="00693DB3" w:rsidRDefault="00693DB3" w:rsidP="00693DB3">
      <w:pPr>
        <w:pStyle w:val="ListeParagraf"/>
        <w:numPr>
          <w:ilvl w:val="0"/>
          <w:numId w:val="2"/>
        </w:numPr>
        <w:tabs>
          <w:tab w:val="left" w:pos="3870"/>
        </w:tabs>
        <w:spacing w:line="360" w:lineRule="auto"/>
        <w:ind w:left="630" w:right="-378"/>
        <w:jc w:val="both"/>
        <w:rPr>
          <w:rFonts w:ascii="Palatino Linotype" w:hAnsi="Palatino Linotype" w:cs="Times New Roman"/>
          <w:bCs/>
          <w:sz w:val="21"/>
          <w:szCs w:val="21"/>
        </w:rPr>
      </w:pPr>
      <w:r w:rsidRPr="00693DB3">
        <w:rPr>
          <w:rFonts w:ascii="Palatino Linotype" w:hAnsi="Palatino Linotype"/>
          <w:color w:val="000000"/>
          <w:sz w:val="21"/>
          <w:szCs w:val="21"/>
        </w:rPr>
        <w:t xml:space="preserve">Mahkeme, kişilerin 17/25 Aralık sürecinden sonra da bağlarını sürdürmesini ulusal mahkemelerin bir faktör olarak ele almasını ikincillik ilkesi gereği ulusal takdir marjında görse </w:t>
      </w:r>
      <w:proofErr w:type="gramStart"/>
      <w:r w:rsidRPr="00693DB3">
        <w:rPr>
          <w:rFonts w:ascii="Palatino Linotype" w:hAnsi="Palatino Linotype"/>
          <w:color w:val="000000"/>
          <w:sz w:val="21"/>
          <w:szCs w:val="21"/>
        </w:rPr>
        <w:t>de,</w:t>
      </w:r>
      <w:proofErr w:type="gramEnd"/>
      <w:r w:rsidRPr="00693DB3">
        <w:rPr>
          <w:rFonts w:ascii="Palatino Linotype" w:hAnsi="Palatino Linotype"/>
          <w:color w:val="000000"/>
          <w:sz w:val="21"/>
          <w:szCs w:val="21"/>
        </w:rPr>
        <w:t xml:space="preserve"> bu durumun kişilere karşı gelişigüzel bir silaha dönüştürülemeyeceğini hükme bağlamıştır. Ulusal mahkemeler bu bağlantıyı sürdüren herkes için otomatik suçlu muamelesi yapamaz; mensubiyetin devam ettiği zamana ve kişinin icra ettiği faaliyetlerin bağlamına bakıp kasıt unsurunun gerçekten var olup olmadığını somut olarak incelemek zorundadır (§ 206). Hele ki iddia edilen olguların şiddet eylemleriyle doğrudan hiçbir bağlantısı yoksa buna çok daha özel bir dikkat gösterilmelidir. Müvekkile atfedilen eylemlerin tamamı hukuka uygun eylemlerdir ve bu eylemlerin sırf belirli bir tarihten sonra yapıldığı varsayımıyla terör kastına yorulması </w:t>
      </w:r>
      <w:proofErr w:type="spellStart"/>
      <w:r w:rsidR="00C65CE9">
        <w:rPr>
          <w:rFonts w:ascii="Palatino Linotype" w:hAnsi="Palatino Linotype"/>
          <w:color w:val="000000"/>
          <w:sz w:val="21"/>
          <w:szCs w:val="21"/>
        </w:rPr>
        <w:t>AİHS’e</w:t>
      </w:r>
      <w:proofErr w:type="spellEnd"/>
      <w:r w:rsidRPr="00693DB3">
        <w:rPr>
          <w:rFonts w:ascii="Palatino Linotype" w:hAnsi="Palatino Linotype"/>
          <w:color w:val="000000"/>
          <w:sz w:val="21"/>
          <w:szCs w:val="21"/>
        </w:rPr>
        <w:t xml:space="preserve"> açıkça aykırıdır.</w:t>
      </w:r>
    </w:p>
    <w:p w14:paraId="7A036747" w14:textId="480F74FD" w:rsidR="00693DB3" w:rsidRPr="00693DB3" w:rsidRDefault="00693DB3" w:rsidP="00693DB3">
      <w:pPr>
        <w:pStyle w:val="ListeParagraf"/>
        <w:numPr>
          <w:ilvl w:val="0"/>
          <w:numId w:val="2"/>
        </w:numPr>
        <w:tabs>
          <w:tab w:val="left" w:pos="3870"/>
        </w:tabs>
        <w:spacing w:line="360" w:lineRule="auto"/>
        <w:ind w:left="630" w:right="-378"/>
        <w:jc w:val="both"/>
        <w:rPr>
          <w:rFonts w:ascii="Palatino Linotype" w:hAnsi="Palatino Linotype" w:cs="Times New Roman"/>
          <w:bCs/>
          <w:sz w:val="21"/>
          <w:szCs w:val="21"/>
        </w:rPr>
      </w:pPr>
      <w:r w:rsidRPr="00693DB3">
        <w:rPr>
          <w:rFonts w:ascii="Palatino Linotype" w:hAnsi="Palatino Linotype"/>
          <w:color w:val="000000"/>
          <w:sz w:val="21"/>
          <w:szCs w:val="21"/>
        </w:rPr>
        <w:t xml:space="preserve">Mahkeme, suç veya terör örgütlerine üyelikle ilgili davalarda kişinin belirli bir süre devam eden davranışlarının bir bütün olarak değerlendirilip kasıt çıkarımı yapılmasını teorik olarak kabul edilebilir bulsa </w:t>
      </w:r>
      <w:r w:rsidR="00C65CE9" w:rsidRPr="00693DB3">
        <w:rPr>
          <w:rFonts w:ascii="Palatino Linotype" w:hAnsi="Palatino Linotype"/>
          <w:color w:val="000000"/>
          <w:sz w:val="21"/>
          <w:szCs w:val="21"/>
        </w:rPr>
        <w:t>da</w:t>
      </w:r>
      <w:r w:rsidRPr="00693DB3">
        <w:rPr>
          <w:rFonts w:ascii="Palatino Linotype" w:hAnsi="Palatino Linotype"/>
          <w:color w:val="000000"/>
          <w:sz w:val="21"/>
          <w:szCs w:val="21"/>
        </w:rPr>
        <w:t xml:space="preserve"> bunun mutlak surette 7. maddeye uygun yapılması gerektiğini belirtmektedir (§ 207). İtirafın az olduğu dosyalarda yargı makamlarının varsayımsal örgüt çıkarımı yapmasının yaygın olduğu kabul edilmekle birlikte, somut dosyalarda zamansal durumun dikkate alınmaması ve bağlamsal analizin yapılmaması doğrudan hak ihlali yaratmaktadır.</w:t>
      </w:r>
    </w:p>
    <w:p w14:paraId="3F5163AD" w14:textId="008BC1F4" w:rsidR="00693DB3" w:rsidRPr="00693DB3" w:rsidRDefault="00693DB3" w:rsidP="00693DB3">
      <w:pPr>
        <w:pStyle w:val="ListeParagraf"/>
        <w:numPr>
          <w:ilvl w:val="0"/>
          <w:numId w:val="2"/>
        </w:numPr>
        <w:tabs>
          <w:tab w:val="left" w:pos="3870"/>
        </w:tabs>
        <w:spacing w:line="360" w:lineRule="auto"/>
        <w:ind w:left="630" w:right="-378"/>
        <w:jc w:val="both"/>
        <w:rPr>
          <w:rFonts w:ascii="Palatino Linotype" w:hAnsi="Palatino Linotype" w:cs="Times New Roman"/>
          <w:bCs/>
          <w:sz w:val="21"/>
          <w:szCs w:val="21"/>
        </w:rPr>
      </w:pPr>
      <w:r w:rsidRPr="00693DB3">
        <w:rPr>
          <w:rFonts w:ascii="Palatino Linotype" w:hAnsi="Palatino Linotype"/>
          <w:color w:val="000000"/>
          <w:sz w:val="21"/>
          <w:szCs w:val="21"/>
        </w:rPr>
        <w:t xml:space="preserve">AİHM'in kararda "bağlamsal analiz" ile neyi kastettiği de detaylandırılmıştır. Söz konusu yapının uzun yıllar boyunca toplumun değişik alanlarına, özellikle eğitim, sağlık ve finans alanlarına derinlemesine yerleştiği, yasal olarak ve devletin denetiminde faaliyet gösterdiği vurgulanmıştır. Dolayısıyla toplumun geniş bir kesimini oluşturan çok sayıda kişinin, bu yapının (iddia edilen) gerçek amaçlarından veya gizli niyetlerinden hiçbir şekilde haberdar olmadan </w:t>
      </w:r>
      <w:r w:rsidR="00215C49">
        <w:rPr>
          <w:rFonts w:ascii="Palatino Linotype" w:hAnsi="Palatino Linotype"/>
          <w:color w:val="000000"/>
        </w:rPr>
        <w:t>yapının</w:t>
      </w:r>
      <w:r w:rsidRPr="00693DB3">
        <w:rPr>
          <w:rFonts w:ascii="Palatino Linotype" w:hAnsi="Palatino Linotype"/>
          <w:color w:val="000000"/>
          <w:sz w:val="21"/>
          <w:szCs w:val="21"/>
        </w:rPr>
        <w:t xml:space="preserve"> görünür ve yasal yapılarıyla temas kurmuş, faaliyet sürdürmüş olması son derece olağandır. Hal böyleyken, terör örgütü üyeliği suçunun en zorunlu unsuru olan "kasıt" unsurunun tespitinin önemi bir kat daha artmaktadır (§ 208). Müvekkilin rutin yaşam çizgisi içerisindeki faaliyetlerinin de bu bağlamsal gerçeklikten kopuk değerlendirilmesi hukuken mümkün değildir.</w:t>
      </w:r>
    </w:p>
    <w:p w14:paraId="1D047652" w14:textId="3C1EA5C0" w:rsidR="00693DB3" w:rsidRPr="00693DB3" w:rsidRDefault="00693DB3" w:rsidP="00693DB3">
      <w:pPr>
        <w:pStyle w:val="ListeParagraf"/>
        <w:numPr>
          <w:ilvl w:val="0"/>
          <w:numId w:val="2"/>
        </w:numPr>
        <w:tabs>
          <w:tab w:val="left" w:pos="3870"/>
        </w:tabs>
        <w:spacing w:line="360" w:lineRule="auto"/>
        <w:ind w:left="630" w:right="-378"/>
        <w:jc w:val="both"/>
        <w:rPr>
          <w:rFonts w:ascii="Palatino Linotype" w:hAnsi="Palatino Linotype" w:cs="Times New Roman"/>
          <w:bCs/>
          <w:sz w:val="21"/>
          <w:szCs w:val="21"/>
        </w:rPr>
      </w:pPr>
      <w:r w:rsidRPr="00693DB3">
        <w:rPr>
          <w:rFonts w:ascii="Palatino Linotype" w:hAnsi="Palatino Linotype"/>
          <w:color w:val="000000"/>
          <w:sz w:val="21"/>
          <w:szCs w:val="21"/>
        </w:rPr>
        <w:lastRenderedPageBreak/>
        <w:t>AİHM, yargılama makamlarının "kişinin bir görev üstlendiği veya şiddet kullanımını öngörebilecek durumda olduğu" şeklindeki niyet okuyucu yaklaşımını açıkça ve kesin bir dille reddetmiştir. Mahkeme burada çok temel bir ilke ortaya koym</w:t>
      </w:r>
      <w:r w:rsidR="00C65CE9">
        <w:rPr>
          <w:rFonts w:ascii="Palatino Linotype" w:hAnsi="Palatino Linotype"/>
          <w:color w:val="000000"/>
          <w:sz w:val="21"/>
          <w:szCs w:val="21"/>
        </w:rPr>
        <w:t>uştur</w:t>
      </w:r>
      <w:r w:rsidRPr="00693DB3">
        <w:rPr>
          <w:rFonts w:ascii="Palatino Linotype" w:hAnsi="Palatino Linotype"/>
          <w:color w:val="000000"/>
          <w:sz w:val="21"/>
          <w:szCs w:val="21"/>
        </w:rPr>
        <w:t xml:space="preserve">: </w:t>
      </w:r>
      <w:r w:rsidRPr="00AA57F8">
        <w:rPr>
          <w:rFonts w:ascii="Palatino Linotype" w:hAnsi="Palatino Linotype"/>
          <w:color w:val="000000"/>
          <w:sz w:val="21"/>
          <w:szCs w:val="21"/>
        </w:rPr>
        <w:t xml:space="preserve">Ulusal mahkemelerin, kişinin </w:t>
      </w:r>
      <w:r w:rsidR="00215C49">
        <w:rPr>
          <w:rFonts w:ascii="Palatino Linotype" w:hAnsi="Palatino Linotype"/>
          <w:color w:val="000000"/>
        </w:rPr>
        <w:t>yapının</w:t>
      </w:r>
      <w:r w:rsidRPr="00AA57F8">
        <w:rPr>
          <w:rFonts w:ascii="Palatino Linotype" w:hAnsi="Palatino Linotype"/>
          <w:color w:val="000000"/>
          <w:sz w:val="21"/>
          <w:szCs w:val="21"/>
        </w:rPr>
        <w:t xml:space="preserve"> merkezi veya stratejik bileşenleri arasında fiili bir bağlantısı olduğunu ileri sürmeleri veya ortaya koymaları dahi cezalandırma için yeterli değildir.</w:t>
      </w:r>
      <w:r w:rsidRPr="00693DB3">
        <w:rPr>
          <w:rFonts w:ascii="Palatino Linotype" w:hAnsi="Palatino Linotype"/>
          <w:color w:val="000000"/>
          <w:sz w:val="21"/>
          <w:szCs w:val="21"/>
        </w:rPr>
        <w:t xml:space="preserve"> Aynı zamanda bu bağlantının niteliğini ortaya koymalı; </w:t>
      </w:r>
      <w:r w:rsidRPr="00AA57F8">
        <w:rPr>
          <w:rFonts w:ascii="Palatino Linotype" w:hAnsi="Palatino Linotype"/>
          <w:color w:val="000000"/>
          <w:sz w:val="21"/>
          <w:szCs w:val="21"/>
        </w:rPr>
        <w:t>tespit edilen bu niteliğin ise kişinin kasta sahip olduğunun (</w:t>
      </w:r>
      <w:r w:rsidR="00215C49">
        <w:rPr>
          <w:rFonts w:ascii="Palatino Linotype" w:hAnsi="Palatino Linotype"/>
          <w:color w:val="000000"/>
          <w:sz w:val="21"/>
          <w:szCs w:val="21"/>
        </w:rPr>
        <w:t xml:space="preserve">iddia edilen </w:t>
      </w:r>
      <w:r w:rsidRPr="00AA57F8">
        <w:rPr>
          <w:rFonts w:ascii="Palatino Linotype" w:hAnsi="Palatino Linotype"/>
          <w:color w:val="000000"/>
          <w:sz w:val="21"/>
          <w:szCs w:val="21"/>
        </w:rPr>
        <w:t>şiddet amacını bildiğinin ve benimsediğinin)</w:t>
      </w:r>
      <w:r w:rsidRPr="00693DB3">
        <w:rPr>
          <w:rFonts w:ascii="Palatino Linotype" w:hAnsi="Palatino Linotype"/>
          <w:color w:val="000000"/>
          <w:sz w:val="21"/>
          <w:szCs w:val="21"/>
        </w:rPr>
        <w:t xml:space="preserve"> meşru bir biçimde çıkarılmasını sağlayacak ağırlıkta olup olmadığını tespit etmeleri gerekir. Yani kişinin eyleminin bir "terörist projeye" katılma kastı ve bilinciyle olduğu şüpheye mahal bırakmayacak şekilde ispatlanmalıdır.</w:t>
      </w:r>
    </w:p>
    <w:p w14:paraId="31642142" w14:textId="064FEA86" w:rsidR="00693DB3" w:rsidRPr="00693DB3" w:rsidRDefault="00693DB3" w:rsidP="00693DB3">
      <w:pPr>
        <w:pStyle w:val="ListeParagraf"/>
        <w:numPr>
          <w:ilvl w:val="0"/>
          <w:numId w:val="2"/>
        </w:numPr>
        <w:tabs>
          <w:tab w:val="left" w:pos="3870"/>
        </w:tabs>
        <w:spacing w:line="360" w:lineRule="auto"/>
        <w:ind w:left="630" w:right="-378"/>
        <w:jc w:val="both"/>
        <w:rPr>
          <w:rFonts w:ascii="Palatino Linotype" w:hAnsi="Palatino Linotype" w:cs="Times New Roman"/>
          <w:bCs/>
          <w:sz w:val="21"/>
          <w:szCs w:val="21"/>
        </w:rPr>
      </w:pPr>
      <w:r w:rsidRPr="00693DB3">
        <w:rPr>
          <w:rFonts w:ascii="Palatino Linotype" w:hAnsi="Palatino Linotype"/>
          <w:color w:val="000000"/>
          <w:sz w:val="21"/>
          <w:szCs w:val="21"/>
        </w:rPr>
        <w:t xml:space="preserve">AİHM, kararının 209. paragrafında sadece yerel mahkemelerin eksikliğini göstermekle yetinmemiş, ne yapılması gerektiğini de pozitif bir hukuk kuralı olarak tarif etmiştir. Büyük Daire, makamların bu bileşenlerle yalnızca bir bağlantının varlığını değil, </w:t>
      </w:r>
      <w:r w:rsidRPr="00C65CE9">
        <w:rPr>
          <w:rFonts w:ascii="Palatino Linotype" w:hAnsi="Palatino Linotype"/>
          <w:b/>
          <w:bCs/>
          <w:color w:val="000000"/>
          <w:sz w:val="21"/>
          <w:szCs w:val="21"/>
        </w:rPr>
        <w:t>bu bağlantının somut içeriğini ve suç kastını ortaya koyup koymadığını araştırması gerektiğini açıkça emretmektedir.</w:t>
      </w:r>
      <w:r w:rsidRPr="00693DB3">
        <w:rPr>
          <w:rFonts w:ascii="Palatino Linotype" w:hAnsi="Palatino Linotype"/>
          <w:color w:val="000000"/>
          <w:sz w:val="21"/>
          <w:szCs w:val="21"/>
        </w:rPr>
        <w:t xml:space="preserve"> Buna göre yargılama makamları, kişinin </w:t>
      </w:r>
      <w:r w:rsidR="00215C49">
        <w:rPr>
          <w:rFonts w:ascii="Palatino Linotype" w:hAnsi="Palatino Linotype"/>
          <w:color w:val="000000"/>
        </w:rPr>
        <w:t>yapının</w:t>
      </w:r>
      <w:r w:rsidRPr="00693DB3">
        <w:rPr>
          <w:rFonts w:ascii="Palatino Linotype" w:hAnsi="Palatino Linotype"/>
          <w:color w:val="000000"/>
          <w:sz w:val="21"/>
          <w:szCs w:val="21"/>
        </w:rPr>
        <w:t xml:space="preserve"> merkezi veya stratejik yapılarıyla "gerçek, işlevsel ve hiyerarşik bir bağının" bulunup bulunmadığını, bu bağın kapsamını ve niteliğini, ayrıca kişinin </w:t>
      </w:r>
      <w:r w:rsidR="00215C49">
        <w:rPr>
          <w:rFonts w:ascii="Palatino Linotype" w:hAnsi="Palatino Linotype"/>
          <w:color w:val="000000"/>
          <w:sz w:val="21"/>
          <w:szCs w:val="21"/>
        </w:rPr>
        <w:t>yapının iddia edilen</w:t>
      </w:r>
      <w:r w:rsidRPr="00693DB3">
        <w:rPr>
          <w:rFonts w:ascii="Palatino Linotype" w:hAnsi="Palatino Linotype"/>
          <w:color w:val="000000"/>
          <w:sz w:val="21"/>
          <w:szCs w:val="21"/>
        </w:rPr>
        <w:t xml:space="preserve"> şiddet içeren amaçlarını "bilerek ve isteyerek hareket edip etmediğini" somut delillerle ispat etmek zorundadır. Daha da önemlisi, sorumluluk, sonradan </w:t>
      </w:r>
      <w:r w:rsidR="00215C49">
        <w:rPr>
          <w:rFonts w:ascii="Palatino Linotype" w:hAnsi="Palatino Linotype"/>
          <w:color w:val="000000"/>
        </w:rPr>
        <w:t>yapı</w:t>
      </w:r>
      <w:r w:rsidR="00215C49">
        <w:rPr>
          <w:rFonts w:ascii="Palatino Linotype" w:hAnsi="Palatino Linotype"/>
          <w:color w:val="000000"/>
        </w:rPr>
        <w:t>ya</w:t>
      </w:r>
      <w:r w:rsidR="00215C49" w:rsidRPr="00693DB3">
        <w:rPr>
          <w:rFonts w:ascii="Palatino Linotype" w:hAnsi="Palatino Linotype"/>
          <w:color w:val="000000"/>
          <w:sz w:val="21"/>
          <w:szCs w:val="21"/>
        </w:rPr>
        <w:t xml:space="preserve"> </w:t>
      </w:r>
      <w:r w:rsidRPr="00693DB3">
        <w:rPr>
          <w:rFonts w:ascii="Palatino Linotype" w:hAnsi="Palatino Linotype"/>
          <w:color w:val="000000"/>
          <w:sz w:val="21"/>
          <w:szCs w:val="21"/>
        </w:rPr>
        <w:t xml:space="preserve">atfedilen şiddet veya terör niteliği üzerinden değil, </w:t>
      </w:r>
      <w:r w:rsidRPr="00C65CE9">
        <w:rPr>
          <w:rFonts w:ascii="Palatino Linotype" w:hAnsi="Palatino Linotype"/>
          <w:b/>
          <w:bCs/>
          <w:color w:val="000000"/>
          <w:sz w:val="21"/>
          <w:szCs w:val="21"/>
        </w:rPr>
        <w:t xml:space="preserve">yalnızca fiillerin işlendiği o dönemdeki bilgi, kast ve bağlam üzerinden değerlendirilebilir. </w:t>
      </w:r>
      <w:r w:rsidR="00215C49">
        <w:rPr>
          <w:rFonts w:ascii="Palatino Linotype" w:hAnsi="Palatino Linotype"/>
          <w:color w:val="000000"/>
        </w:rPr>
        <w:t>Y</w:t>
      </w:r>
      <w:r w:rsidR="00215C49">
        <w:rPr>
          <w:rFonts w:ascii="Palatino Linotype" w:hAnsi="Palatino Linotype"/>
          <w:color w:val="000000"/>
        </w:rPr>
        <w:t>apı</w:t>
      </w:r>
      <w:r w:rsidR="00215C49">
        <w:rPr>
          <w:rFonts w:ascii="Palatino Linotype" w:hAnsi="Palatino Linotype"/>
          <w:color w:val="000000"/>
        </w:rPr>
        <w:t xml:space="preserve">ya </w:t>
      </w:r>
      <w:r w:rsidRPr="00693DB3">
        <w:rPr>
          <w:rFonts w:ascii="Palatino Linotype" w:hAnsi="Palatino Linotype"/>
          <w:color w:val="000000"/>
          <w:sz w:val="21"/>
          <w:szCs w:val="21"/>
        </w:rPr>
        <w:t>henüz hiçbir şiddet eyleminin atfedilmediği ve devletin tüm kurumlarıyla bu yapının yasal yüzüyle temas halinde olduğu bir dönemde, kişinin şiddet amaçlarını bildiği somut olarak gösterilmeden cezai yollara başvurulması 7. maddenin açık ihlalidir (§ 209).</w:t>
      </w:r>
    </w:p>
    <w:p w14:paraId="7A8EB500" w14:textId="77777777" w:rsidR="00693DB3" w:rsidRPr="00693DB3" w:rsidRDefault="00693DB3" w:rsidP="00693DB3">
      <w:pPr>
        <w:pStyle w:val="ListeParagraf"/>
        <w:numPr>
          <w:ilvl w:val="0"/>
          <w:numId w:val="2"/>
        </w:numPr>
        <w:tabs>
          <w:tab w:val="left" w:pos="3870"/>
        </w:tabs>
        <w:spacing w:line="360" w:lineRule="auto"/>
        <w:ind w:left="630" w:right="-378"/>
        <w:jc w:val="both"/>
        <w:rPr>
          <w:rFonts w:ascii="Palatino Linotype" w:hAnsi="Palatino Linotype" w:cs="Times New Roman"/>
          <w:bCs/>
          <w:sz w:val="21"/>
          <w:szCs w:val="21"/>
        </w:rPr>
      </w:pPr>
      <w:r w:rsidRPr="00693DB3">
        <w:rPr>
          <w:rFonts w:ascii="Palatino Linotype" w:hAnsi="Palatino Linotype"/>
          <w:color w:val="000000"/>
          <w:sz w:val="21"/>
          <w:szCs w:val="21"/>
        </w:rPr>
        <w:t>Kararda Yargıtay'ın söz konusu yapıya atfettiği 7 katmanlı hiyerarşik yapının muğlaklığına da özel olarak değinilmiştir. Büyük Daire, bu katmanların hukuki bir öngörülebilirlik sunmaktan ne kadar uzak olduğunu tartışmış ve ulusal makamların bir kişinin eylemlerinin bu katmanlardan hangisine girdiğini ve bu durumun kişinin kastına nasıl etki ettiğini netleştirmediklerini tespit etmiştir (§ 210). Atıf yapılan bu katmanlı yapının muğlak tasvirlerinin varsayımsal cezalandırmalara dayanak yapılması, AİHM tarafından doğrudan 7. madde aleyhine yorumlanmıştır.</w:t>
      </w:r>
    </w:p>
    <w:p w14:paraId="38DD79B4" w14:textId="018221D9" w:rsidR="00693DB3" w:rsidRPr="00AA57F8" w:rsidRDefault="00693DB3" w:rsidP="00693DB3">
      <w:pPr>
        <w:pStyle w:val="ListeParagraf"/>
        <w:numPr>
          <w:ilvl w:val="0"/>
          <w:numId w:val="2"/>
        </w:numPr>
        <w:tabs>
          <w:tab w:val="left" w:pos="3870"/>
        </w:tabs>
        <w:spacing w:line="360" w:lineRule="auto"/>
        <w:ind w:left="630" w:right="-378"/>
        <w:jc w:val="both"/>
        <w:rPr>
          <w:rFonts w:ascii="Palatino Linotype" w:hAnsi="Palatino Linotype" w:cs="Times New Roman"/>
          <w:sz w:val="21"/>
          <w:szCs w:val="21"/>
        </w:rPr>
      </w:pPr>
      <w:r w:rsidRPr="00693DB3">
        <w:rPr>
          <w:rFonts w:ascii="Palatino Linotype" w:hAnsi="Palatino Linotype"/>
          <w:color w:val="000000"/>
          <w:sz w:val="21"/>
          <w:szCs w:val="21"/>
        </w:rPr>
        <w:t xml:space="preserve">AİHM, benzer davalarda kasta dair çıkarım yapmak isteyen ulusal yargı organlarına yol göstererek standardı belirlemiştir: Kasıt çıkarımı ancak ve ancak davanın "somut olgularıyla sıkı sıkıya bağlı kalınarak" ve "bireyselleştirilmiş bir analize dayanarak" yapılırsa 7. maddeye uygun olabilir. İlgili dönemde büyük ölçüde "dini/sosyal bir grup" olarak algılanan bir yapıya mensup olma olgusu, tek başına, kişinin mahkûmiyetine dayanak teşkil eden fiilleri gerçekleştirirken suç için gerekli kasıt </w:t>
      </w:r>
      <w:r w:rsidRPr="00693DB3">
        <w:rPr>
          <w:rFonts w:ascii="Palatino Linotype" w:hAnsi="Palatino Linotype"/>
          <w:color w:val="000000"/>
          <w:sz w:val="21"/>
          <w:szCs w:val="21"/>
        </w:rPr>
        <w:lastRenderedPageBreak/>
        <w:t xml:space="preserve">unsuruna sahip olduğu sonucuna asla yol açamaz. </w:t>
      </w:r>
      <w:r w:rsidRPr="00AA57F8">
        <w:rPr>
          <w:rFonts w:ascii="Palatino Linotype" w:hAnsi="Palatino Linotype"/>
          <w:color w:val="000000"/>
          <w:sz w:val="21"/>
          <w:szCs w:val="21"/>
        </w:rPr>
        <w:t xml:space="preserve">Mahkeme, her ne düzeyde olursa olsun veya hangi görevi yaparsa yapsın "Cemaat/Yapı üyesi eşittir terör örgütü üyesi" şeklindeki toptancı anlayışı kökten reddetmiştir. Dosyadaki var olan (ve aslen yasal olan) delilleri alt alta sıralayıp, bu delillerin kişinin </w:t>
      </w:r>
      <w:r w:rsidR="00215C49">
        <w:rPr>
          <w:rFonts w:ascii="Palatino Linotype" w:hAnsi="Palatino Linotype"/>
          <w:color w:val="000000"/>
          <w:sz w:val="21"/>
          <w:szCs w:val="21"/>
        </w:rPr>
        <w:t>yapının iddia edilen nihai</w:t>
      </w:r>
      <w:r w:rsidRPr="00AA57F8">
        <w:rPr>
          <w:rFonts w:ascii="Palatino Linotype" w:hAnsi="Palatino Linotype"/>
          <w:color w:val="000000"/>
          <w:sz w:val="21"/>
          <w:szCs w:val="21"/>
        </w:rPr>
        <w:t xml:space="preserve"> amaçlarından gerçekten haberdar olduğunu ve bu bilgiyle </w:t>
      </w:r>
      <w:r w:rsidR="00215C49">
        <w:rPr>
          <w:rFonts w:ascii="Palatino Linotype" w:hAnsi="Palatino Linotype"/>
          <w:color w:val="000000"/>
        </w:rPr>
        <w:t>yapı</w:t>
      </w:r>
      <w:r w:rsidR="00215C49">
        <w:rPr>
          <w:rFonts w:ascii="Palatino Linotype" w:hAnsi="Palatino Linotype"/>
          <w:color w:val="000000"/>
        </w:rPr>
        <w:t>ya</w:t>
      </w:r>
      <w:r w:rsidRPr="00AA57F8">
        <w:rPr>
          <w:rFonts w:ascii="Palatino Linotype" w:hAnsi="Palatino Linotype"/>
          <w:color w:val="000000"/>
          <w:sz w:val="21"/>
          <w:szCs w:val="21"/>
        </w:rPr>
        <w:t xml:space="preserve"> katıldığını açıklamaya çalışmaksızın "kastın varlığına" hükmedilmesi kabul edilemez (§ 211).</w:t>
      </w:r>
    </w:p>
    <w:p w14:paraId="39A316D7" w14:textId="32B6EA87" w:rsidR="00693DB3" w:rsidRPr="00693DB3" w:rsidRDefault="00693DB3" w:rsidP="00693DB3">
      <w:pPr>
        <w:pStyle w:val="ListeParagraf"/>
        <w:numPr>
          <w:ilvl w:val="0"/>
          <w:numId w:val="2"/>
        </w:numPr>
        <w:tabs>
          <w:tab w:val="left" w:pos="3870"/>
        </w:tabs>
        <w:spacing w:line="360" w:lineRule="auto"/>
        <w:ind w:left="630" w:right="-378"/>
        <w:jc w:val="both"/>
        <w:rPr>
          <w:rFonts w:ascii="Palatino Linotype" w:hAnsi="Palatino Linotype" w:cs="Times New Roman"/>
          <w:bCs/>
          <w:sz w:val="21"/>
          <w:szCs w:val="21"/>
        </w:rPr>
      </w:pPr>
      <w:r w:rsidRPr="00693DB3">
        <w:rPr>
          <w:rFonts w:ascii="Palatino Linotype" w:hAnsi="Palatino Linotype"/>
          <w:color w:val="000000"/>
          <w:sz w:val="21"/>
          <w:szCs w:val="21"/>
        </w:rPr>
        <w:t xml:space="preserve">Mahkemenin nihai sonucuna göre; ulusal makamlar ve mahkemeler, başvurucuların </w:t>
      </w:r>
      <w:r w:rsidR="00215C49">
        <w:rPr>
          <w:rFonts w:ascii="Palatino Linotype" w:hAnsi="Palatino Linotype"/>
          <w:color w:val="000000"/>
        </w:rPr>
        <w:t>yapının</w:t>
      </w:r>
      <w:r w:rsidRPr="00693DB3">
        <w:rPr>
          <w:rFonts w:ascii="Palatino Linotype" w:hAnsi="Palatino Linotype"/>
          <w:color w:val="000000"/>
          <w:sz w:val="21"/>
          <w:szCs w:val="21"/>
        </w:rPr>
        <w:t xml:space="preserve"> terör örgütü olarak tanımlanmasından çok önce iç hukukta sahip olduğu yasal statü etrafında belirli eylemlerde bulunmalarının, onların "</w:t>
      </w:r>
      <w:r w:rsidR="00215C49" w:rsidRPr="00215C49">
        <w:rPr>
          <w:rFonts w:ascii="Palatino Linotype" w:hAnsi="Palatino Linotype"/>
          <w:color w:val="000000"/>
        </w:rPr>
        <w:t xml:space="preserve"> </w:t>
      </w:r>
      <w:r w:rsidR="00215C49">
        <w:rPr>
          <w:rFonts w:ascii="Palatino Linotype" w:hAnsi="Palatino Linotype"/>
          <w:color w:val="000000"/>
        </w:rPr>
        <w:t>yapının</w:t>
      </w:r>
      <w:r w:rsidR="00215C49" w:rsidRPr="00693DB3">
        <w:rPr>
          <w:rFonts w:ascii="Palatino Linotype" w:hAnsi="Palatino Linotype"/>
          <w:color w:val="000000"/>
          <w:sz w:val="21"/>
          <w:szCs w:val="21"/>
        </w:rPr>
        <w:t xml:space="preserve"> </w:t>
      </w:r>
      <w:r w:rsidRPr="00693DB3">
        <w:rPr>
          <w:rFonts w:ascii="Palatino Linotype" w:hAnsi="Palatino Linotype"/>
          <w:color w:val="000000"/>
          <w:sz w:val="21"/>
          <w:szCs w:val="21"/>
        </w:rPr>
        <w:t xml:space="preserve">niteliği ve </w:t>
      </w:r>
      <w:r w:rsidR="00215C49">
        <w:rPr>
          <w:rFonts w:ascii="Palatino Linotype" w:hAnsi="Palatino Linotype"/>
          <w:color w:val="000000"/>
          <w:sz w:val="21"/>
          <w:szCs w:val="21"/>
        </w:rPr>
        <w:t xml:space="preserve">iddia edilen </w:t>
      </w:r>
      <w:r w:rsidRPr="00693DB3">
        <w:rPr>
          <w:rFonts w:ascii="Palatino Linotype" w:hAnsi="Palatino Linotype"/>
          <w:color w:val="000000"/>
          <w:sz w:val="21"/>
          <w:szCs w:val="21"/>
        </w:rPr>
        <w:t xml:space="preserve">amaçlarından haberdar oldukları", "bu </w:t>
      </w:r>
      <w:r w:rsidR="00215C49">
        <w:rPr>
          <w:rFonts w:ascii="Palatino Linotype" w:hAnsi="Palatino Linotype"/>
          <w:color w:val="000000"/>
          <w:sz w:val="21"/>
          <w:szCs w:val="21"/>
        </w:rPr>
        <w:t>yapının</w:t>
      </w:r>
      <w:r w:rsidRPr="00693DB3">
        <w:rPr>
          <w:rFonts w:ascii="Palatino Linotype" w:hAnsi="Palatino Linotype"/>
          <w:color w:val="000000"/>
          <w:sz w:val="21"/>
          <w:szCs w:val="21"/>
        </w:rPr>
        <w:t xml:space="preserve"> bir parçası olmayı amaçladıkları" ve </w:t>
      </w:r>
      <w:r w:rsidR="00215C49">
        <w:rPr>
          <w:rFonts w:ascii="Palatino Linotype" w:hAnsi="Palatino Linotype"/>
          <w:color w:val="000000"/>
          <w:sz w:val="21"/>
          <w:szCs w:val="21"/>
        </w:rPr>
        <w:t>yapının</w:t>
      </w:r>
      <w:r w:rsidRPr="00693DB3">
        <w:rPr>
          <w:rFonts w:ascii="Palatino Linotype" w:hAnsi="Palatino Linotype"/>
          <w:color w:val="000000"/>
          <w:sz w:val="21"/>
          <w:szCs w:val="21"/>
        </w:rPr>
        <w:t xml:space="preserve"> amaçlarına "aktif, sürekli bir şekilde katkıda bulundukları" sonucuna nasıl yol açtığını hukuken açıklayamamışlardır. Bu durum doğrudan doğruya, cezai sorumluluk atfı için zorunlu olan manevi unsur tespit edilmeden kişinin cezalandırılmama hakkını garanti eden Sözleşmenin 7. maddesinin ihlalidir (§ 212-213).</w:t>
      </w:r>
    </w:p>
    <w:p w14:paraId="6249928D" w14:textId="77777777" w:rsidR="00693DB3" w:rsidRPr="00693DB3" w:rsidRDefault="00693DB3" w:rsidP="00693DB3">
      <w:pPr>
        <w:pStyle w:val="ListeParagraf"/>
        <w:numPr>
          <w:ilvl w:val="0"/>
          <w:numId w:val="2"/>
        </w:numPr>
        <w:tabs>
          <w:tab w:val="left" w:pos="3870"/>
        </w:tabs>
        <w:spacing w:line="360" w:lineRule="auto"/>
        <w:ind w:left="630" w:right="-378"/>
        <w:jc w:val="both"/>
        <w:rPr>
          <w:rFonts w:ascii="Palatino Linotype" w:hAnsi="Palatino Linotype" w:cs="Times New Roman"/>
          <w:bCs/>
          <w:sz w:val="21"/>
          <w:szCs w:val="21"/>
        </w:rPr>
      </w:pPr>
      <w:r w:rsidRPr="00693DB3">
        <w:rPr>
          <w:rFonts w:ascii="Palatino Linotype" w:hAnsi="Palatino Linotype"/>
          <w:color w:val="000000"/>
          <w:sz w:val="21"/>
          <w:szCs w:val="21"/>
        </w:rPr>
        <w:t>AİHM'in</w:t>
      </w:r>
      <w:r w:rsidRPr="00693DB3">
        <w:rPr>
          <w:rStyle w:val="apple-converted-space"/>
          <w:rFonts w:ascii="Palatino Linotype" w:eastAsiaTheme="majorEastAsia" w:hAnsi="Palatino Linotype"/>
          <w:color w:val="000000"/>
          <w:sz w:val="21"/>
          <w:szCs w:val="21"/>
        </w:rPr>
        <w:t> </w:t>
      </w:r>
      <w:r w:rsidRPr="00693DB3">
        <w:rPr>
          <w:rFonts w:ascii="Palatino Linotype" w:hAnsi="Palatino Linotype"/>
          <w:i/>
          <w:iCs/>
          <w:color w:val="000000"/>
          <w:sz w:val="21"/>
          <w:szCs w:val="21"/>
        </w:rPr>
        <w:t>Yasak</w:t>
      </w:r>
      <w:r w:rsidRPr="00693DB3">
        <w:rPr>
          <w:rStyle w:val="apple-converted-space"/>
          <w:rFonts w:ascii="Palatino Linotype" w:eastAsiaTheme="majorEastAsia" w:hAnsi="Palatino Linotype"/>
          <w:color w:val="000000"/>
          <w:sz w:val="21"/>
          <w:szCs w:val="21"/>
        </w:rPr>
        <w:t> </w:t>
      </w:r>
      <w:r w:rsidRPr="00693DB3">
        <w:rPr>
          <w:rFonts w:ascii="Palatino Linotype" w:hAnsi="Palatino Linotype"/>
          <w:color w:val="000000"/>
          <w:sz w:val="21"/>
          <w:szCs w:val="21"/>
        </w:rPr>
        <w:t>kararı, özellikle 15 Temmuz darbe girişimi öncesi döneme dayalı isnatlarla yürütülen tüm soruşturma ve kovuşturmalar bakımından çok önemli bir kırılma noktası ve bağlayıcı bir içtihat niteliğindedir. Büyük Daire bu kararla, belirleyici hukuki meselenin kişinin bir yapıyla fiziki veya yasal bağlantısının bulunup bulunmadığı değil; bu bağlantının suçun manevi unsurunu somut olarak ortaya koyup koymadığı olduğunu kesinleştirmiştir. İlgili dönemde büyük ölçüde dini, sosyal ve sivil bir yapı olarak algılanan bir oluşumla yasal zeminlerde kurulan bağların, tek başına TCK 314 anlamında "silahlı terör örgütü üyeliği" suçuna dayanak oluşturamayacağı net bir şekilde tescillenmiştir.</w:t>
      </w:r>
    </w:p>
    <w:p w14:paraId="49E58321" w14:textId="1298AE17" w:rsidR="00693DB3" w:rsidRPr="00693DB3" w:rsidRDefault="00693DB3" w:rsidP="00693DB3">
      <w:pPr>
        <w:pStyle w:val="ListeParagraf"/>
        <w:numPr>
          <w:ilvl w:val="0"/>
          <w:numId w:val="2"/>
        </w:numPr>
        <w:tabs>
          <w:tab w:val="left" w:pos="3870"/>
        </w:tabs>
        <w:spacing w:line="360" w:lineRule="auto"/>
        <w:ind w:left="630" w:right="-378"/>
        <w:jc w:val="both"/>
        <w:rPr>
          <w:rFonts w:ascii="Palatino Linotype" w:hAnsi="Palatino Linotype" w:cs="Times New Roman"/>
          <w:bCs/>
          <w:sz w:val="21"/>
          <w:szCs w:val="21"/>
        </w:rPr>
      </w:pPr>
      <w:r w:rsidRPr="00693DB3">
        <w:rPr>
          <w:rFonts w:ascii="Palatino Linotype" w:hAnsi="Palatino Linotype"/>
          <w:color w:val="000000"/>
          <w:sz w:val="21"/>
          <w:szCs w:val="21"/>
        </w:rPr>
        <w:t xml:space="preserve">Artık AİHM'in bağlayıcı standardına göre; 15 Temmuz öncesi döneme ilişkin atılı bir fiilin suça vücut verdiğinin </w:t>
      </w:r>
      <w:proofErr w:type="spellStart"/>
      <w:r w:rsidR="00C65CE9">
        <w:rPr>
          <w:rFonts w:ascii="Palatino Linotype" w:hAnsi="Palatino Linotype"/>
          <w:color w:val="000000"/>
          <w:sz w:val="21"/>
          <w:szCs w:val="21"/>
        </w:rPr>
        <w:t>AİHS’e</w:t>
      </w:r>
      <w:proofErr w:type="spellEnd"/>
      <w:r w:rsidR="00C65CE9">
        <w:rPr>
          <w:rFonts w:ascii="Palatino Linotype" w:hAnsi="Palatino Linotype"/>
          <w:color w:val="000000"/>
          <w:sz w:val="21"/>
          <w:szCs w:val="21"/>
        </w:rPr>
        <w:t xml:space="preserve"> </w:t>
      </w:r>
      <w:r w:rsidRPr="00693DB3">
        <w:rPr>
          <w:rFonts w:ascii="Palatino Linotype" w:hAnsi="Palatino Linotype"/>
          <w:color w:val="000000"/>
          <w:sz w:val="21"/>
          <w:szCs w:val="21"/>
        </w:rPr>
        <w:t xml:space="preserve">uygun kabul edilebilmesi için, </w:t>
      </w:r>
      <w:r w:rsidRPr="00C65CE9">
        <w:rPr>
          <w:rFonts w:ascii="Palatino Linotype" w:hAnsi="Palatino Linotype"/>
          <w:b/>
          <w:bCs/>
          <w:color w:val="000000"/>
          <w:sz w:val="21"/>
          <w:szCs w:val="21"/>
        </w:rPr>
        <w:t>kişinin tam da o dönemde söz konusu yapının şiddet içeren iddia edilen amaçlarını "bildiğinin" hiçbir şüpheye yer bırakmayacak şekilde somut delillerle ortaya konulması gerekmektedir.</w:t>
      </w:r>
      <w:r w:rsidRPr="00693DB3">
        <w:rPr>
          <w:rFonts w:ascii="Palatino Linotype" w:hAnsi="Palatino Linotype"/>
          <w:color w:val="000000"/>
          <w:sz w:val="21"/>
          <w:szCs w:val="21"/>
        </w:rPr>
        <w:t xml:space="preserve"> Dahası, bu bilgiye rağmen yapıyla bağın "bilerek ve isteyerek" sürdüğü ve bu bağın salt sosyal ya da mesleki bir ilişki olmanın ötesinde, doğrudan bu yapının iddia edilen suç teşkil eden amaçlarına "bilinçli bir bağlılık ve katkı" gösterecek nitelikte olduğu kanıtlanmak zorundadır. Bu unsurlar varsayımla, genellemeyle, aidiyet kavramıyla veya yasal faaliyetlerin birikimiyle değil, </w:t>
      </w:r>
      <w:r w:rsidRPr="00016C4D">
        <w:rPr>
          <w:rFonts w:ascii="Palatino Linotype" w:hAnsi="Palatino Linotype"/>
          <w:b/>
          <w:bCs/>
          <w:color w:val="000000"/>
          <w:sz w:val="21"/>
          <w:szCs w:val="21"/>
        </w:rPr>
        <w:t xml:space="preserve">bireyselleştirilmiş somut delillerle </w:t>
      </w:r>
      <w:r w:rsidRPr="00693DB3">
        <w:rPr>
          <w:rFonts w:ascii="Palatino Linotype" w:hAnsi="Palatino Linotype"/>
          <w:color w:val="000000"/>
          <w:sz w:val="21"/>
          <w:szCs w:val="21"/>
        </w:rPr>
        <w:t>ortaya konulmadıkça yürütülecek hiçbir cezai süreç Anayasa'nın 90. maddesi delaletiyle AİHS 7. maddeyle bağdaşmayacaktır.</w:t>
      </w:r>
    </w:p>
    <w:p w14:paraId="61616E93" w14:textId="23F7F68E" w:rsidR="00693DB3" w:rsidRPr="00693DB3" w:rsidRDefault="00693DB3" w:rsidP="00693DB3">
      <w:pPr>
        <w:pStyle w:val="ListeParagraf"/>
        <w:numPr>
          <w:ilvl w:val="0"/>
          <w:numId w:val="2"/>
        </w:numPr>
        <w:tabs>
          <w:tab w:val="left" w:pos="3870"/>
        </w:tabs>
        <w:spacing w:line="360" w:lineRule="auto"/>
        <w:ind w:left="630" w:right="-378"/>
        <w:jc w:val="both"/>
        <w:rPr>
          <w:rFonts w:ascii="Palatino Linotype" w:hAnsi="Palatino Linotype" w:cs="Times New Roman"/>
          <w:bCs/>
          <w:sz w:val="21"/>
          <w:szCs w:val="21"/>
        </w:rPr>
      </w:pPr>
      <w:r w:rsidRPr="00016C4D">
        <w:rPr>
          <w:rFonts w:ascii="Palatino Linotype" w:hAnsi="Palatino Linotype"/>
          <w:color w:val="000000"/>
          <w:sz w:val="21"/>
          <w:szCs w:val="21"/>
          <w:highlight w:val="yellow"/>
        </w:rPr>
        <w:t>Müvekkil hakkında</w:t>
      </w:r>
      <w:r w:rsidR="00016C4D" w:rsidRPr="00016C4D">
        <w:rPr>
          <w:rFonts w:ascii="Palatino Linotype" w:hAnsi="Palatino Linotype"/>
          <w:color w:val="000000"/>
          <w:sz w:val="21"/>
          <w:szCs w:val="21"/>
          <w:highlight w:val="yellow"/>
        </w:rPr>
        <w:t>/hakkımda/eşim/vasisi olduğum … hakkında</w:t>
      </w:r>
      <w:r w:rsidRPr="00693DB3">
        <w:rPr>
          <w:rFonts w:ascii="Palatino Linotype" w:hAnsi="Palatino Linotype"/>
          <w:color w:val="000000"/>
          <w:sz w:val="21"/>
          <w:szCs w:val="21"/>
        </w:rPr>
        <w:t xml:space="preserve"> yürütülen yargılamada bu bağlayıcı kararlar ekseninde temel mesele, </w:t>
      </w:r>
      <w:r w:rsidRPr="00016C4D">
        <w:rPr>
          <w:rFonts w:ascii="Palatino Linotype" w:hAnsi="Palatino Linotype"/>
          <w:color w:val="000000"/>
          <w:sz w:val="21"/>
          <w:szCs w:val="21"/>
          <w:highlight w:val="yellow"/>
        </w:rPr>
        <w:t>müvekkilin</w:t>
      </w:r>
      <w:r w:rsidR="00016C4D" w:rsidRPr="00016C4D">
        <w:rPr>
          <w:rFonts w:ascii="Palatino Linotype" w:hAnsi="Palatino Linotype"/>
          <w:color w:val="000000"/>
          <w:sz w:val="21"/>
          <w:szCs w:val="21"/>
          <w:highlight w:val="yellow"/>
        </w:rPr>
        <w:t xml:space="preserve"> </w:t>
      </w:r>
      <w:r w:rsidRPr="00016C4D">
        <w:rPr>
          <w:rFonts w:ascii="Palatino Linotype" w:hAnsi="Palatino Linotype"/>
          <w:color w:val="000000"/>
          <w:sz w:val="21"/>
          <w:szCs w:val="21"/>
          <w:highlight w:val="yellow"/>
        </w:rPr>
        <w:t>fiillerinin</w:t>
      </w:r>
      <w:r w:rsidR="00016C4D" w:rsidRPr="00016C4D">
        <w:rPr>
          <w:rFonts w:ascii="Palatino Linotype" w:hAnsi="Palatino Linotype"/>
          <w:color w:val="000000"/>
          <w:sz w:val="21"/>
          <w:szCs w:val="21"/>
          <w:highlight w:val="yellow"/>
        </w:rPr>
        <w:t xml:space="preserve">/fiillerimin/eşimin fiillerinin/ </w:t>
      </w:r>
      <w:r w:rsidR="00016C4D" w:rsidRPr="00016C4D">
        <w:rPr>
          <w:rFonts w:ascii="Palatino Linotype" w:hAnsi="Palatino Linotype"/>
          <w:color w:val="000000"/>
          <w:sz w:val="21"/>
          <w:szCs w:val="21"/>
          <w:highlight w:val="yellow"/>
        </w:rPr>
        <w:lastRenderedPageBreak/>
        <w:t>vasisi olduğum… fiillerinin</w:t>
      </w:r>
      <w:r w:rsidRPr="00693DB3">
        <w:rPr>
          <w:rFonts w:ascii="Palatino Linotype" w:hAnsi="Palatino Linotype"/>
          <w:color w:val="000000"/>
          <w:sz w:val="21"/>
          <w:szCs w:val="21"/>
        </w:rPr>
        <w:t xml:space="preserve"> suç olup olmadığının tartışılmasından ziyade, bu eylemlerin "suç kastını" gösterip göstermediğidir. </w:t>
      </w:r>
      <w:r w:rsidRPr="00016C4D">
        <w:rPr>
          <w:rFonts w:ascii="Palatino Linotype" w:hAnsi="Palatino Linotype"/>
          <w:color w:val="000000"/>
          <w:sz w:val="21"/>
          <w:szCs w:val="21"/>
          <w:highlight w:val="yellow"/>
        </w:rPr>
        <w:t>Müvekkil</w:t>
      </w:r>
      <w:r w:rsidR="00016C4D" w:rsidRPr="00016C4D">
        <w:rPr>
          <w:rFonts w:ascii="Palatino Linotype" w:hAnsi="Palatino Linotype"/>
          <w:color w:val="000000"/>
          <w:sz w:val="21"/>
          <w:szCs w:val="21"/>
          <w:highlight w:val="yellow"/>
        </w:rPr>
        <w:t xml:space="preserve">/eşim/vasisi </w:t>
      </w:r>
      <w:proofErr w:type="gramStart"/>
      <w:r w:rsidR="00016C4D" w:rsidRPr="00016C4D">
        <w:rPr>
          <w:rFonts w:ascii="Palatino Linotype" w:hAnsi="Palatino Linotype"/>
          <w:color w:val="000000"/>
          <w:sz w:val="21"/>
          <w:szCs w:val="21"/>
          <w:highlight w:val="yellow"/>
        </w:rPr>
        <w:t>olduğum..</w:t>
      </w:r>
      <w:proofErr w:type="gramEnd"/>
      <w:r w:rsidRPr="00693DB3">
        <w:rPr>
          <w:rFonts w:ascii="Palatino Linotype" w:hAnsi="Palatino Linotype"/>
          <w:color w:val="000000"/>
          <w:sz w:val="21"/>
          <w:szCs w:val="21"/>
        </w:rPr>
        <w:t xml:space="preserve"> </w:t>
      </w:r>
      <w:proofErr w:type="gramStart"/>
      <w:r w:rsidRPr="00693DB3">
        <w:rPr>
          <w:rFonts w:ascii="Palatino Linotype" w:hAnsi="Palatino Linotype"/>
          <w:color w:val="000000"/>
          <w:sz w:val="21"/>
          <w:szCs w:val="21"/>
        </w:rPr>
        <w:t>söz</w:t>
      </w:r>
      <w:proofErr w:type="gramEnd"/>
      <w:r w:rsidRPr="00693DB3">
        <w:rPr>
          <w:rFonts w:ascii="Palatino Linotype" w:hAnsi="Palatino Linotype"/>
          <w:color w:val="000000"/>
          <w:sz w:val="21"/>
          <w:szCs w:val="21"/>
        </w:rPr>
        <w:t xml:space="preserve"> konusu yapının sonradan ilan edilen şiddet amaçlarını hiçbir zaman bilmemiş, hissetmemiş ve bu amaçlara yönelik en ufak bir suç iradesi taşımamıştır. Fiillerin </w:t>
      </w:r>
      <w:r w:rsidRPr="00693DB3">
        <w:rPr>
          <w:rFonts w:ascii="Palatino Linotype" w:hAnsi="Palatino Linotype"/>
          <w:color w:val="000000"/>
          <w:sz w:val="21"/>
          <w:szCs w:val="21"/>
          <w:highlight w:val="yellow"/>
        </w:rPr>
        <w:t>(dernek/sendika üyeliği, banka hesabı kullanımı, eğitim kurumu faaliyetleri, dini sohbetler vb. yasal faaliyetlerin)</w:t>
      </w:r>
      <w:r w:rsidRPr="00693DB3">
        <w:rPr>
          <w:rFonts w:ascii="Palatino Linotype" w:hAnsi="Palatino Linotype"/>
          <w:color w:val="000000"/>
          <w:sz w:val="21"/>
          <w:szCs w:val="21"/>
        </w:rPr>
        <w:t xml:space="preserve"> işlendiği o dönemde, yapının </w:t>
      </w:r>
      <w:r w:rsidR="00215C49">
        <w:rPr>
          <w:rFonts w:ascii="Palatino Linotype" w:hAnsi="Palatino Linotype"/>
          <w:color w:val="000000"/>
          <w:sz w:val="21"/>
          <w:szCs w:val="21"/>
        </w:rPr>
        <w:t xml:space="preserve">iddia edildiği gibi </w:t>
      </w:r>
      <w:r w:rsidRPr="00693DB3">
        <w:rPr>
          <w:rFonts w:ascii="Palatino Linotype" w:hAnsi="Palatino Linotype"/>
          <w:color w:val="000000"/>
          <w:sz w:val="21"/>
          <w:szCs w:val="21"/>
        </w:rPr>
        <w:t xml:space="preserve">bir </w:t>
      </w:r>
      <w:r w:rsidR="00215C49">
        <w:rPr>
          <w:rFonts w:ascii="Palatino Linotype" w:hAnsi="Palatino Linotype"/>
          <w:color w:val="000000"/>
          <w:sz w:val="21"/>
          <w:szCs w:val="21"/>
        </w:rPr>
        <w:t>‘’</w:t>
      </w:r>
      <w:r w:rsidRPr="00693DB3">
        <w:rPr>
          <w:rFonts w:ascii="Palatino Linotype" w:hAnsi="Palatino Linotype"/>
          <w:color w:val="000000"/>
          <w:sz w:val="21"/>
          <w:szCs w:val="21"/>
        </w:rPr>
        <w:t>terör örgütü</w:t>
      </w:r>
      <w:r w:rsidR="00215C49">
        <w:rPr>
          <w:rFonts w:ascii="Palatino Linotype" w:hAnsi="Palatino Linotype"/>
          <w:color w:val="000000"/>
          <w:sz w:val="21"/>
          <w:szCs w:val="21"/>
        </w:rPr>
        <w:t>’’</w:t>
      </w:r>
      <w:r w:rsidRPr="00693DB3">
        <w:rPr>
          <w:rFonts w:ascii="Palatino Linotype" w:hAnsi="Palatino Linotype"/>
          <w:color w:val="000000"/>
          <w:sz w:val="21"/>
          <w:szCs w:val="21"/>
        </w:rPr>
        <w:t xml:space="preserve"> niteliğinde olduğunun vatandaşlar tarafından öngörülebilmesi imkansızdır. </w:t>
      </w:r>
      <w:r w:rsidR="00016C4D">
        <w:rPr>
          <w:rFonts w:ascii="Palatino Linotype" w:hAnsi="Palatino Linotype"/>
          <w:color w:val="000000"/>
          <w:sz w:val="21"/>
          <w:szCs w:val="21"/>
        </w:rPr>
        <w:t>K</w:t>
      </w:r>
      <w:r w:rsidRPr="00693DB3">
        <w:rPr>
          <w:rFonts w:ascii="Palatino Linotype" w:hAnsi="Palatino Linotype"/>
          <w:color w:val="000000"/>
          <w:sz w:val="21"/>
          <w:szCs w:val="21"/>
        </w:rPr>
        <w:t>ur</w:t>
      </w:r>
      <w:r w:rsidR="00016C4D">
        <w:rPr>
          <w:rFonts w:ascii="Palatino Linotype" w:hAnsi="Palatino Linotype"/>
          <w:color w:val="000000"/>
          <w:sz w:val="21"/>
          <w:szCs w:val="21"/>
        </w:rPr>
        <w:t>ulan</w:t>
      </w:r>
      <w:r w:rsidRPr="00693DB3">
        <w:rPr>
          <w:rFonts w:ascii="Palatino Linotype" w:hAnsi="Palatino Linotype"/>
          <w:color w:val="000000"/>
          <w:sz w:val="21"/>
          <w:szCs w:val="21"/>
        </w:rPr>
        <w:t xml:space="preserve"> temas, hukuki çerçevede işlevsel, hiyerarşik veya şiddet amaçlı stratejik bir nitelik taşımamaktadır.</w:t>
      </w:r>
    </w:p>
    <w:p w14:paraId="695A5550" w14:textId="77777777" w:rsidR="00693DB3" w:rsidRPr="00693DB3" w:rsidRDefault="00693DB3" w:rsidP="00693DB3">
      <w:pPr>
        <w:pStyle w:val="ListeParagraf"/>
        <w:numPr>
          <w:ilvl w:val="0"/>
          <w:numId w:val="2"/>
        </w:numPr>
        <w:tabs>
          <w:tab w:val="left" w:pos="3870"/>
        </w:tabs>
        <w:spacing w:line="360" w:lineRule="auto"/>
        <w:ind w:left="630" w:right="-378"/>
        <w:jc w:val="both"/>
        <w:rPr>
          <w:rFonts w:ascii="Palatino Linotype" w:hAnsi="Palatino Linotype" w:cs="Times New Roman"/>
          <w:bCs/>
          <w:sz w:val="21"/>
          <w:szCs w:val="21"/>
        </w:rPr>
      </w:pPr>
      <w:r w:rsidRPr="00693DB3">
        <w:rPr>
          <w:rFonts w:ascii="Palatino Linotype" w:hAnsi="Palatino Linotype"/>
          <w:i/>
          <w:iCs/>
          <w:color w:val="000000"/>
          <w:sz w:val="21"/>
          <w:szCs w:val="21"/>
        </w:rPr>
        <w:t>Yalçınkaya</w:t>
      </w:r>
      <w:r w:rsidRPr="00693DB3">
        <w:rPr>
          <w:rStyle w:val="apple-converted-space"/>
          <w:rFonts w:ascii="Palatino Linotype" w:eastAsiaTheme="majorEastAsia" w:hAnsi="Palatino Linotype"/>
          <w:color w:val="000000"/>
          <w:sz w:val="21"/>
          <w:szCs w:val="21"/>
        </w:rPr>
        <w:t> </w:t>
      </w:r>
      <w:r w:rsidRPr="00693DB3">
        <w:rPr>
          <w:rFonts w:ascii="Palatino Linotype" w:hAnsi="Palatino Linotype"/>
          <w:color w:val="000000"/>
          <w:sz w:val="21"/>
          <w:szCs w:val="21"/>
        </w:rPr>
        <w:t>ve</w:t>
      </w:r>
      <w:r w:rsidRPr="00693DB3">
        <w:rPr>
          <w:rStyle w:val="apple-converted-space"/>
          <w:rFonts w:ascii="Palatino Linotype" w:eastAsiaTheme="majorEastAsia" w:hAnsi="Palatino Linotype"/>
          <w:color w:val="000000"/>
          <w:sz w:val="21"/>
          <w:szCs w:val="21"/>
        </w:rPr>
        <w:t> </w:t>
      </w:r>
      <w:r w:rsidRPr="00693DB3">
        <w:rPr>
          <w:rFonts w:ascii="Palatino Linotype" w:hAnsi="Palatino Linotype"/>
          <w:i/>
          <w:iCs/>
          <w:color w:val="000000"/>
          <w:sz w:val="21"/>
          <w:szCs w:val="21"/>
        </w:rPr>
        <w:t>Yasak</w:t>
      </w:r>
      <w:r w:rsidRPr="00693DB3">
        <w:rPr>
          <w:rStyle w:val="apple-converted-space"/>
          <w:rFonts w:ascii="Palatino Linotype" w:eastAsiaTheme="majorEastAsia" w:hAnsi="Palatino Linotype"/>
          <w:color w:val="000000"/>
          <w:sz w:val="21"/>
          <w:szCs w:val="21"/>
        </w:rPr>
        <w:t> </w:t>
      </w:r>
      <w:r w:rsidRPr="00693DB3">
        <w:rPr>
          <w:rFonts w:ascii="Palatino Linotype" w:hAnsi="Palatino Linotype"/>
          <w:color w:val="000000"/>
          <w:sz w:val="21"/>
          <w:szCs w:val="21"/>
        </w:rPr>
        <w:t>Büyük Daire kararları birbirinden bağımsız kararlar değil, yargı sistemimizdeki aynı yapısal sorunun birbirini tamamlayan iki farklı görünümüne aittir ve birlikte uygulanmak zorundadır.</w:t>
      </w:r>
      <w:r w:rsidRPr="00693DB3">
        <w:rPr>
          <w:rStyle w:val="apple-converted-space"/>
          <w:rFonts w:ascii="Palatino Linotype" w:eastAsiaTheme="majorEastAsia" w:hAnsi="Palatino Linotype"/>
          <w:color w:val="000000"/>
          <w:sz w:val="21"/>
          <w:szCs w:val="21"/>
        </w:rPr>
        <w:t> </w:t>
      </w:r>
      <w:r w:rsidRPr="00693DB3">
        <w:rPr>
          <w:rFonts w:ascii="Palatino Linotype" w:hAnsi="Palatino Linotype"/>
          <w:i/>
          <w:iCs/>
          <w:color w:val="000000"/>
          <w:sz w:val="21"/>
          <w:szCs w:val="21"/>
        </w:rPr>
        <w:t>Yalçınkaya</w:t>
      </w:r>
      <w:r w:rsidRPr="00693DB3">
        <w:rPr>
          <w:rStyle w:val="apple-converted-space"/>
          <w:rFonts w:ascii="Palatino Linotype" w:eastAsiaTheme="majorEastAsia" w:hAnsi="Palatino Linotype"/>
          <w:color w:val="000000"/>
          <w:sz w:val="21"/>
          <w:szCs w:val="21"/>
        </w:rPr>
        <w:t> </w:t>
      </w:r>
      <w:r w:rsidRPr="00693DB3">
        <w:rPr>
          <w:rFonts w:ascii="Palatino Linotype" w:hAnsi="Palatino Linotype"/>
          <w:color w:val="000000"/>
          <w:sz w:val="21"/>
          <w:szCs w:val="21"/>
        </w:rPr>
        <w:t>kararı otomatik mahkûmiyet, öngörülebilirlik, kanunilik ve delillerin bireyselleştirilmeden kullanılmasının hukuka aykırılığını tespit etmişken;</w:t>
      </w:r>
      <w:r w:rsidRPr="00693DB3">
        <w:rPr>
          <w:rStyle w:val="apple-converted-space"/>
          <w:rFonts w:ascii="Palatino Linotype" w:eastAsiaTheme="majorEastAsia" w:hAnsi="Palatino Linotype"/>
          <w:color w:val="000000"/>
          <w:sz w:val="21"/>
          <w:szCs w:val="21"/>
        </w:rPr>
        <w:t> </w:t>
      </w:r>
      <w:r w:rsidRPr="00693DB3">
        <w:rPr>
          <w:rFonts w:ascii="Palatino Linotype" w:hAnsi="Palatino Linotype"/>
          <w:i/>
          <w:iCs/>
          <w:color w:val="000000"/>
          <w:sz w:val="21"/>
          <w:szCs w:val="21"/>
        </w:rPr>
        <w:t>Yasak</w:t>
      </w:r>
      <w:r w:rsidRPr="00693DB3">
        <w:rPr>
          <w:rStyle w:val="apple-converted-space"/>
          <w:rFonts w:ascii="Palatino Linotype" w:eastAsiaTheme="majorEastAsia" w:hAnsi="Palatino Linotype"/>
          <w:color w:val="000000"/>
          <w:sz w:val="21"/>
          <w:szCs w:val="21"/>
        </w:rPr>
        <w:t> </w:t>
      </w:r>
      <w:r w:rsidRPr="00693DB3">
        <w:rPr>
          <w:rFonts w:ascii="Palatino Linotype" w:hAnsi="Palatino Linotype"/>
          <w:color w:val="000000"/>
          <w:sz w:val="21"/>
          <w:szCs w:val="21"/>
        </w:rPr>
        <w:t>kararı sorunu daha da temele indirerek kişinin yapının şiddet içeren amaçlarını bilip bilmediğinin (manevi unsurun) mutlaka bireysel olarak ispat edilmesi gerektiğini şart koşmuştur. 15 Temmuz öncesi yasal veya görünür faaliyetlerin, sonradan geriye yürütülerek terör örgütü deliline dönüştürülmesi ve kişinin terör kastı ispatlanmadan cezalandırma yoluna gidilmesi evrensel hukuka aykırıdır.</w:t>
      </w:r>
    </w:p>
    <w:p w14:paraId="5273BF85" w14:textId="7FBB9957" w:rsidR="00AA57F8" w:rsidRPr="00AA57F8" w:rsidRDefault="00693DB3" w:rsidP="00AA57F8">
      <w:pPr>
        <w:pStyle w:val="ListeParagraf"/>
        <w:numPr>
          <w:ilvl w:val="0"/>
          <w:numId w:val="2"/>
        </w:numPr>
        <w:tabs>
          <w:tab w:val="left" w:pos="3870"/>
        </w:tabs>
        <w:spacing w:line="360" w:lineRule="auto"/>
        <w:ind w:left="630" w:right="-378"/>
        <w:jc w:val="both"/>
        <w:rPr>
          <w:rFonts w:ascii="Palatino Linotype" w:hAnsi="Palatino Linotype" w:cs="Times New Roman"/>
          <w:bCs/>
          <w:sz w:val="21"/>
          <w:szCs w:val="21"/>
        </w:rPr>
      </w:pPr>
      <w:r w:rsidRPr="00693DB3">
        <w:rPr>
          <w:rFonts w:ascii="Palatino Linotype" w:hAnsi="Palatino Linotype"/>
          <w:color w:val="000000"/>
          <w:sz w:val="21"/>
          <w:szCs w:val="21"/>
        </w:rPr>
        <w:t xml:space="preserve">Tüm bu hukuki ve fiili gerçekler muvacehesinde; </w:t>
      </w:r>
      <w:r w:rsidR="00016C4D">
        <w:rPr>
          <w:rFonts w:ascii="Palatino Linotype" w:hAnsi="Palatino Linotype"/>
          <w:color w:val="000000"/>
          <w:sz w:val="21"/>
          <w:szCs w:val="21"/>
        </w:rPr>
        <w:t>işbu başvuruya konu</w:t>
      </w:r>
      <w:r w:rsidRPr="00693DB3">
        <w:rPr>
          <w:rFonts w:ascii="Palatino Linotype" w:hAnsi="Palatino Linotype"/>
          <w:color w:val="000000"/>
          <w:sz w:val="21"/>
          <w:szCs w:val="21"/>
        </w:rPr>
        <w:t xml:space="preserve"> dosya</w:t>
      </w:r>
      <w:r w:rsidR="00016C4D">
        <w:rPr>
          <w:rFonts w:ascii="Palatino Linotype" w:hAnsi="Palatino Linotype"/>
          <w:color w:val="000000"/>
          <w:sz w:val="21"/>
          <w:szCs w:val="21"/>
        </w:rPr>
        <w:t>ya</w:t>
      </w:r>
      <w:r w:rsidRPr="00693DB3">
        <w:rPr>
          <w:rFonts w:ascii="Palatino Linotype" w:hAnsi="Palatino Linotype"/>
          <w:color w:val="000000"/>
          <w:sz w:val="21"/>
          <w:szCs w:val="21"/>
        </w:rPr>
        <w:t xml:space="preserve"> yansıyan, esasen devletin izni ve bilgisi dahilinde gerçekleşen rutin, sosyal, yasal ve sivil nitelikteki eylemlerden hareketle TCK </w:t>
      </w:r>
      <w:proofErr w:type="spellStart"/>
      <w:r w:rsidRPr="00693DB3">
        <w:rPr>
          <w:rFonts w:ascii="Palatino Linotype" w:hAnsi="Palatino Linotype"/>
          <w:color w:val="000000"/>
          <w:sz w:val="21"/>
          <w:szCs w:val="21"/>
        </w:rPr>
        <w:t>md.</w:t>
      </w:r>
      <w:proofErr w:type="spellEnd"/>
      <w:r w:rsidRPr="00693DB3">
        <w:rPr>
          <w:rFonts w:ascii="Palatino Linotype" w:hAnsi="Palatino Linotype"/>
          <w:color w:val="000000"/>
          <w:sz w:val="21"/>
          <w:szCs w:val="21"/>
        </w:rPr>
        <w:t xml:space="preserve"> 314/2 anlamında "silahlı terör örgütüne üye olma" kastı çıkarılamaz. Failin fiili işlediği sıradaki kastı, sonradan yaşanan olaylara ve yapının sonradan kazandığı terör örgütü statüsüne bakılarak geriye dönük olarak var sayılamaz. </w:t>
      </w:r>
      <w:r w:rsidRPr="00016C4D">
        <w:rPr>
          <w:rFonts w:ascii="Palatino Linotype" w:hAnsi="Palatino Linotype"/>
          <w:color w:val="000000"/>
          <w:sz w:val="21"/>
          <w:szCs w:val="21"/>
          <w:highlight w:val="yellow"/>
        </w:rPr>
        <w:t>Müvekkilin</w:t>
      </w:r>
      <w:r w:rsidR="00016C4D" w:rsidRPr="00016C4D">
        <w:rPr>
          <w:rFonts w:ascii="Palatino Linotype" w:hAnsi="Palatino Linotype"/>
          <w:color w:val="000000"/>
          <w:sz w:val="21"/>
          <w:szCs w:val="21"/>
          <w:highlight w:val="yellow"/>
        </w:rPr>
        <w:t>/eşimin/benim/vasisi olduğum…</w:t>
      </w:r>
      <w:r w:rsidRPr="00693DB3">
        <w:rPr>
          <w:rFonts w:ascii="Palatino Linotype" w:hAnsi="Palatino Linotype"/>
          <w:color w:val="000000"/>
          <w:sz w:val="21"/>
          <w:szCs w:val="21"/>
        </w:rPr>
        <w:t xml:space="preserve"> </w:t>
      </w:r>
      <w:r w:rsidR="00016C4D" w:rsidRPr="00016C4D">
        <w:rPr>
          <w:rFonts w:ascii="Palatino Linotype" w:hAnsi="Palatino Linotype"/>
          <w:color w:val="000000"/>
          <w:sz w:val="21"/>
          <w:szCs w:val="21"/>
        </w:rPr>
        <w:t xml:space="preserve">hiçbir şiddet eylemine karışmadığı, </w:t>
      </w:r>
      <w:r w:rsidR="00215C49">
        <w:rPr>
          <w:rFonts w:ascii="Palatino Linotype" w:hAnsi="Palatino Linotype"/>
          <w:color w:val="000000"/>
          <w:sz w:val="21"/>
          <w:szCs w:val="21"/>
        </w:rPr>
        <w:t>yapının</w:t>
      </w:r>
      <w:r w:rsidR="00016C4D" w:rsidRPr="00016C4D">
        <w:rPr>
          <w:rFonts w:ascii="Palatino Linotype" w:hAnsi="Palatino Linotype"/>
          <w:color w:val="000000"/>
          <w:sz w:val="21"/>
          <w:szCs w:val="21"/>
        </w:rPr>
        <w:t xml:space="preserve"> stratejik veya merkezi yapısıyla hiyerarşik bir bağının bulunmadığı ve suç işleme kastıyla hareket etmediği açıkça ortadadır. Bu nedenle, Sayın Mahkemenizce yeniden yargılama talebinin kabulü ile varsayımlara ve kolektif suçluluk anlayışına dayalı bir cezalandırma yoluna gidilmemesi, hukukun ve hakkaniyetin </w:t>
      </w:r>
      <w:proofErr w:type="gramStart"/>
      <w:r w:rsidR="00016C4D" w:rsidRPr="00016C4D">
        <w:rPr>
          <w:rFonts w:ascii="Palatino Linotype" w:hAnsi="Palatino Linotype"/>
          <w:color w:val="000000"/>
          <w:sz w:val="21"/>
          <w:szCs w:val="21"/>
        </w:rPr>
        <w:t>gereğidir.</w:t>
      </w:r>
      <w:r w:rsidRPr="00016C4D">
        <w:rPr>
          <w:rFonts w:ascii="Palatino Linotype" w:hAnsi="Palatino Linotype"/>
          <w:color w:val="000000"/>
          <w:sz w:val="21"/>
          <w:szCs w:val="21"/>
        </w:rPr>
        <w:t>.</w:t>
      </w:r>
      <w:proofErr w:type="gramEnd"/>
    </w:p>
    <w:p w14:paraId="5F41DA1C" w14:textId="77777777" w:rsidR="00AA57F8" w:rsidRPr="00AA57F8" w:rsidRDefault="00693DB3" w:rsidP="00AA57F8">
      <w:pPr>
        <w:pStyle w:val="ListeParagraf"/>
        <w:numPr>
          <w:ilvl w:val="0"/>
          <w:numId w:val="2"/>
        </w:numPr>
        <w:tabs>
          <w:tab w:val="left" w:pos="3870"/>
        </w:tabs>
        <w:spacing w:line="360" w:lineRule="auto"/>
        <w:ind w:left="630" w:right="-378"/>
        <w:jc w:val="both"/>
        <w:rPr>
          <w:rFonts w:ascii="Palatino Linotype" w:hAnsi="Palatino Linotype" w:cs="Times New Roman"/>
          <w:bCs/>
          <w:sz w:val="21"/>
          <w:szCs w:val="21"/>
        </w:rPr>
      </w:pPr>
      <w:r w:rsidRPr="00AA57F8">
        <w:rPr>
          <w:rFonts w:ascii="Palatino Linotype" w:hAnsi="Palatino Linotype"/>
          <w:bCs/>
        </w:rPr>
        <w:t xml:space="preserve">Mütalaada, yargılamanın yenilenmesi sürecini yürüten mahkemenin yalnızca şeklî bir inceleme ve gözden geçirme ile yetinerek veya ihlale konu kararın gerekçesini daha uzun ya da detaylı yazıp aynı hükmü kurmasının mümkün olmadığı; mahkemenin AİHM kararında gösterilen hukuki yorum hatalarını ve usulî güvence eksikliklerini somut biçimde giderdiğini kararında ortaya koyması gerektiği belirtilmiştir. Şeklî bir incelemeyle aynı mahkûmiyetin </w:t>
      </w:r>
      <w:r w:rsidRPr="00AA57F8">
        <w:rPr>
          <w:rFonts w:ascii="Palatino Linotype" w:hAnsi="Palatino Linotype"/>
          <w:bCs/>
        </w:rPr>
        <w:lastRenderedPageBreak/>
        <w:t>yeniden kurulması, ceza adalet sisteminin varlık gayesi olan “maddi gerçeğe ve adalete ulaşma” ilkesiyle bağdaşmamaktadır (Mütalaa, s. 23 ve s. 68).</w:t>
      </w:r>
    </w:p>
    <w:p w14:paraId="78C054F7" w14:textId="77777777" w:rsidR="00AA57F8" w:rsidRPr="00AA57F8" w:rsidRDefault="00693DB3" w:rsidP="00AA57F8">
      <w:pPr>
        <w:pStyle w:val="ListeParagraf"/>
        <w:numPr>
          <w:ilvl w:val="0"/>
          <w:numId w:val="2"/>
        </w:numPr>
        <w:tabs>
          <w:tab w:val="left" w:pos="3870"/>
        </w:tabs>
        <w:spacing w:line="360" w:lineRule="auto"/>
        <w:ind w:left="630" w:right="-378"/>
        <w:jc w:val="both"/>
        <w:rPr>
          <w:rFonts w:ascii="Palatino Linotype" w:hAnsi="Palatino Linotype" w:cs="Times New Roman"/>
          <w:bCs/>
          <w:sz w:val="21"/>
          <w:szCs w:val="21"/>
        </w:rPr>
      </w:pPr>
      <w:r w:rsidRPr="00AA57F8">
        <w:rPr>
          <w:rFonts w:ascii="Palatino Linotype" w:hAnsi="Palatino Linotype"/>
          <w:bCs/>
        </w:rPr>
        <w:t>Mütalaada ayrıca, maddi vakıanın belirli olduğu ve ispata ilişkin bir sorunun bulunmadığı durumlarda mahkemenin dosya üzerinden doğrudan hukuki değerlendirme aşamasına geçmesi gerektiği; sırf usulî tekrar amacıyla mükerrer sorgu yapılmasının ve bu amaçla zorla getirme kararı verilmesinin ölçülülük, zorunluluk ve makul sürede yargılanma ilkelerine aykırı olduğu; suçun unsurlarının oluşmadığının tespit edildiği hâllerde ise CMK m. 322/2 uyarınca, Cumhuriyet savcısının uygun görüşü alınarak duruşma yapılmaksızın derhâl beraat kararı verilebileceği ifade edilmiştir (Mütalaa, s. 28 ve s. 68).</w:t>
      </w:r>
    </w:p>
    <w:p w14:paraId="4C6223AE" w14:textId="76AA09ED" w:rsidR="004D331F" w:rsidRPr="00AA57F8" w:rsidRDefault="00693DB3" w:rsidP="00AA57F8">
      <w:pPr>
        <w:pStyle w:val="ListeParagraf"/>
        <w:numPr>
          <w:ilvl w:val="0"/>
          <w:numId w:val="2"/>
        </w:numPr>
        <w:tabs>
          <w:tab w:val="left" w:pos="3870"/>
        </w:tabs>
        <w:spacing w:line="360" w:lineRule="auto"/>
        <w:ind w:left="630" w:right="-378"/>
        <w:jc w:val="both"/>
        <w:rPr>
          <w:rFonts w:ascii="Palatino Linotype" w:hAnsi="Palatino Linotype" w:cs="Times New Roman"/>
          <w:bCs/>
          <w:sz w:val="21"/>
          <w:szCs w:val="21"/>
        </w:rPr>
      </w:pPr>
      <w:r w:rsidRPr="00AA57F8">
        <w:rPr>
          <w:rFonts w:ascii="Palatino Linotype" w:hAnsi="Palatino Linotype"/>
          <w:bCs/>
        </w:rPr>
        <w:t>Mütalaanın vardığı nihai sonuç açıktır</w:t>
      </w:r>
      <w:r w:rsidR="00AA57F8" w:rsidRPr="00AA57F8">
        <w:rPr>
          <w:rFonts w:ascii="Palatino Linotype" w:hAnsi="Palatino Linotype"/>
          <w:bCs/>
        </w:rPr>
        <w:t xml:space="preserve"> ve</w:t>
      </w:r>
      <w:r w:rsidRPr="00AA57F8">
        <w:rPr>
          <w:rFonts w:ascii="Palatino Linotype" w:hAnsi="Palatino Linotype"/>
          <w:bCs/>
        </w:rPr>
        <w:t xml:space="preserve"> ByLock ve sayılan diğer delillere dayalı isnatların bulunduğu tüm vakalarda, konunun basit bir biçimsel usul olarak görülmeyip esastan incelenmesi ve beraat kararı verilmesi gerekmektedir. Zira anılan delillerin manipülasyona açık niteliği ve seçici/tutarsız uygulaması, bu delillerden türetilecek çıkarımları da kuşkulu hâle getirmekte olup, şüpheden sanık yararlanır (in dubio pro reo) ilkesi gereğince bu dava kümelerindeki mahkûmiyetler açısından “beraat” kararı kaçınılmaz görünmektedir (Mütalaa, s. 62).</w:t>
      </w:r>
    </w:p>
    <w:p w14:paraId="59711F11" w14:textId="0F83EB29" w:rsidR="004D331F" w:rsidRPr="003E353F" w:rsidRDefault="008D184C" w:rsidP="003E353F">
      <w:pPr>
        <w:tabs>
          <w:tab w:val="left" w:pos="3870"/>
        </w:tabs>
        <w:spacing w:line="360" w:lineRule="auto"/>
        <w:ind w:left="270" w:right="-378"/>
        <w:jc w:val="both"/>
        <w:rPr>
          <w:rFonts w:ascii="Palatino Linotype" w:hAnsi="Palatino Linotype" w:cs="Times New Roman"/>
          <w:bCs/>
          <w:sz w:val="21"/>
          <w:szCs w:val="21"/>
        </w:rPr>
      </w:pPr>
      <w:r>
        <w:rPr>
          <w:rFonts w:ascii="Palatino Linotype" w:hAnsi="Palatino Linotype"/>
          <w:b/>
          <w:bCs/>
          <w:color w:val="000000"/>
          <w:sz w:val="21"/>
          <w:szCs w:val="21"/>
        </w:rPr>
        <w:t xml:space="preserve">IV. </w:t>
      </w:r>
      <w:r w:rsidR="00693DB3" w:rsidRPr="003E353F">
        <w:rPr>
          <w:rFonts w:ascii="Palatino Linotype" w:hAnsi="Palatino Linotype"/>
          <w:b/>
          <w:bCs/>
          <w:color w:val="000000"/>
          <w:sz w:val="21"/>
          <w:szCs w:val="21"/>
        </w:rPr>
        <w:t>S</w:t>
      </w:r>
      <w:r w:rsidR="00DD64B9">
        <w:rPr>
          <w:rFonts w:ascii="Palatino Linotype" w:hAnsi="Palatino Linotype"/>
          <w:b/>
          <w:bCs/>
          <w:color w:val="000000"/>
          <w:sz w:val="21"/>
          <w:szCs w:val="21"/>
        </w:rPr>
        <w:t>onuç</w:t>
      </w:r>
    </w:p>
    <w:p w14:paraId="37CBFB00" w14:textId="67E18850" w:rsidR="008D5592" w:rsidRPr="00693DB3" w:rsidRDefault="00DD4EB8" w:rsidP="008D3063">
      <w:pPr>
        <w:pStyle w:val="ListeParagraf"/>
        <w:numPr>
          <w:ilvl w:val="0"/>
          <w:numId w:val="2"/>
        </w:numPr>
        <w:tabs>
          <w:tab w:val="left" w:pos="3870"/>
        </w:tabs>
        <w:spacing w:line="360" w:lineRule="auto"/>
        <w:ind w:left="630" w:right="-378"/>
        <w:jc w:val="both"/>
        <w:rPr>
          <w:rFonts w:ascii="Palatino Linotype" w:hAnsi="Palatino Linotype" w:cs="Times New Roman"/>
          <w:sz w:val="21"/>
          <w:szCs w:val="21"/>
        </w:rPr>
      </w:pPr>
      <w:r w:rsidRPr="00693DB3">
        <w:rPr>
          <w:rFonts w:ascii="Palatino Linotype" w:hAnsi="Palatino Linotype" w:cs="Times New Roman"/>
          <w:sz w:val="21"/>
          <w:szCs w:val="21"/>
        </w:rPr>
        <w:t>A</w:t>
      </w:r>
      <w:r w:rsidR="008D5592" w:rsidRPr="00693DB3">
        <w:rPr>
          <w:rFonts w:ascii="Palatino Linotype" w:hAnsi="Palatino Linotype" w:cs="Times New Roman"/>
          <w:sz w:val="21"/>
          <w:szCs w:val="21"/>
        </w:rPr>
        <w:t xml:space="preserve">İHM ve </w:t>
      </w:r>
      <w:r w:rsidRPr="00693DB3">
        <w:rPr>
          <w:rFonts w:ascii="Palatino Linotype" w:hAnsi="Palatino Linotype" w:cs="Times New Roman"/>
          <w:sz w:val="21"/>
          <w:szCs w:val="21"/>
        </w:rPr>
        <w:t xml:space="preserve">AYM’ye </w:t>
      </w:r>
      <w:r w:rsidR="008D5592" w:rsidRPr="00693DB3">
        <w:rPr>
          <w:rFonts w:ascii="Palatino Linotype" w:hAnsi="Palatino Linotype" w:cs="Times New Roman"/>
          <w:sz w:val="21"/>
          <w:szCs w:val="21"/>
        </w:rPr>
        <w:t xml:space="preserve">yapılan </w:t>
      </w:r>
      <w:r w:rsidRPr="00693DB3">
        <w:rPr>
          <w:rFonts w:ascii="Palatino Linotype" w:hAnsi="Palatino Linotype" w:cs="Times New Roman"/>
          <w:sz w:val="21"/>
          <w:szCs w:val="21"/>
        </w:rPr>
        <w:t xml:space="preserve">bireysel başvuru sonucunda verilen kararlar ile bireysel başvurunun doğası gereği bu kararların gerekçeleri, yasama, yürütme, yargı ve Türkiye örneğinde gerçek kişiler açısından bağlayıcıdır ve bu bağlayıcılık, somut olay temelinde yapılan incelemenin genel hukuk düzeni açısından etki göstermesine neden olmaktadır. Kamu organları, bir şikâyetçiyle aynı durumda olan kişilerle olan ilişkisini, bu olaya ilişkin bireysel başvurunun sonuçlarını görmezlikten gelerek kuramaz. Yasama, yürütme veya yargı bünyesinde yer alan bir kamusal güç, bireysel başvuruya konu olan eylem veya eylemsizliğin tekrarı halinde, bu eylem ve eylemsizliğin </w:t>
      </w:r>
      <w:r w:rsidR="005D1E85" w:rsidRPr="00693DB3">
        <w:rPr>
          <w:rFonts w:ascii="Palatino Linotype" w:hAnsi="Palatino Linotype" w:cs="Times New Roman"/>
          <w:sz w:val="21"/>
          <w:szCs w:val="21"/>
        </w:rPr>
        <w:t>A</w:t>
      </w:r>
      <w:r w:rsidRPr="00693DB3">
        <w:rPr>
          <w:rFonts w:ascii="Palatino Linotype" w:hAnsi="Palatino Linotype" w:cs="Times New Roman"/>
          <w:sz w:val="21"/>
          <w:szCs w:val="21"/>
        </w:rPr>
        <w:t>nayasa</w:t>
      </w:r>
      <w:r w:rsidR="005D1E85" w:rsidRPr="00693DB3">
        <w:rPr>
          <w:rFonts w:ascii="Palatino Linotype" w:hAnsi="Palatino Linotype" w:cs="Times New Roman"/>
          <w:sz w:val="21"/>
          <w:szCs w:val="21"/>
        </w:rPr>
        <w:t>’</w:t>
      </w:r>
      <w:r w:rsidRPr="00693DB3">
        <w:rPr>
          <w:rFonts w:ascii="Palatino Linotype" w:hAnsi="Palatino Linotype" w:cs="Times New Roman"/>
          <w:sz w:val="21"/>
          <w:szCs w:val="21"/>
        </w:rPr>
        <w:t xml:space="preserve">ya aykırı sonuçları olacağını görebilir. Bu nedenle, ihlalden kaçınmak ve AYM/AİHM kararına uygun biçimde </w:t>
      </w:r>
      <w:r w:rsidR="005D1E85" w:rsidRPr="00693DB3">
        <w:rPr>
          <w:rFonts w:ascii="Palatino Linotype" w:hAnsi="Palatino Linotype" w:cs="Times New Roman"/>
          <w:sz w:val="21"/>
          <w:szCs w:val="21"/>
        </w:rPr>
        <w:t>A</w:t>
      </w:r>
      <w:r w:rsidRPr="00693DB3">
        <w:rPr>
          <w:rFonts w:ascii="Palatino Linotype" w:hAnsi="Palatino Linotype" w:cs="Times New Roman"/>
          <w:sz w:val="21"/>
          <w:szCs w:val="21"/>
        </w:rPr>
        <w:t>nayasa</w:t>
      </w:r>
      <w:r w:rsidR="005D1E85" w:rsidRPr="00693DB3">
        <w:rPr>
          <w:rFonts w:ascii="Palatino Linotype" w:hAnsi="Palatino Linotype" w:cs="Times New Roman"/>
          <w:sz w:val="21"/>
          <w:szCs w:val="21"/>
        </w:rPr>
        <w:t>’</w:t>
      </w:r>
      <w:r w:rsidRPr="00693DB3">
        <w:rPr>
          <w:rFonts w:ascii="Palatino Linotype" w:hAnsi="Palatino Linotype" w:cs="Times New Roman"/>
          <w:sz w:val="21"/>
          <w:szCs w:val="21"/>
        </w:rPr>
        <w:t>ya/</w:t>
      </w:r>
      <w:r w:rsidR="005D1E85" w:rsidRPr="00693DB3">
        <w:rPr>
          <w:rFonts w:ascii="Palatino Linotype" w:hAnsi="Palatino Linotype" w:cs="Times New Roman"/>
          <w:sz w:val="21"/>
          <w:szCs w:val="21"/>
        </w:rPr>
        <w:t>S</w:t>
      </w:r>
      <w:r w:rsidRPr="00693DB3">
        <w:rPr>
          <w:rFonts w:ascii="Palatino Linotype" w:hAnsi="Palatino Linotype" w:cs="Times New Roman"/>
          <w:sz w:val="21"/>
          <w:szCs w:val="21"/>
        </w:rPr>
        <w:t>özleşme</w:t>
      </w:r>
      <w:r w:rsidR="005D1E85" w:rsidRPr="00693DB3">
        <w:rPr>
          <w:rFonts w:ascii="Palatino Linotype" w:hAnsi="Palatino Linotype" w:cs="Times New Roman"/>
          <w:sz w:val="21"/>
          <w:szCs w:val="21"/>
        </w:rPr>
        <w:t>’</w:t>
      </w:r>
      <w:r w:rsidRPr="00693DB3">
        <w:rPr>
          <w:rFonts w:ascii="Palatino Linotype" w:hAnsi="Palatino Linotype" w:cs="Times New Roman"/>
          <w:sz w:val="21"/>
          <w:szCs w:val="21"/>
        </w:rPr>
        <w:t xml:space="preserve">ye </w:t>
      </w:r>
      <w:r w:rsidRPr="00693DB3">
        <w:rPr>
          <w:rFonts w:ascii="Palatino Linotype" w:hAnsi="Palatino Linotype" w:cs="Times New Roman"/>
          <w:i/>
          <w:iCs/>
          <w:sz w:val="21"/>
          <w:szCs w:val="21"/>
        </w:rPr>
        <w:t>“dikkat etmek”</w:t>
      </w:r>
      <w:r w:rsidRPr="00693DB3">
        <w:rPr>
          <w:rFonts w:ascii="Palatino Linotype" w:hAnsi="Palatino Linotype" w:cs="Times New Roman"/>
          <w:sz w:val="21"/>
          <w:szCs w:val="21"/>
        </w:rPr>
        <w:t xml:space="preserve"> durumunda kalır.</w:t>
      </w:r>
    </w:p>
    <w:p w14:paraId="547AAA1B" w14:textId="0FEE1D50" w:rsidR="00CC34E0" w:rsidRPr="00693DB3" w:rsidRDefault="008D5592" w:rsidP="007E4BD4">
      <w:pPr>
        <w:pStyle w:val="ListeParagraf"/>
        <w:numPr>
          <w:ilvl w:val="0"/>
          <w:numId w:val="2"/>
        </w:numPr>
        <w:tabs>
          <w:tab w:val="left" w:pos="3870"/>
        </w:tabs>
        <w:spacing w:line="360" w:lineRule="auto"/>
        <w:ind w:left="630" w:right="-378"/>
        <w:jc w:val="both"/>
        <w:rPr>
          <w:rFonts w:ascii="Palatino Linotype" w:hAnsi="Palatino Linotype" w:cs="Times New Roman"/>
          <w:sz w:val="21"/>
          <w:szCs w:val="21"/>
        </w:rPr>
      </w:pPr>
      <w:r w:rsidRPr="00693DB3">
        <w:rPr>
          <w:rFonts w:ascii="Palatino Linotype" w:hAnsi="Palatino Linotype" w:cs="Times New Roman"/>
          <w:sz w:val="21"/>
          <w:szCs w:val="21"/>
        </w:rPr>
        <w:t>AYM hem de AİHM</w:t>
      </w:r>
      <w:r w:rsidR="00DD4EB8" w:rsidRPr="00693DB3">
        <w:rPr>
          <w:rFonts w:ascii="Palatino Linotype" w:hAnsi="Palatino Linotype" w:cs="Times New Roman"/>
          <w:sz w:val="21"/>
          <w:szCs w:val="21"/>
        </w:rPr>
        <w:t xml:space="preserve"> </w:t>
      </w:r>
      <w:r w:rsidR="00DD4EB8" w:rsidRPr="00693DB3">
        <w:rPr>
          <w:rFonts w:ascii="Palatino Linotype" w:hAnsi="Palatino Linotype" w:cs="Times New Roman"/>
          <w:b/>
          <w:bCs/>
          <w:sz w:val="21"/>
          <w:szCs w:val="21"/>
        </w:rPr>
        <w:t>mahkeme kararının objektif etkisi</w:t>
      </w:r>
      <w:r w:rsidRPr="00693DB3">
        <w:rPr>
          <w:rFonts w:ascii="Palatino Linotype" w:hAnsi="Palatino Linotype" w:cs="Times New Roman"/>
          <w:b/>
          <w:bCs/>
          <w:sz w:val="21"/>
          <w:szCs w:val="21"/>
        </w:rPr>
        <w:t>nin</w:t>
      </w:r>
      <w:r w:rsidR="00DD4EB8" w:rsidRPr="00693DB3">
        <w:rPr>
          <w:rFonts w:ascii="Palatino Linotype" w:hAnsi="Palatino Linotype" w:cs="Times New Roman"/>
          <w:sz w:val="21"/>
          <w:szCs w:val="21"/>
        </w:rPr>
        <w:t xml:space="preserve"> </w:t>
      </w:r>
      <w:r w:rsidRPr="00693DB3">
        <w:rPr>
          <w:rFonts w:ascii="Palatino Linotype" w:hAnsi="Palatino Linotype" w:cs="Times New Roman"/>
          <w:sz w:val="21"/>
          <w:szCs w:val="21"/>
        </w:rPr>
        <w:t xml:space="preserve">olduğunu, benzer davalara ve işlemlere uygulanması gerektiğini </w:t>
      </w:r>
      <w:r w:rsidR="00DD4EB8" w:rsidRPr="00693DB3">
        <w:rPr>
          <w:rFonts w:ascii="Palatino Linotype" w:hAnsi="Palatino Linotype" w:cs="Times New Roman"/>
          <w:sz w:val="21"/>
          <w:szCs w:val="21"/>
        </w:rPr>
        <w:t xml:space="preserve">açıkça </w:t>
      </w:r>
      <w:r w:rsidRPr="00693DB3">
        <w:rPr>
          <w:rFonts w:ascii="Palatino Linotype" w:hAnsi="Palatino Linotype" w:cs="Times New Roman"/>
          <w:sz w:val="21"/>
          <w:szCs w:val="21"/>
        </w:rPr>
        <w:t xml:space="preserve">ortaya koymuşlardır. </w:t>
      </w:r>
      <w:r w:rsidR="00DD4EB8" w:rsidRPr="00693DB3">
        <w:rPr>
          <w:rFonts w:ascii="Palatino Linotype" w:hAnsi="Palatino Linotype" w:cs="Times New Roman"/>
          <w:sz w:val="21"/>
          <w:szCs w:val="21"/>
        </w:rPr>
        <w:t xml:space="preserve">Mahkemenin objektif işlevi, Anayasa’nın </w:t>
      </w:r>
      <w:r w:rsidR="00A5622E" w:rsidRPr="00693DB3">
        <w:rPr>
          <w:rFonts w:ascii="Palatino Linotype" w:hAnsi="Palatino Linotype" w:cs="Times New Roman"/>
          <w:sz w:val="21"/>
          <w:szCs w:val="21"/>
        </w:rPr>
        <w:t xml:space="preserve">ve Sözleşme’nin </w:t>
      </w:r>
      <w:r w:rsidR="00DD4EB8" w:rsidRPr="00693DB3">
        <w:rPr>
          <w:rFonts w:ascii="Palatino Linotype" w:hAnsi="Palatino Linotype" w:cs="Times New Roman"/>
          <w:sz w:val="21"/>
          <w:szCs w:val="21"/>
        </w:rPr>
        <w:t>temel hak ve özgürlükleri düzenleyen hükümlerini yorumlamak ve bunların uygulanmasını gözetmektir.</w:t>
      </w:r>
      <w:r w:rsidR="00A5622E" w:rsidRPr="00693DB3">
        <w:rPr>
          <w:rFonts w:ascii="Palatino Linotype" w:hAnsi="Palatino Linotype" w:cs="Times New Roman"/>
          <w:sz w:val="21"/>
          <w:szCs w:val="21"/>
        </w:rPr>
        <w:t xml:space="preserve"> Dolayısıyla</w:t>
      </w:r>
      <w:r w:rsidR="005D1E85" w:rsidRPr="00693DB3">
        <w:rPr>
          <w:rFonts w:ascii="Palatino Linotype" w:hAnsi="Palatino Linotype" w:cs="Times New Roman"/>
          <w:sz w:val="21"/>
          <w:szCs w:val="21"/>
        </w:rPr>
        <w:t>,</w:t>
      </w:r>
      <w:r w:rsidR="00A5622E" w:rsidRPr="00693DB3">
        <w:rPr>
          <w:rFonts w:ascii="Palatino Linotype" w:hAnsi="Palatino Linotype" w:cs="Times New Roman"/>
          <w:sz w:val="21"/>
          <w:szCs w:val="21"/>
        </w:rPr>
        <w:t xml:space="preserve"> </w:t>
      </w:r>
      <w:r w:rsidR="00AE78E5" w:rsidRPr="00693DB3">
        <w:rPr>
          <w:rFonts w:ascii="Palatino Linotype" w:hAnsi="Palatino Linotype" w:cs="Times New Roman"/>
          <w:bCs/>
          <w:sz w:val="21"/>
          <w:szCs w:val="21"/>
        </w:rPr>
        <w:t xml:space="preserve">AYM/AİHM’in bir bireysel başvuruda verdiği ihlâl kararı benzer diğer olaylar açısından da bağlayıcıdır ve kamu otoriteleri ve mahkemelerce </w:t>
      </w:r>
      <w:r w:rsidR="00AE78E5" w:rsidRPr="00693DB3">
        <w:rPr>
          <w:rFonts w:ascii="Palatino Linotype" w:hAnsi="Palatino Linotype" w:cs="Times New Roman"/>
          <w:bCs/>
          <w:sz w:val="21"/>
          <w:szCs w:val="21"/>
        </w:rPr>
        <w:lastRenderedPageBreak/>
        <w:t>dikkate alın</w:t>
      </w:r>
      <w:r w:rsidR="00A5622E" w:rsidRPr="00693DB3">
        <w:rPr>
          <w:rFonts w:ascii="Palatino Linotype" w:hAnsi="Palatino Linotype" w:cs="Times New Roman"/>
          <w:bCs/>
          <w:sz w:val="21"/>
          <w:szCs w:val="21"/>
        </w:rPr>
        <w:t>malıdır</w:t>
      </w:r>
      <w:r w:rsidR="00AE78E5" w:rsidRPr="00693DB3">
        <w:rPr>
          <w:rFonts w:ascii="Palatino Linotype" w:hAnsi="Palatino Linotype" w:cs="Times New Roman"/>
          <w:bCs/>
          <w:sz w:val="21"/>
          <w:szCs w:val="21"/>
        </w:rPr>
        <w:t>. Bu nedenle bireysel başvurudan beklenen faydanın sağlanabilmesi için bireysel başvurunun objektif işlevi ön plana çıkarılmalı ve bireysel başvuru kararlarının genel (</w:t>
      </w:r>
      <w:proofErr w:type="spellStart"/>
      <w:r w:rsidR="00AE78E5" w:rsidRPr="00693DB3">
        <w:rPr>
          <w:rFonts w:ascii="Palatino Linotype" w:hAnsi="Palatino Linotype" w:cs="Times New Roman"/>
          <w:bCs/>
          <w:i/>
          <w:iCs/>
          <w:sz w:val="21"/>
          <w:szCs w:val="21"/>
        </w:rPr>
        <w:t>erga</w:t>
      </w:r>
      <w:proofErr w:type="spellEnd"/>
      <w:r w:rsidR="00AE78E5" w:rsidRPr="00693DB3">
        <w:rPr>
          <w:rFonts w:ascii="Palatino Linotype" w:hAnsi="Palatino Linotype" w:cs="Times New Roman"/>
          <w:bCs/>
          <w:i/>
          <w:iCs/>
          <w:sz w:val="21"/>
          <w:szCs w:val="21"/>
        </w:rPr>
        <w:t xml:space="preserve"> </w:t>
      </w:r>
      <w:proofErr w:type="spellStart"/>
      <w:r w:rsidR="00AE78E5" w:rsidRPr="00693DB3">
        <w:rPr>
          <w:rFonts w:ascii="Palatino Linotype" w:hAnsi="Palatino Linotype" w:cs="Times New Roman"/>
          <w:bCs/>
          <w:i/>
          <w:iCs/>
          <w:sz w:val="21"/>
          <w:szCs w:val="21"/>
        </w:rPr>
        <w:t>omnes</w:t>
      </w:r>
      <w:proofErr w:type="spellEnd"/>
      <w:r w:rsidR="00AE78E5" w:rsidRPr="00693DB3">
        <w:rPr>
          <w:rFonts w:ascii="Palatino Linotype" w:hAnsi="Palatino Linotype" w:cs="Times New Roman"/>
          <w:bCs/>
          <w:sz w:val="21"/>
          <w:szCs w:val="21"/>
        </w:rPr>
        <w:t>) bağlayıcılığı hayata geçiril</w:t>
      </w:r>
      <w:r w:rsidR="00A5622E" w:rsidRPr="00693DB3">
        <w:rPr>
          <w:rFonts w:ascii="Palatino Linotype" w:hAnsi="Palatino Linotype" w:cs="Times New Roman"/>
          <w:bCs/>
          <w:sz w:val="21"/>
          <w:szCs w:val="21"/>
        </w:rPr>
        <w:t xml:space="preserve">melidir. </w:t>
      </w:r>
      <w:r w:rsidR="00AE78E5" w:rsidRPr="00693DB3">
        <w:rPr>
          <w:rFonts w:ascii="Palatino Linotype" w:hAnsi="Palatino Linotype" w:cs="Times New Roman"/>
          <w:bCs/>
          <w:sz w:val="21"/>
          <w:szCs w:val="21"/>
        </w:rPr>
        <w:t xml:space="preserve">Yani AYM/AİHM bir konuda ihlâl kararı verdikten sonra kamu idareleri uygulamalarını, diğer mahkemeler de kararlarını AYM/AİHM kararı ile uyumlu hale getirmelidir. Esasen bu, </w:t>
      </w:r>
      <w:r w:rsidR="00A5622E" w:rsidRPr="00693DB3">
        <w:rPr>
          <w:rFonts w:ascii="Palatino Linotype" w:hAnsi="Palatino Linotype" w:cs="Times New Roman"/>
          <w:bCs/>
          <w:sz w:val="21"/>
          <w:szCs w:val="21"/>
        </w:rPr>
        <w:t>AİHM/</w:t>
      </w:r>
      <w:r w:rsidR="00AE78E5" w:rsidRPr="00693DB3">
        <w:rPr>
          <w:rFonts w:ascii="Palatino Linotype" w:hAnsi="Palatino Linotype" w:cs="Times New Roman"/>
          <w:bCs/>
          <w:sz w:val="21"/>
          <w:szCs w:val="21"/>
        </w:rPr>
        <w:t xml:space="preserve">AYM’nin de belirttiği gibi, bireysel başvuru yolunun ve AYM/AİHM’in yetkisinin </w:t>
      </w:r>
      <w:r w:rsidR="00AE78E5" w:rsidRPr="00693DB3">
        <w:rPr>
          <w:rFonts w:ascii="Palatino Linotype" w:hAnsi="Palatino Linotype" w:cs="Times New Roman"/>
          <w:bCs/>
          <w:i/>
          <w:iCs/>
          <w:sz w:val="21"/>
          <w:szCs w:val="21"/>
        </w:rPr>
        <w:t>“ikincilliği”</w:t>
      </w:r>
      <w:r w:rsidR="00AE78E5" w:rsidRPr="00693DB3">
        <w:rPr>
          <w:rFonts w:ascii="Palatino Linotype" w:hAnsi="Palatino Linotype" w:cs="Times New Roman"/>
          <w:bCs/>
          <w:sz w:val="21"/>
          <w:szCs w:val="21"/>
        </w:rPr>
        <w:t xml:space="preserve"> ilkesinin de gereğidir. Bu nedenle</w:t>
      </w:r>
      <w:r w:rsidR="008B6FFF" w:rsidRPr="00693DB3">
        <w:rPr>
          <w:rFonts w:ascii="Palatino Linotype" w:hAnsi="Palatino Linotype" w:cs="Times New Roman"/>
          <w:bCs/>
          <w:sz w:val="21"/>
          <w:szCs w:val="21"/>
        </w:rPr>
        <w:t>,</w:t>
      </w:r>
      <w:r w:rsidR="00AE78E5" w:rsidRPr="00693DB3">
        <w:rPr>
          <w:rFonts w:ascii="Palatino Linotype" w:hAnsi="Palatino Linotype" w:cs="Times New Roman"/>
          <w:bCs/>
          <w:sz w:val="21"/>
          <w:szCs w:val="21"/>
        </w:rPr>
        <w:t xml:space="preserve"> zaten Anayasa Mahkemesine</w:t>
      </w:r>
      <w:r w:rsidR="00A5622E" w:rsidRPr="00693DB3">
        <w:rPr>
          <w:rFonts w:ascii="Palatino Linotype" w:hAnsi="Palatino Linotype" w:cs="Times New Roman"/>
          <w:bCs/>
          <w:sz w:val="21"/>
          <w:szCs w:val="21"/>
        </w:rPr>
        <w:t xml:space="preserve"> ve dolayısıyla AİHM’e</w:t>
      </w:r>
      <w:r w:rsidR="00AE78E5" w:rsidRPr="00693DB3">
        <w:rPr>
          <w:rFonts w:ascii="Palatino Linotype" w:hAnsi="Palatino Linotype" w:cs="Times New Roman"/>
          <w:bCs/>
          <w:sz w:val="21"/>
          <w:szCs w:val="21"/>
        </w:rPr>
        <w:t xml:space="preserve"> başvurmadan önce diğer hukuk yollarının tüketilmesi koşulu getirilmiştir. Temel hak ve özgürlüklerin öncelikle kamu makamları ve derece mahkemeleri tarafından korunması gerekir.</w:t>
      </w:r>
    </w:p>
    <w:p w14:paraId="30756F25" w14:textId="77777777" w:rsidR="00CC34E0" w:rsidRPr="00693DB3" w:rsidRDefault="00DD4EB8" w:rsidP="000927EB">
      <w:pPr>
        <w:pStyle w:val="ListeParagraf"/>
        <w:numPr>
          <w:ilvl w:val="0"/>
          <w:numId w:val="2"/>
        </w:numPr>
        <w:tabs>
          <w:tab w:val="left" w:pos="3870"/>
        </w:tabs>
        <w:spacing w:line="360" w:lineRule="auto"/>
        <w:ind w:left="630" w:right="-378"/>
        <w:jc w:val="both"/>
        <w:rPr>
          <w:rFonts w:ascii="Palatino Linotype" w:hAnsi="Palatino Linotype" w:cs="Times New Roman"/>
          <w:sz w:val="21"/>
          <w:szCs w:val="21"/>
        </w:rPr>
      </w:pPr>
      <w:r w:rsidRPr="00693DB3">
        <w:rPr>
          <w:rFonts w:ascii="Palatino Linotype" w:hAnsi="Palatino Linotype" w:cs="Times New Roman"/>
          <w:sz w:val="21"/>
          <w:szCs w:val="21"/>
        </w:rPr>
        <w:t>Anayasa’nın 138. maddesi genel olarak yargı kararlarının, 153. maddesi ise özel olarak Anayasa Mahkemesi kararlarının bağlayıcılığını açık ve kesin bir dille düzenlemektedir. Buna göre, “</w:t>
      </w:r>
      <w:r w:rsidRPr="00693DB3">
        <w:rPr>
          <w:rFonts w:ascii="Palatino Linotype" w:hAnsi="Palatino Linotype" w:cs="Times New Roman"/>
          <w:i/>
          <w:iCs/>
          <w:sz w:val="21"/>
          <w:szCs w:val="21"/>
        </w:rPr>
        <w:t>yasama ve yürütme organları ile idare, mahkeme kararlarına uymak zorundadır</w:t>
      </w:r>
      <w:r w:rsidRPr="00693DB3">
        <w:rPr>
          <w:rFonts w:ascii="Palatino Linotype" w:hAnsi="Palatino Linotype" w:cs="Times New Roman"/>
          <w:sz w:val="21"/>
          <w:szCs w:val="21"/>
        </w:rPr>
        <w:t>” (m. 138) ve Anayasa Mahkemesinin kararları “</w:t>
      </w:r>
      <w:r w:rsidRPr="00693DB3">
        <w:rPr>
          <w:rFonts w:ascii="Palatino Linotype" w:hAnsi="Palatino Linotype" w:cs="Times New Roman"/>
          <w:i/>
          <w:iCs/>
          <w:sz w:val="21"/>
          <w:szCs w:val="21"/>
        </w:rPr>
        <w:t>yasama, yürütme ve yargı organlarını, idare makamlarını, gerçek ve tüzelkişileri bağlar</w:t>
      </w:r>
      <w:r w:rsidRPr="00693DB3">
        <w:rPr>
          <w:rFonts w:ascii="Palatino Linotype" w:hAnsi="Palatino Linotype" w:cs="Times New Roman"/>
          <w:sz w:val="21"/>
          <w:szCs w:val="21"/>
        </w:rPr>
        <w:t>” (m.153).</w:t>
      </w:r>
      <w:r w:rsidRPr="00693DB3">
        <w:rPr>
          <w:rFonts w:ascii="Palatino Linotype" w:hAnsi="Palatino Linotype" w:cs="Times New Roman"/>
          <w:color w:val="323232"/>
          <w:sz w:val="21"/>
          <w:szCs w:val="21"/>
          <w:shd w:val="clear" w:color="auto" w:fill="FFFFFF"/>
        </w:rPr>
        <w:t xml:space="preserve"> </w:t>
      </w:r>
      <w:r w:rsidRPr="00693DB3">
        <w:rPr>
          <w:rFonts w:ascii="Palatino Linotype" w:hAnsi="Palatino Linotype" w:cs="Times New Roman"/>
          <w:sz w:val="21"/>
          <w:szCs w:val="21"/>
        </w:rPr>
        <w:t>Anayasa Mahkemesi kararlarında vurgulandığı üzere, Anayasa'nın 153. maddesinin son fıkrasında Anayasa Mahkemesi kararlarına uyma ve bu kararları değiştirmeksizin yerine getirme hususunda yargı dâhil hiçbir kuruma herhangi bir takdir yetkisi tanınmamış veya bu konuda bir istisnaya yer verilmemiştir</w:t>
      </w:r>
      <w:r w:rsidR="00CC34E0" w:rsidRPr="00693DB3">
        <w:rPr>
          <w:rFonts w:ascii="Palatino Linotype" w:hAnsi="Palatino Linotype" w:cs="Times New Roman"/>
          <w:sz w:val="21"/>
          <w:szCs w:val="21"/>
        </w:rPr>
        <w:t xml:space="preserve"> </w:t>
      </w:r>
      <w:r w:rsidRPr="00693DB3">
        <w:rPr>
          <w:rFonts w:ascii="Palatino Linotype" w:hAnsi="Palatino Linotype" w:cs="Times New Roman"/>
          <w:sz w:val="21"/>
          <w:szCs w:val="21"/>
        </w:rPr>
        <w:t>(Aym:</w:t>
      </w:r>
      <w:r w:rsidRPr="00693DB3">
        <w:rPr>
          <w:rFonts w:ascii="Palatino Linotype" w:hAnsi="Palatino Linotype" w:cs="Times New Roman"/>
          <w:i/>
          <w:iCs/>
          <w:color w:val="323232"/>
          <w:sz w:val="21"/>
          <w:szCs w:val="21"/>
          <w:shd w:val="clear" w:color="auto" w:fill="FFFFFF"/>
        </w:rPr>
        <w:t xml:space="preserve"> </w:t>
      </w:r>
      <w:r w:rsidRPr="00693DB3">
        <w:rPr>
          <w:rFonts w:ascii="Palatino Linotype" w:hAnsi="Palatino Linotype" w:cs="Times New Roman"/>
          <w:i/>
          <w:iCs/>
          <w:sz w:val="21"/>
          <w:szCs w:val="21"/>
        </w:rPr>
        <w:t>Şahin Alpay (2)</w:t>
      </w:r>
      <w:r w:rsidRPr="00693DB3">
        <w:rPr>
          <w:rFonts w:ascii="Palatino Linotype" w:hAnsi="Palatino Linotype" w:cs="Times New Roman"/>
          <w:sz w:val="21"/>
          <w:szCs w:val="21"/>
        </w:rPr>
        <w:t> [GK], B. No: 2018/3007, 15/3/2018, § 63; </w:t>
      </w:r>
      <w:r w:rsidRPr="00693DB3">
        <w:rPr>
          <w:rFonts w:ascii="Palatino Linotype" w:hAnsi="Palatino Linotype" w:cs="Times New Roman"/>
          <w:i/>
          <w:iCs/>
          <w:sz w:val="21"/>
          <w:szCs w:val="21"/>
        </w:rPr>
        <w:t>Kadri Enis Berberoğlu (3)</w:t>
      </w:r>
      <w:r w:rsidRPr="00693DB3">
        <w:rPr>
          <w:rFonts w:ascii="Palatino Linotype" w:hAnsi="Palatino Linotype" w:cs="Times New Roman"/>
          <w:sz w:val="21"/>
          <w:szCs w:val="21"/>
        </w:rPr>
        <w:t>, § 102).</w:t>
      </w:r>
    </w:p>
    <w:p w14:paraId="38871179" w14:textId="064A79E4" w:rsidR="00CC34E0" w:rsidRPr="00693DB3" w:rsidRDefault="00DD4EB8" w:rsidP="00826D44">
      <w:pPr>
        <w:pStyle w:val="ListeParagraf"/>
        <w:numPr>
          <w:ilvl w:val="0"/>
          <w:numId w:val="2"/>
        </w:numPr>
        <w:tabs>
          <w:tab w:val="left" w:pos="3870"/>
        </w:tabs>
        <w:spacing w:line="360" w:lineRule="auto"/>
        <w:ind w:left="630" w:right="-378"/>
        <w:jc w:val="both"/>
        <w:rPr>
          <w:rFonts w:ascii="Palatino Linotype" w:hAnsi="Palatino Linotype" w:cs="Times New Roman"/>
          <w:sz w:val="21"/>
          <w:szCs w:val="21"/>
        </w:rPr>
      </w:pPr>
      <w:r w:rsidRPr="00693DB3">
        <w:rPr>
          <w:rFonts w:ascii="Palatino Linotype" w:hAnsi="Palatino Linotype" w:cs="Times New Roman"/>
          <w:sz w:val="21"/>
          <w:szCs w:val="21"/>
        </w:rPr>
        <w:t>A</w:t>
      </w:r>
      <w:r w:rsidR="008D184C">
        <w:rPr>
          <w:rFonts w:ascii="Palatino Linotype" w:hAnsi="Palatino Linotype" w:cs="Times New Roman"/>
          <w:sz w:val="21"/>
          <w:szCs w:val="21"/>
        </w:rPr>
        <w:t xml:space="preserve">İHM </w:t>
      </w:r>
      <w:r w:rsidRPr="00693DB3">
        <w:rPr>
          <w:rFonts w:ascii="Palatino Linotype" w:hAnsi="Palatino Linotype" w:cs="Times New Roman"/>
          <w:sz w:val="21"/>
          <w:szCs w:val="21"/>
        </w:rPr>
        <w:t>kararları, A</w:t>
      </w:r>
      <w:r w:rsidR="008D184C">
        <w:rPr>
          <w:rFonts w:ascii="Palatino Linotype" w:hAnsi="Palatino Linotype" w:cs="Times New Roman"/>
          <w:sz w:val="21"/>
          <w:szCs w:val="21"/>
        </w:rPr>
        <w:t>İHM’e</w:t>
      </w:r>
      <w:r w:rsidRPr="00693DB3">
        <w:rPr>
          <w:rFonts w:ascii="Palatino Linotype" w:hAnsi="Palatino Linotype" w:cs="Times New Roman"/>
          <w:sz w:val="21"/>
          <w:szCs w:val="21"/>
        </w:rPr>
        <w:t xml:space="preserve"> taraf Devletler açısından bağlayıcıdır. Sözleşmesi’nin 46. </w:t>
      </w:r>
      <w:r w:rsidR="005D1E85" w:rsidRPr="00693DB3">
        <w:rPr>
          <w:rFonts w:ascii="Palatino Linotype" w:hAnsi="Palatino Linotype" w:cs="Times New Roman"/>
          <w:sz w:val="21"/>
          <w:szCs w:val="21"/>
        </w:rPr>
        <w:t>m</w:t>
      </w:r>
      <w:r w:rsidRPr="00693DB3">
        <w:rPr>
          <w:rFonts w:ascii="Palatino Linotype" w:hAnsi="Palatino Linotype" w:cs="Times New Roman"/>
          <w:sz w:val="21"/>
          <w:szCs w:val="21"/>
        </w:rPr>
        <w:t>addesinin 1. fıkrasına göre, Sözleşmeci Taraflar, taraf oldukları davalarda Mahkemenin kesinleşmiş kararlarına uymayı taahhüt ederler</w:t>
      </w:r>
      <w:r w:rsidR="00CC34E0" w:rsidRPr="00693DB3">
        <w:rPr>
          <w:rFonts w:ascii="Palatino Linotype" w:hAnsi="Palatino Linotype" w:cs="Times New Roman"/>
          <w:sz w:val="21"/>
          <w:szCs w:val="21"/>
        </w:rPr>
        <w:t>.</w:t>
      </w:r>
    </w:p>
    <w:p w14:paraId="73F62854" w14:textId="77777777" w:rsidR="00060B5D" w:rsidRPr="00693DB3" w:rsidRDefault="00DD4EB8" w:rsidP="004978F0">
      <w:pPr>
        <w:pStyle w:val="ListeParagraf"/>
        <w:numPr>
          <w:ilvl w:val="0"/>
          <w:numId w:val="2"/>
        </w:numPr>
        <w:tabs>
          <w:tab w:val="left" w:pos="3870"/>
        </w:tabs>
        <w:spacing w:line="360" w:lineRule="auto"/>
        <w:ind w:left="630" w:right="-378"/>
        <w:jc w:val="both"/>
        <w:rPr>
          <w:rFonts w:ascii="Palatino Linotype" w:hAnsi="Palatino Linotype" w:cs="Times New Roman"/>
          <w:sz w:val="21"/>
          <w:szCs w:val="21"/>
        </w:rPr>
      </w:pPr>
      <w:r w:rsidRPr="00693DB3">
        <w:rPr>
          <w:rFonts w:ascii="Palatino Linotype" w:hAnsi="Palatino Linotype" w:cs="Times New Roman"/>
          <w:sz w:val="21"/>
          <w:szCs w:val="21"/>
        </w:rPr>
        <w:t>İlgili Devlet ihlali sona erdirmek ve mümkün olduğunca ihlal öncesi durumu yeniden sağlayacak şekilde ihlalin sonuçlarını giderme yükümlülüğü altındadır</w:t>
      </w:r>
      <w:r w:rsidR="00CC34E0" w:rsidRPr="00693DB3">
        <w:rPr>
          <w:rFonts w:ascii="Palatino Linotype" w:hAnsi="Palatino Linotype" w:cs="Times New Roman"/>
          <w:sz w:val="21"/>
          <w:szCs w:val="21"/>
        </w:rPr>
        <w:t xml:space="preserve">. </w:t>
      </w:r>
      <w:r w:rsidRPr="00693DB3">
        <w:rPr>
          <w:rFonts w:ascii="Palatino Linotype" w:hAnsi="Palatino Linotype" w:cs="Times New Roman"/>
          <w:sz w:val="21"/>
          <w:szCs w:val="21"/>
        </w:rPr>
        <w:t xml:space="preserve">Türkiye Cumhuriyeti AİHS’e taraf bir devlettir. AİHS’e taraf devlet olmak, AİHM’in zorunlu yargı yetkisini tanımayı ve bu yargı yetkisinin kullanılması sonucu verilen ihlal kararlarının gerektirdiği ihlal giderici tedbirleri almayı gerektirmektedir. AİHM kararlarının ihlal giderici önlemler gerektirmesi devlet sorumluluğu hukukunun temel ilkelerinin insan hakları hukuku alanında uygulanmasının doğal bir sonucudur. Devlet sorumluluğu hukukunun temel ilkeleri uluslararası hukukun tüm alanlarında geçerlidir ve AİHM bu ilkeler doğrultusunda karar vermekte, insan hakları kararlarının uygulanmasını takip eden ve Türkiye’nin de temsil edildiği Avrupa Konseyi Bakanlar Komitesi kararlarının uygulanmasını bu ilkeler doğrultusunda denetlemektedir. Buna göre, uluslararası hukukta bir kuralın ihlal edilmesi demek, adaletin bozulduğu anlamına gelmektedir. Bu adaletin tesis edilmesi için bu ihlalin devam ediyorsa sonlandırılması, mümkünse ortadan kaldırılması, bütünüyle </w:t>
      </w:r>
      <w:r w:rsidRPr="00693DB3">
        <w:rPr>
          <w:rFonts w:ascii="Palatino Linotype" w:hAnsi="Palatino Linotype" w:cs="Times New Roman"/>
          <w:sz w:val="21"/>
          <w:szCs w:val="21"/>
        </w:rPr>
        <w:lastRenderedPageBreak/>
        <w:t>ortadan kaldırılması mümkün değilse de zararın tazmin edilmesi gerekmektedir. Bir başka deyişle, AİHM’in kararının anlamı, uluslararası hukuka aykırılığın ulusal hukuk tarafından ortadan kaldırılması gerekliliğinin saptanmasıdır. Bu saptamanın ardından ihlali giderme ödevi ulusal mercilerindir.</w:t>
      </w:r>
    </w:p>
    <w:p w14:paraId="709A02CD" w14:textId="77777777" w:rsidR="00AA57F8" w:rsidRDefault="00060B5D" w:rsidP="00AA57F8">
      <w:pPr>
        <w:pStyle w:val="ListeParagraf"/>
        <w:numPr>
          <w:ilvl w:val="0"/>
          <w:numId w:val="2"/>
        </w:numPr>
        <w:tabs>
          <w:tab w:val="left" w:pos="3870"/>
        </w:tabs>
        <w:spacing w:line="360" w:lineRule="auto"/>
        <w:ind w:left="630" w:right="-378"/>
        <w:jc w:val="both"/>
        <w:rPr>
          <w:rFonts w:ascii="Palatino Linotype" w:hAnsi="Palatino Linotype" w:cs="Times New Roman"/>
          <w:sz w:val="21"/>
          <w:szCs w:val="21"/>
        </w:rPr>
      </w:pPr>
      <w:r w:rsidRPr="00693DB3">
        <w:rPr>
          <w:rFonts w:ascii="Palatino Linotype" w:hAnsi="Palatino Linotype" w:cs="Times New Roman"/>
          <w:sz w:val="21"/>
          <w:szCs w:val="21"/>
        </w:rPr>
        <w:t>Türkiye</w:t>
      </w:r>
      <w:r w:rsidR="00AE4031" w:rsidRPr="00693DB3">
        <w:rPr>
          <w:rFonts w:ascii="Palatino Linotype" w:hAnsi="Palatino Linotype" w:cs="Times New Roman"/>
          <w:sz w:val="21"/>
          <w:szCs w:val="21"/>
        </w:rPr>
        <w:t>’de</w:t>
      </w:r>
      <w:r w:rsidRPr="00693DB3">
        <w:rPr>
          <w:rFonts w:ascii="Palatino Linotype" w:hAnsi="Palatino Linotype" w:cs="Times New Roman"/>
          <w:sz w:val="21"/>
          <w:szCs w:val="21"/>
        </w:rPr>
        <w:t xml:space="preserve"> </w:t>
      </w:r>
      <w:proofErr w:type="gramStart"/>
      <w:r w:rsidRPr="00693DB3">
        <w:rPr>
          <w:rFonts w:ascii="Palatino Linotype" w:hAnsi="Palatino Linotype" w:cs="Times New Roman"/>
          <w:sz w:val="21"/>
          <w:szCs w:val="21"/>
        </w:rPr>
        <w:t>de,</w:t>
      </w:r>
      <w:proofErr w:type="gramEnd"/>
      <w:r w:rsidRPr="00693DB3">
        <w:rPr>
          <w:rFonts w:ascii="Palatino Linotype" w:hAnsi="Palatino Linotype" w:cs="Times New Roman"/>
          <w:sz w:val="21"/>
          <w:szCs w:val="21"/>
        </w:rPr>
        <w:t xml:space="preserve"> </w:t>
      </w:r>
      <w:r w:rsidR="00AE4031" w:rsidRPr="00693DB3">
        <w:rPr>
          <w:rFonts w:ascii="Palatino Linotype" w:hAnsi="Palatino Linotype" w:cs="Times New Roman"/>
          <w:sz w:val="21"/>
          <w:szCs w:val="21"/>
        </w:rPr>
        <w:t xml:space="preserve">Yasama, Yürütme ve Yargı </w:t>
      </w:r>
      <w:r w:rsidRPr="00693DB3">
        <w:rPr>
          <w:rFonts w:ascii="Palatino Linotype" w:hAnsi="Palatino Linotype" w:cs="Times New Roman"/>
          <w:sz w:val="21"/>
          <w:szCs w:val="21"/>
        </w:rPr>
        <w:t xml:space="preserve">Anayasanın 90. </w:t>
      </w:r>
      <w:r w:rsidR="00AE4031" w:rsidRPr="00693DB3">
        <w:rPr>
          <w:rFonts w:ascii="Palatino Linotype" w:hAnsi="Palatino Linotype" w:cs="Times New Roman"/>
          <w:sz w:val="21"/>
          <w:szCs w:val="21"/>
        </w:rPr>
        <w:t>m</w:t>
      </w:r>
      <w:r w:rsidRPr="00693DB3">
        <w:rPr>
          <w:rFonts w:ascii="Palatino Linotype" w:hAnsi="Palatino Linotype" w:cs="Times New Roman"/>
          <w:sz w:val="21"/>
          <w:szCs w:val="21"/>
        </w:rPr>
        <w:t>addesi ve Sözleşme’nin 46 ile CMK’nın 311/1-</w:t>
      </w:r>
      <w:proofErr w:type="gramStart"/>
      <w:r w:rsidRPr="00693DB3">
        <w:rPr>
          <w:rFonts w:ascii="Palatino Linotype" w:hAnsi="Palatino Linotype" w:cs="Times New Roman"/>
          <w:sz w:val="21"/>
          <w:szCs w:val="21"/>
        </w:rPr>
        <w:t>e,f</w:t>
      </w:r>
      <w:proofErr w:type="gramEnd"/>
      <w:r w:rsidRPr="00693DB3">
        <w:rPr>
          <w:rFonts w:ascii="Palatino Linotype" w:hAnsi="Palatino Linotype" w:cs="Times New Roman"/>
          <w:sz w:val="21"/>
          <w:szCs w:val="21"/>
        </w:rPr>
        <w:t xml:space="preserve"> maddesi gereği</w:t>
      </w:r>
      <w:r w:rsidR="00AE4031" w:rsidRPr="00693DB3">
        <w:rPr>
          <w:rFonts w:ascii="Palatino Linotype" w:hAnsi="Palatino Linotype" w:cs="Times New Roman"/>
          <w:sz w:val="21"/>
          <w:szCs w:val="21"/>
        </w:rPr>
        <w:t xml:space="preserve"> tespit edilen ihlali gidermekle yükümlüdürler.</w:t>
      </w:r>
    </w:p>
    <w:p w14:paraId="2992B974" w14:textId="6DCF74D7" w:rsidR="00AA57F8" w:rsidRPr="00AA57F8" w:rsidRDefault="00060B5D" w:rsidP="00AA57F8">
      <w:pPr>
        <w:pStyle w:val="ListeParagraf"/>
        <w:numPr>
          <w:ilvl w:val="0"/>
          <w:numId w:val="2"/>
        </w:numPr>
        <w:tabs>
          <w:tab w:val="left" w:pos="3870"/>
        </w:tabs>
        <w:spacing w:line="360" w:lineRule="auto"/>
        <w:ind w:left="630" w:right="-378"/>
        <w:jc w:val="both"/>
        <w:rPr>
          <w:rFonts w:ascii="Palatino Linotype" w:hAnsi="Palatino Linotype" w:cs="Times New Roman"/>
          <w:bCs/>
          <w:sz w:val="21"/>
          <w:szCs w:val="21"/>
        </w:rPr>
      </w:pPr>
      <w:r w:rsidRPr="00AA57F8">
        <w:rPr>
          <w:rFonts w:ascii="Palatino Linotype" w:hAnsi="Palatino Linotype"/>
          <w:bCs/>
        </w:rPr>
        <w:t>Mütalaada bu yükümlülüğün niteliği de açıklanmıştır</w:t>
      </w:r>
      <w:r w:rsidR="00AA57F8">
        <w:rPr>
          <w:rFonts w:ascii="Palatino Linotype" w:hAnsi="Palatino Linotype"/>
          <w:bCs/>
        </w:rPr>
        <w:t>;</w:t>
      </w:r>
      <w:r w:rsidRPr="00AA57F8">
        <w:rPr>
          <w:rFonts w:ascii="Palatino Linotype" w:hAnsi="Palatino Linotype"/>
          <w:bCs/>
        </w:rPr>
        <w:t xml:space="preserve"> bir devletin AİHM kararını icra etmemesi, yalnızca geçmişte tespit edilmiş bir ihlalin sonuçlarını ortadan kaldırmamak anlamına gelmez; aynı zamanda Sözleşme’nin 46. maddesi bakımından yeni ve bağımsız bir ihlal doğurur. Bu bağlamda ihlal, statik bir tespit olmaktan çıkar ve dinamik bir nitelik kazanır; karar uygulanmadıkça ihlal sürer (Mütalaa, s. 62).</w:t>
      </w:r>
    </w:p>
    <w:p w14:paraId="4B8CDE24" w14:textId="07282150" w:rsidR="00AE4031" w:rsidRPr="00AA57F8" w:rsidRDefault="00060B5D" w:rsidP="00AA57F8">
      <w:pPr>
        <w:pStyle w:val="ListeParagraf"/>
        <w:numPr>
          <w:ilvl w:val="0"/>
          <w:numId w:val="2"/>
        </w:numPr>
        <w:tabs>
          <w:tab w:val="left" w:pos="3870"/>
        </w:tabs>
        <w:spacing w:line="360" w:lineRule="auto"/>
        <w:ind w:left="630" w:right="-378"/>
        <w:jc w:val="both"/>
        <w:rPr>
          <w:rFonts w:ascii="Palatino Linotype" w:hAnsi="Palatino Linotype" w:cs="Times New Roman"/>
          <w:bCs/>
          <w:sz w:val="21"/>
          <w:szCs w:val="21"/>
        </w:rPr>
      </w:pPr>
      <w:r w:rsidRPr="00AA57F8">
        <w:rPr>
          <w:rFonts w:ascii="Palatino Linotype" w:hAnsi="Palatino Linotype"/>
          <w:bCs/>
        </w:rPr>
        <w:t>Mütalaada, AİHM’in yerleşik içtihadına göre kararların icrasının yalnızca tazminat ödenmesiyle sınırlı olmadığı; ihlalin sonuçlarını ortadan kaldıracak bireysel önlemleri ve benzer ihlallerin tekrarını önleyecek genel önlemleri de içerdiği; devletlerin haksız mahkûmiyet söz konusuysa yeniden yargılama imkânı sağlamak, özgürlükten yoksun bırakma hâlinde tahliye yolunu açmak ve sistemik sorun varsa mevzuat veya uygulamayı değiştirmekle yükümlü olduğu belirtilmiştir (Mütalaa, s. 63).</w:t>
      </w:r>
    </w:p>
    <w:p w14:paraId="46336AE6" w14:textId="77777777" w:rsidR="00960E79" w:rsidRPr="00693DB3" w:rsidRDefault="00960E79" w:rsidP="00960E79">
      <w:pPr>
        <w:pStyle w:val="ListeParagraf"/>
        <w:numPr>
          <w:ilvl w:val="0"/>
          <w:numId w:val="2"/>
        </w:numPr>
        <w:tabs>
          <w:tab w:val="left" w:pos="3870"/>
        </w:tabs>
        <w:spacing w:line="360" w:lineRule="auto"/>
        <w:ind w:left="630" w:right="-378"/>
        <w:jc w:val="both"/>
        <w:rPr>
          <w:rFonts w:ascii="Palatino Linotype" w:hAnsi="Palatino Linotype" w:cs="Times New Roman"/>
          <w:sz w:val="21"/>
          <w:szCs w:val="21"/>
        </w:rPr>
      </w:pPr>
      <w:r w:rsidRPr="00693DB3">
        <w:rPr>
          <w:rFonts w:ascii="Palatino Linotype" w:hAnsi="Palatino Linotype" w:cs="Times New Roman"/>
          <w:sz w:val="21"/>
          <w:szCs w:val="21"/>
        </w:rPr>
        <w:t xml:space="preserve">Anayasa Mahkemesi’nin İbrahim Er kararına konu olan olayda, </w:t>
      </w:r>
      <w:r w:rsidRPr="00693DB3">
        <w:rPr>
          <w:rFonts w:ascii="Palatino Linotype" w:hAnsi="Palatino Linotype" w:cs="Times New Roman"/>
          <w:b/>
          <w:bCs/>
          <w:sz w:val="21"/>
          <w:szCs w:val="21"/>
          <w:u w:val="single"/>
        </w:rPr>
        <w:t xml:space="preserve">AYM’nin Yılmaz Çelik kararı “yeni olay” (olgu) olarak mahkemeye sunulup yargılamanın yenilenmesi talep edilmiş, ilgili mahkemeler ise bu kararın CMK madde 311/e’de belirtilen yeni olaylar ibaresi içerisine girmeyeceğini belirterek bu talebi reddetmiştir </w:t>
      </w:r>
      <w:r w:rsidRPr="00693DB3">
        <w:rPr>
          <w:rFonts w:ascii="Palatino Linotype" w:hAnsi="Palatino Linotype" w:cs="Times New Roman"/>
          <w:sz w:val="21"/>
          <w:szCs w:val="21"/>
        </w:rPr>
        <w:t xml:space="preserve">(Bkz. Karşı Oy Gerekçesi § 7). Bu karar üzerine yapılan itiraz da reddedilmiş ve ilgililer AYM’ye bireysel başvuruda bulunmuşlardır. </w:t>
      </w:r>
    </w:p>
    <w:p w14:paraId="3D98C888" w14:textId="77777777" w:rsidR="00960E79" w:rsidRPr="00693DB3" w:rsidRDefault="00960E79" w:rsidP="00960E79">
      <w:pPr>
        <w:pStyle w:val="ListeParagraf"/>
        <w:numPr>
          <w:ilvl w:val="0"/>
          <w:numId w:val="2"/>
        </w:numPr>
        <w:tabs>
          <w:tab w:val="left" w:pos="3870"/>
        </w:tabs>
        <w:spacing w:line="360" w:lineRule="auto"/>
        <w:ind w:left="630" w:right="-378"/>
        <w:jc w:val="both"/>
        <w:rPr>
          <w:rFonts w:ascii="Palatino Linotype" w:hAnsi="Palatino Linotype" w:cs="Times New Roman"/>
          <w:sz w:val="21"/>
          <w:szCs w:val="21"/>
        </w:rPr>
      </w:pPr>
      <w:r w:rsidRPr="00693DB3">
        <w:rPr>
          <w:rFonts w:ascii="Palatino Linotype" w:hAnsi="Palatino Linotype" w:cs="Times New Roman"/>
          <w:sz w:val="21"/>
          <w:szCs w:val="21"/>
        </w:rPr>
        <w:t xml:space="preserve">AYM Genel Kurulu konuyla ilgili verdiği kararında; Bursa 2. Ağır Ceza Mahkemesi yeniden yargılama talebini </w:t>
      </w:r>
      <w:r w:rsidRPr="00693DB3">
        <w:rPr>
          <w:rFonts w:ascii="Palatino Linotype" w:hAnsi="Palatino Linotype" w:cs="Times New Roman"/>
          <w:b/>
          <w:bCs/>
          <w:sz w:val="21"/>
          <w:szCs w:val="21"/>
          <w:u w:val="single"/>
        </w:rPr>
        <w:t xml:space="preserve">başvurucuların aldıkları cezanın sonucunu değiştirebilecek iddialarına herhangi bir cevap vermeden reddettiğini (§ 54), başvurucular tarafından ileri sürülen ve yargılamanın sonucunu değiştirme ihtimali bulunan iddiaların dikkate alınmaması ve gereği gibi değerlendirilmemesi nedeniyle Anayasa’nın 36. maddesinde güvence altına alınan adil yargılanma hakkı kapsamında gerekçeli karar hakkının ihlal edildiğine karar verilmesi gerekir ((§ 55) </w:t>
      </w:r>
      <w:r w:rsidRPr="00693DB3">
        <w:rPr>
          <w:rFonts w:ascii="Palatino Linotype" w:hAnsi="Palatino Linotype" w:cs="Times New Roman"/>
          <w:sz w:val="21"/>
          <w:szCs w:val="21"/>
        </w:rPr>
        <w:t>demiş ve ihlal kararı vermiştir.</w:t>
      </w:r>
    </w:p>
    <w:p w14:paraId="2951D995" w14:textId="426F73B4" w:rsidR="00960E79" w:rsidRPr="00693DB3" w:rsidRDefault="00960E79" w:rsidP="00960E79">
      <w:pPr>
        <w:pStyle w:val="ListeParagraf"/>
        <w:numPr>
          <w:ilvl w:val="0"/>
          <w:numId w:val="2"/>
        </w:numPr>
        <w:tabs>
          <w:tab w:val="left" w:pos="3870"/>
        </w:tabs>
        <w:spacing w:line="360" w:lineRule="auto"/>
        <w:ind w:left="630" w:right="-378"/>
        <w:jc w:val="both"/>
        <w:rPr>
          <w:rFonts w:ascii="Palatino Linotype" w:hAnsi="Palatino Linotype" w:cs="Times New Roman"/>
          <w:b/>
          <w:bCs/>
          <w:sz w:val="21"/>
          <w:szCs w:val="21"/>
          <w:u w:val="single"/>
        </w:rPr>
      </w:pPr>
      <w:r w:rsidRPr="00693DB3">
        <w:rPr>
          <w:rFonts w:ascii="Palatino Linotype" w:hAnsi="Palatino Linotype" w:cs="Times New Roman"/>
          <w:b/>
          <w:bCs/>
          <w:sz w:val="21"/>
          <w:szCs w:val="21"/>
          <w:u w:val="single"/>
        </w:rPr>
        <w:t xml:space="preserve">Başvurumuza konu olay ile AYM’nin İbrahim Er kararına konu olay aynıdır. AİHM’in </w:t>
      </w:r>
      <w:r w:rsidR="008D184C">
        <w:rPr>
          <w:rFonts w:ascii="Palatino Linotype" w:hAnsi="Palatino Linotype" w:cs="Times New Roman"/>
          <w:b/>
          <w:bCs/>
          <w:sz w:val="21"/>
          <w:szCs w:val="21"/>
          <w:u w:val="single"/>
        </w:rPr>
        <w:t xml:space="preserve">Yasak ve </w:t>
      </w:r>
      <w:r w:rsidRPr="00693DB3">
        <w:rPr>
          <w:rFonts w:ascii="Palatino Linotype" w:hAnsi="Palatino Linotype" w:cs="Times New Roman"/>
          <w:b/>
          <w:bCs/>
          <w:sz w:val="21"/>
          <w:szCs w:val="21"/>
          <w:u w:val="single"/>
        </w:rPr>
        <w:t>Yalçınkaya</w:t>
      </w:r>
      <w:r w:rsidR="008D184C">
        <w:rPr>
          <w:rFonts w:ascii="Palatino Linotype" w:hAnsi="Palatino Linotype" w:cs="Times New Roman"/>
          <w:b/>
          <w:bCs/>
          <w:sz w:val="21"/>
          <w:szCs w:val="21"/>
          <w:u w:val="single"/>
        </w:rPr>
        <w:t>/Türkiye</w:t>
      </w:r>
      <w:r w:rsidRPr="00693DB3">
        <w:rPr>
          <w:rFonts w:ascii="Palatino Linotype" w:hAnsi="Palatino Linotype" w:cs="Times New Roman"/>
          <w:b/>
          <w:bCs/>
          <w:sz w:val="21"/>
          <w:szCs w:val="21"/>
          <w:u w:val="single"/>
        </w:rPr>
        <w:t xml:space="preserve"> karar</w:t>
      </w:r>
      <w:r w:rsidR="008D184C">
        <w:rPr>
          <w:rFonts w:ascii="Palatino Linotype" w:hAnsi="Palatino Linotype" w:cs="Times New Roman"/>
          <w:b/>
          <w:bCs/>
          <w:sz w:val="21"/>
          <w:szCs w:val="21"/>
          <w:u w:val="single"/>
        </w:rPr>
        <w:t>lar</w:t>
      </w:r>
      <w:r w:rsidRPr="00693DB3">
        <w:rPr>
          <w:rFonts w:ascii="Palatino Linotype" w:hAnsi="Palatino Linotype" w:cs="Times New Roman"/>
          <w:b/>
          <w:bCs/>
          <w:sz w:val="21"/>
          <w:szCs w:val="21"/>
          <w:u w:val="single"/>
        </w:rPr>
        <w:t xml:space="preserve">ında ortaya konulan ilkeler, </w:t>
      </w:r>
      <w:r w:rsidRPr="00693DB3">
        <w:rPr>
          <w:rFonts w:ascii="Palatino Linotype" w:hAnsi="Palatino Linotype" w:cs="Times New Roman"/>
          <w:b/>
          <w:bCs/>
          <w:sz w:val="21"/>
          <w:szCs w:val="21"/>
          <w:highlight w:val="yellow"/>
          <w:u w:val="single"/>
        </w:rPr>
        <w:t>aldığım/eşimin aldığı/ vasisi olduğum …’in aldığı</w:t>
      </w:r>
      <w:r w:rsidRPr="00693DB3">
        <w:rPr>
          <w:rFonts w:ascii="Palatino Linotype" w:hAnsi="Palatino Linotype" w:cs="Times New Roman"/>
          <w:b/>
          <w:bCs/>
          <w:sz w:val="21"/>
          <w:szCs w:val="21"/>
          <w:u w:val="single"/>
        </w:rPr>
        <w:t xml:space="preserve"> cezanın sonucunu değiştirecek niteliktedir. Zira Yalçınkaya </w:t>
      </w:r>
      <w:r w:rsidR="008D184C">
        <w:rPr>
          <w:rFonts w:ascii="Palatino Linotype" w:hAnsi="Palatino Linotype" w:cs="Times New Roman"/>
          <w:b/>
          <w:bCs/>
          <w:sz w:val="21"/>
          <w:szCs w:val="21"/>
          <w:u w:val="single"/>
        </w:rPr>
        <w:t xml:space="preserve">ve Yasak Türkiye </w:t>
      </w:r>
      <w:r w:rsidRPr="00693DB3">
        <w:rPr>
          <w:rFonts w:ascii="Palatino Linotype" w:hAnsi="Palatino Linotype" w:cs="Times New Roman"/>
          <w:b/>
          <w:bCs/>
          <w:sz w:val="21"/>
          <w:szCs w:val="21"/>
          <w:u w:val="single"/>
        </w:rPr>
        <w:lastRenderedPageBreak/>
        <w:t>karar</w:t>
      </w:r>
      <w:r w:rsidR="008D184C">
        <w:rPr>
          <w:rFonts w:ascii="Palatino Linotype" w:hAnsi="Palatino Linotype" w:cs="Times New Roman"/>
          <w:b/>
          <w:bCs/>
          <w:sz w:val="21"/>
          <w:szCs w:val="21"/>
          <w:u w:val="single"/>
        </w:rPr>
        <w:t>lar</w:t>
      </w:r>
      <w:r w:rsidRPr="00693DB3">
        <w:rPr>
          <w:rFonts w:ascii="Palatino Linotype" w:hAnsi="Palatino Linotype" w:cs="Times New Roman"/>
          <w:b/>
          <w:bCs/>
          <w:sz w:val="21"/>
          <w:szCs w:val="21"/>
          <w:u w:val="single"/>
        </w:rPr>
        <w:t xml:space="preserve">ına konu olayda olduğu gibi </w:t>
      </w:r>
      <w:r w:rsidRPr="00693DB3">
        <w:rPr>
          <w:rFonts w:ascii="Palatino Linotype" w:hAnsi="Palatino Linotype" w:cs="Times New Roman"/>
          <w:b/>
          <w:bCs/>
          <w:sz w:val="21"/>
          <w:szCs w:val="21"/>
          <w:highlight w:val="yellow"/>
          <w:u w:val="single"/>
        </w:rPr>
        <w:t>yargılandığım/eşimin yargılandığı/vasisi olduğum …’in yargılandığı</w:t>
      </w:r>
      <w:r w:rsidRPr="00693DB3">
        <w:rPr>
          <w:rFonts w:ascii="Palatino Linotype" w:hAnsi="Palatino Linotype" w:cs="Times New Roman"/>
          <w:b/>
          <w:bCs/>
          <w:sz w:val="21"/>
          <w:szCs w:val="21"/>
          <w:u w:val="single"/>
        </w:rPr>
        <w:t xml:space="preserve"> dosyada da suçun unsurlarının oluşup oluşmadığı dahi araştırılmamış ve kriter kabul edilen deliller suçun unsuru yerine ikame edilerek </w:t>
      </w:r>
      <w:r w:rsidRPr="00693DB3">
        <w:rPr>
          <w:rFonts w:ascii="Palatino Linotype" w:hAnsi="Palatino Linotype" w:cs="Times New Roman"/>
          <w:b/>
          <w:bCs/>
          <w:sz w:val="21"/>
          <w:szCs w:val="21"/>
          <w:highlight w:val="yellow"/>
          <w:u w:val="single"/>
        </w:rPr>
        <w:t>cezalandırıldım/eşim cezalandırıldı/vasisi olduğum … cezalandırıldı.</w:t>
      </w:r>
      <w:r w:rsidRPr="00693DB3">
        <w:rPr>
          <w:rFonts w:ascii="Palatino Linotype" w:hAnsi="Palatino Linotype" w:cs="Times New Roman"/>
          <w:b/>
          <w:bCs/>
          <w:sz w:val="21"/>
          <w:szCs w:val="21"/>
          <w:u w:val="single"/>
        </w:rPr>
        <w:t xml:space="preserve"> Bu durum da hiç kuskusuz suç ve cezaların yasallığı ilkesine aykırıdır. AİHM’in Yalçınkaya</w:t>
      </w:r>
      <w:r w:rsidR="008D184C">
        <w:rPr>
          <w:rFonts w:ascii="Palatino Linotype" w:hAnsi="Palatino Linotype" w:cs="Times New Roman"/>
          <w:b/>
          <w:bCs/>
          <w:sz w:val="21"/>
          <w:szCs w:val="21"/>
          <w:u w:val="single"/>
        </w:rPr>
        <w:t xml:space="preserve"> ve Yasak/Türkiye</w:t>
      </w:r>
      <w:r w:rsidRPr="00693DB3">
        <w:rPr>
          <w:rFonts w:ascii="Palatino Linotype" w:hAnsi="Palatino Linotype" w:cs="Times New Roman"/>
          <w:b/>
          <w:bCs/>
          <w:sz w:val="21"/>
          <w:szCs w:val="21"/>
          <w:u w:val="single"/>
        </w:rPr>
        <w:t xml:space="preserve"> karar</w:t>
      </w:r>
      <w:r w:rsidR="008D184C">
        <w:rPr>
          <w:rFonts w:ascii="Palatino Linotype" w:hAnsi="Palatino Linotype" w:cs="Times New Roman"/>
          <w:b/>
          <w:bCs/>
          <w:sz w:val="21"/>
          <w:szCs w:val="21"/>
          <w:u w:val="single"/>
        </w:rPr>
        <w:t>lar</w:t>
      </w:r>
      <w:r w:rsidRPr="00693DB3">
        <w:rPr>
          <w:rFonts w:ascii="Palatino Linotype" w:hAnsi="Palatino Linotype" w:cs="Times New Roman"/>
          <w:b/>
          <w:bCs/>
          <w:sz w:val="21"/>
          <w:szCs w:val="21"/>
          <w:u w:val="single"/>
        </w:rPr>
        <w:t xml:space="preserve">ındaki ihlal sebeplerini gerekçe yaparak ileri sürdüğümüz hususlar hiç kuşkusuz yargılamanın sonucunu değiştirecek niteliktedir ve </w:t>
      </w:r>
      <w:r w:rsidR="008D184C">
        <w:rPr>
          <w:rFonts w:ascii="Palatino Linotype" w:hAnsi="Palatino Linotype" w:cs="Times New Roman"/>
          <w:b/>
          <w:bCs/>
          <w:sz w:val="21"/>
          <w:szCs w:val="21"/>
          <w:u w:val="single"/>
        </w:rPr>
        <w:t>bu kararlardaki</w:t>
      </w:r>
      <w:r w:rsidRPr="00693DB3">
        <w:rPr>
          <w:rFonts w:ascii="Palatino Linotype" w:hAnsi="Palatino Linotype" w:cs="Times New Roman"/>
          <w:b/>
          <w:bCs/>
          <w:sz w:val="21"/>
          <w:szCs w:val="21"/>
          <w:u w:val="single"/>
        </w:rPr>
        <w:t xml:space="preserve"> ihlal gerekçelerinin </w:t>
      </w:r>
      <w:r w:rsidRPr="00693DB3">
        <w:rPr>
          <w:rFonts w:ascii="Palatino Linotype" w:hAnsi="Palatino Linotype" w:cs="Times New Roman"/>
          <w:b/>
          <w:bCs/>
          <w:sz w:val="21"/>
          <w:szCs w:val="21"/>
          <w:highlight w:val="yellow"/>
          <w:u w:val="single"/>
        </w:rPr>
        <w:t>dosyamda/eşimin dosyasında/vasisi olduğum …’in dosyasında</w:t>
      </w:r>
      <w:r w:rsidRPr="00693DB3">
        <w:rPr>
          <w:rFonts w:ascii="Palatino Linotype" w:hAnsi="Palatino Linotype" w:cs="Times New Roman"/>
          <w:b/>
          <w:bCs/>
          <w:sz w:val="21"/>
          <w:szCs w:val="21"/>
          <w:u w:val="single"/>
        </w:rPr>
        <w:t xml:space="preserve"> tatbiki halinde müvekkil hakkında beraatı kararı verilmesi gerekmektedir. </w:t>
      </w:r>
    </w:p>
    <w:p w14:paraId="61098A63" w14:textId="77777777" w:rsidR="00AA57F8" w:rsidRDefault="00960E79" w:rsidP="00AA57F8">
      <w:pPr>
        <w:pStyle w:val="ListeParagraf"/>
        <w:numPr>
          <w:ilvl w:val="0"/>
          <w:numId w:val="2"/>
        </w:numPr>
        <w:tabs>
          <w:tab w:val="left" w:pos="3870"/>
        </w:tabs>
        <w:spacing w:line="360" w:lineRule="auto"/>
        <w:ind w:left="630" w:right="-378"/>
        <w:jc w:val="both"/>
        <w:rPr>
          <w:rFonts w:ascii="Palatino Linotype" w:hAnsi="Palatino Linotype" w:cs="Times New Roman"/>
          <w:b/>
          <w:bCs/>
          <w:sz w:val="21"/>
          <w:szCs w:val="21"/>
          <w:u w:val="single"/>
        </w:rPr>
      </w:pPr>
      <w:r w:rsidRPr="00693DB3">
        <w:rPr>
          <w:rFonts w:ascii="Palatino Linotype" w:hAnsi="Palatino Linotype" w:cs="Times New Roman"/>
          <w:sz w:val="21"/>
          <w:szCs w:val="21"/>
        </w:rPr>
        <w:t xml:space="preserve">Yaptığımız yeniden yargılanma talebi değerlendirilirken, </w:t>
      </w:r>
      <w:r w:rsidRPr="00693DB3">
        <w:rPr>
          <w:rFonts w:ascii="Palatino Linotype" w:hAnsi="Palatino Linotype" w:cs="Times New Roman"/>
          <w:b/>
          <w:bCs/>
          <w:sz w:val="21"/>
          <w:szCs w:val="21"/>
          <w:u w:val="single"/>
        </w:rPr>
        <w:t xml:space="preserve">yukarıda ayrıntılı şekilde yer verilen hususlar ve iddialarımız dikkate alınarak karar verilmelidir. Aksi durumun kabulü, AYM’nin İbrahim Er kararında belirttiği üzere Anayasanın 36 ve AİHS’in 6. maddelerinde düzenlenen gerekçeli karar hakkının ihlaline sebebiyet verecektir.  </w:t>
      </w:r>
    </w:p>
    <w:p w14:paraId="6CF97F26" w14:textId="77777777" w:rsidR="00AA57F8" w:rsidRPr="00AA57F8" w:rsidRDefault="00960E79" w:rsidP="00AA57F8">
      <w:pPr>
        <w:pStyle w:val="ListeParagraf"/>
        <w:numPr>
          <w:ilvl w:val="0"/>
          <w:numId w:val="2"/>
        </w:numPr>
        <w:tabs>
          <w:tab w:val="left" w:pos="3870"/>
        </w:tabs>
        <w:spacing w:line="360" w:lineRule="auto"/>
        <w:ind w:left="630" w:right="-378"/>
        <w:jc w:val="both"/>
        <w:rPr>
          <w:rFonts w:ascii="Palatino Linotype" w:hAnsi="Palatino Linotype" w:cs="Times New Roman"/>
          <w:bCs/>
          <w:sz w:val="21"/>
          <w:szCs w:val="21"/>
          <w:u w:val="single"/>
        </w:rPr>
      </w:pPr>
      <w:r w:rsidRPr="00AA57F8">
        <w:rPr>
          <w:rFonts w:ascii="Palatino Linotype" w:hAnsi="Palatino Linotype"/>
          <w:bCs/>
        </w:rPr>
        <w:t>Mütalaada da Anayasa Mahkemesi’nin “objektif etki” görüşüne yer verilerek; kamu gücünü kullanan organların, ihlalin saptandığı andan itibaren Mahkemenin benzer davalarda ihlal tespitlerini yinelemesine gerek kalmadan gerekli tedbirleri almakla yükümlü olduğu, yapısal bir sorun tespit edilmişse kararın objektif etkisinin çok daha kuvvetli olduğu; aksi hâlde aynı hukuksal durumda bulunan kişilerden yalnızca bir kısmının hukuki korunmadan yararlanacağı ve bunun anayasanın üstünlüğü ile hukuk devleti ilkesine aykırı düşeceği vurgulanmıştır. Ayrıca ihlal kararına bağlı yeniden yargılamada “ilgili mahkemenin yeniden yargılama sebebinin varlığını kabul hususunda herhangi bir takdir yetkisi bulunmamaktadır” (Mütalaa, s. 46-47).</w:t>
      </w:r>
    </w:p>
    <w:p w14:paraId="1A9310E4" w14:textId="514C08C6" w:rsidR="004D331F" w:rsidRPr="00AA57F8" w:rsidRDefault="00960E79" w:rsidP="00AA57F8">
      <w:pPr>
        <w:pStyle w:val="ListeParagraf"/>
        <w:numPr>
          <w:ilvl w:val="0"/>
          <w:numId w:val="2"/>
        </w:numPr>
        <w:tabs>
          <w:tab w:val="left" w:pos="3870"/>
        </w:tabs>
        <w:spacing w:line="360" w:lineRule="auto"/>
        <w:ind w:left="630" w:right="-378"/>
        <w:jc w:val="both"/>
        <w:rPr>
          <w:rFonts w:ascii="Palatino Linotype" w:hAnsi="Palatino Linotype" w:cs="Times New Roman"/>
          <w:bCs/>
          <w:sz w:val="21"/>
          <w:szCs w:val="21"/>
          <w:u w:val="single"/>
        </w:rPr>
      </w:pPr>
      <w:r w:rsidRPr="00AA57F8">
        <w:rPr>
          <w:rFonts w:ascii="Palatino Linotype" w:hAnsi="Palatino Linotype"/>
          <w:bCs/>
        </w:rPr>
        <w:t>Mütalaada, AYM’nin kendi ihlal kararları için benimsediği bu görüşün, Anayasa m. 90/5 uyarınca kanunlara göre öncelikle uygulanması gereken AİHM Büyük Daire kararları için de uygulanmasının hukuki tutarlılığın gereği olduğu belirtilmiştir (Mütalaa, s. 40). Aksi hâlde, suçun maddi ve manevi unsurları bireyselleştirilmeden mahkûm edilen her bir kişi için ayrı bir AİHM kararı beklemek gerekecek; bu ise aynı ihlalin tekrarına yol açarak mağduriyetleri artıracağı gibi Türk yargı sisteminin üzerindeki yükü de gereksiz yere ağırlaştıracaktır (Mütalaa, s. 48).</w:t>
      </w:r>
    </w:p>
    <w:p w14:paraId="4EB5A3A1" w14:textId="54CC3620" w:rsidR="004D331F" w:rsidRPr="004D331F" w:rsidRDefault="00AE4031" w:rsidP="004D331F">
      <w:pPr>
        <w:tabs>
          <w:tab w:val="left" w:pos="3870"/>
        </w:tabs>
        <w:spacing w:line="360" w:lineRule="auto"/>
        <w:ind w:left="270" w:right="-378"/>
        <w:jc w:val="both"/>
        <w:rPr>
          <w:rFonts w:ascii="Palatino Linotype" w:hAnsi="Palatino Linotype" w:cs="Times New Roman"/>
          <w:b/>
          <w:bCs/>
          <w:sz w:val="21"/>
          <w:szCs w:val="21"/>
          <w:u w:val="single"/>
        </w:rPr>
      </w:pPr>
      <w:r w:rsidRPr="004D331F">
        <w:rPr>
          <w:rFonts w:ascii="Palatino Linotype" w:hAnsi="Palatino Linotype" w:cs="Times New Roman"/>
          <w:b/>
          <w:bCs/>
          <w:sz w:val="21"/>
          <w:szCs w:val="21"/>
        </w:rPr>
        <w:t>V. T</w:t>
      </w:r>
      <w:r w:rsidR="00DD64B9">
        <w:rPr>
          <w:rFonts w:ascii="Palatino Linotype" w:hAnsi="Palatino Linotype" w:cs="Times New Roman"/>
          <w:b/>
          <w:bCs/>
          <w:sz w:val="21"/>
          <w:szCs w:val="21"/>
        </w:rPr>
        <w:t>alep</w:t>
      </w:r>
    </w:p>
    <w:p w14:paraId="662E7258" w14:textId="07973414" w:rsidR="004D331F" w:rsidRPr="004D331F" w:rsidRDefault="00AE4031" w:rsidP="004D331F">
      <w:pPr>
        <w:pStyle w:val="ListeParagraf"/>
        <w:numPr>
          <w:ilvl w:val="0"/>
          <w:numId w:val="2"/>
        </w:numPr>
        <w:tabs>
          <w:tab w:val="left" w:pos="3870"/>
        </w:tabs>
        <w:spacing w:line="360" w:lineRule="auto"/>
        <w:ind w:left="630" w:right="-378"/>
        <w:jc w:val="both"/>
        <w:rPr>
          <w:rFonts w:ascii="Palatino Linotype" w:hAnsi="Palatino Linotype" w:cs="Times New Roman"/>
          <w:b/>
          <w:bCs/>
          <w:sz w:val="21"/>
          <w:szCs w:val="21"/>
          <w:u w:val="single"/>
        </w:rPr>
      </w:pPr>
      <w:r w:rsidRPr="004D331F">
        <w:rPr>
          <w:rFonts w:ascii="Palatino Linotype" w:hAnsi="Palatino Linotype" w:cs="Times New Roman"/>
          <w:color w:val="010000"/>
          <w:sz w:val="21"/>
          <w:szCs w:val="21"/>
          <w:shd w:val="clear" w:color="auto" w:fill="FFFFFF"/>
        </w:rPr>
        <w:lastRenderedPageBreak/>
        <w:t xml:space="preserve">Yukarıda yer verilen </w:t>
      </w:r>
      <w:r w:rsidR="004D331F" w:rsidRPr="004D331F">
        <w:rPr>
          <w:rFonts w:ascii="Palatino Linotype" w:hAnsi="Palatino Linotype"/>
          <w:color w:val="000000"/>
          <w:sz w:val="21"/>
          <w:szCs w:val="21"/>
        </w:rPr>
        <w:t>Anayasa'nın 90. maddesi uyarınca iç hukukumuzun bir parçası olan ve bağlayıcılığı tartışmasız olan Avrupa İnsan Hakları Mahkemesi Büyük Dairesi'nin</w:t>
      </w:r>
      <w:r w:rsidR="004D331F" w:rsidRPr="004D331F">
        <w:rPr>
          <w:rStyle w:val="apple-converted-space"/>
          <w:rFonts w:ascii="Palatino Linotype" w:eastAsiaTheme="majorEastAsia" w:hAnsi="Palatino Linotype"/>
          <w:color w:val="000000"/>
          <w:sz w:val="21"/>
          <w:szCs w:val="21"/>
        </w:rPr>
        <w:t> </w:t>
      </w:r>
      <w:r w:rsidR="004D331F" w:rsidRPr="004D331F">
        <w:rPr>
          <w:rFonts w:ascii="Palatino Linotype" w:hAnsi="Palatino Linotype"/>
          <w:i/>
          <w:iCs/>
          <w:color w:val="000000"/>
          <w:sz w:val="21"/>
          <w:szCs w:val="21"/>
        </w:rPr>
        <w:t>Yasak v. Türkiye</w:t>
      </w:r>
      <w:r w:rsidR="004D331F" w:rsidRPr="004D331F">
        <w:rPr>
          <w:rStyle w:val="apple-converted-space"/>
          <w:rFonts w:ascii="Palatino Linotype" w:eastAsiaTheme="majorEastAsia" w:hAnsi="Palatino Linotype"/>
          <w:color w:val="000000"/>
          <w:sz w:val="21"/>
          <w:szCs w:val="21"/>
        </w:rPr>
        <w:t> </w:t>
      </w:r>
      <w:r w:rsidR="004D331F" w:rsidRPr="004D331F">
        <w:rPr>
          <w:rFonts w:ascii="Palatino Linotype" w:hAnsi="Palatino Linotype"/>
          <w:color w:val="000000"/>
          <w:sz w:val="21"/>
          <w:szCs w:val="21"/>
        </w:rPr>
        <w:t>ve</w:t>
      </w:r>
      <w:r w:rsidR="004D331F" w:rsidRPr="004D331F">
        <w:rPr>
          <w:rStyle w:val="apple-converted-space"/>
          <w:rFonts w:ascii="Palatino Linotype" w:eastAsiaTheme="majorEastAsia" w:hAnsi="Palatino Linotype"/>
          <w:color w:val="000000"/>
          <w:sz w:val="21"/>
          <w:szCs w:val="21"/>
        </w:rPr>
        <w:t> </w:t>
      </w:r>
      <w:r w:rsidR="004D331F" w:rsidRPr="004D331F">
        <w:rPr>
          <w:rFonts w:ascii="Palatino Linotype" w:hAnsi="Palatino Linotype"/>
          <w:i/>
          <w:iCs/>
          <w:color w:val="000000"/>
          <w:sz w:val="21"/>
          <w:szCs w:val="21"/>
        </w:rPr>
        <w:t>Yalçınkaya v. Türkiye</w:t>
      </w:r>
      <w:r w:rsidR="004D331F" w:rsidRPr="004D331F">
        <w:rPr>
          <w:rStyle w:val="apple-converted-space"/>
          <w:rFonts w:ascii="Palatino Linotype" w:eastAsiaTheme="majorEastAsia" w:hAnsi="Palatino Linotype"/>
          <w:color w:val="000000"/>
          <w:sz w:val="21"/>
          <w:szCs w:val="21"/>
        </w:rPr>
        <w:t> </w:t>
      </w:r>
      <w:r w:rsidR="004D331F" w:rsidRPr="004D331F">
        <w:rPr>
          <w:rFonts w:ascii="Palatino Linotype" w:hAnsi="Palatino Linotype"/>
          <w:color w:val="000000"/>
          <w:sz w:val="21"/>
          <w:szCs w:val="21"/>
        </w:rPr>
        <w:t>kararlarında ortaya konulan evrensel hukuk standartları ışığında; müvekkile atfedilen 15 Temmuz öncesine ait yasal eylemlerin suçun "manevi unsurunu (kasıt)" hiçbir şekilde ihtiva etmediği, fiillerin işlendiği o dönem itibarıyla yapının şiddet ve terör amacının müvekkil tarafından bilinmesinin hukuken ve fiilen mümkün olmadığı, varsayıma veya aidiyete dayalı kolektif cezalandırma yapılamayacağı hususları ve şüpheden sanık yararlanır evrensel ilkesi gözetilerek;</w:t>
      </w:r>
    </w:p>
    <w:p w14:paraId="1418B145" w14:textId="01F8B04A" w:rsidR="00B64CC8" w:rsidRPr="00693DB3" w:rsidRDefault="00AE4031" w:rsidP="006112FE">
      <w:pPr>
        <w:pStyle w:val="ListeParagraf"/>
        <w:numPr>
          <w:ilvl w:val="0"/>
          <w:numId w:val="3"/>
        </w:numPr>
        <w:tabs>
          <w:tab w:val="left" w:pos="3870"/>
        </w:tabs>
        <w:spacing w:line="360" w:lineRule="auto"/>
        <w:ind w:left="990" w:right="-378"/>
        <w:jc w:val="both"/>
        <w:rPr>
          <w:rFonts w:ascii="Palatino Linotype" w:hAnsi="Palatino Linotype" w:cs="Times New Roman"/>
          <w:b/>
          <w:color w:val="010000"/>
          <w:sz w:val="21"/>
          <w:szCs w:val="21"/>
          <w:u w:val="thick"/>
          <w:shd w:val="clear" w:color="auto" w:fill="FFFFFF"/>
        </w:rPr>
      </w:pPr>
      <w:r w:rsidRPr="00693DB3">
        <w:rPr>
          <w:rFonts w:ascii="Palatino Linotype" w:hAnsi="Palatino Linotype" w:cs="Times New Roman"/>
          <w:color w:val="010000"/>
          <w:sz w:val="21"/>
          <w:szCs w:val="21"/>
          <w:shd w:val="clear" w:color="auto" w:fill="FFFFFF"/>
        </w:rPr>
        <w:t>AİHM</w:t>
      </w:r>
      <w:r w:rsidR="008D184C">
        <w:rPr>
          <w:rFonts w:ascii="Palatino Linotype" w:hAnsi="Palatino Linotype" w:cs="Times New Roman"/>
          <w:color w:val="010000"/>
          <w:sz w:val="21"/>
          <w:szCs w:val="21"/>
          <w:shd w:val="clear" w:color="auto" w:fill="FFFFFF"/>
        </w:rPr>
        <w:t>’in Yasak/Türkiye</w:t>
      </w:r>
      <w:r w:rsidRPr="00693DB3">
        <w:rPr>
          <w:rFonts w:ascii="Palatino Linotype" w:hAnsi="Palatino Linotype" w:cs="Times New Roman"/>
          <w:color w:val="010000"/>
          <w:sz w:val="21"/>
          <w:szCs w:val="21"/>
          <w:shd w:val="clear" w:color="auto" w:fill="FFFFFF"/>
        </w:rPr>
        <w:t xml:space="preserve"> kararı ve açıklamalar gereği, </w:t>
      </w:r>
      <w:r w:rsidR="00B64CC8" w:rsidRPr="00693DB3">
        <w:rPr>
          <w:rFonts w:ascii="Palatino Linotype" w:hAnsi="Palatino Linotype" w:cs="Times New Roman"/>
          <w:color w:val="010000"/>
          <w:sz w:val="21"/>
          <w:szCs w:val="21"/>
          <w:highlight w:val="yellow"/>
          <w:shd w:val="clear" w:color="auto" w:fill="FFFFFF"/>
        </w:rPr>
        <w:t>durumu</w:t>
      </w:r>
      <w:r w:rsidR="005D1E85" w:rsidRPr="00693DB3">
        <w:rPr>
          <w:rFonts w:ascii="Palatino Linotype" w:hAnsi="Palatino Linotype" w:cs="Times New Roman"/>
          <w:color w:val="010000"/>
          <w:sz w:val="21"/>
          <w:szCs w:val="21"/>
          <w:highlight w:val="yellow"/>
          <w:shd w:val="clear" w:color="auto" w:fill="FFFFFF"/>
        </w:rPr>
        <w:t>m</w:t>
      </w:r>
      <w:r w:rsidR="000B65FA" w:rsidRPr="00693DB3">
        <w:rPr>
          <w:rFonts w:ascii="Palatino Linotype" w:hAnsi="Palatino Linotype" w:cs="Times New Roman"/>
          <w:color w:val="010000"/>
          <w:sz w:val="21"/>
          <w:szCs w:val="21"/>
          <w:highlight w:val="yellow"/>
          <w:shd w:val="clear" w:color="auto" w:fill="FFFFFF"/>
        </w:rPr>
        <w:t>/eşimin/vasisi olduğum</w:t>
      </w:r>
      <w:proofErr w:type="gramStart"/>
      <w:r w:rsidR="000B65FA" w:rsidRPr="00693DB3">
        <w:rPr>
          <w:rFonts w:ascii="Palatino Linotype" w:hAnsi="Palatino Linotype" w:cs="Times New Roman"/>
          <w:color w:val="010000"/>
          <w:sz w:val="21"/>
          <w:szCs w:val="21"/>
          <w:highlight w:val="yellow"/>
          <w:shd w:val="clear" w:color="auto" w:fill="FFFFFF"/>
        </w:rPr>
        <w:t xml:space="preserve"> ….</w:t>
      </w:r>
      <w:proofErr w:type="gramEnd"/>
      <w:r w:rsidR="000B65FA" w:rsidRPr="00693DB3">
        <w:rPr>
          <w:rFonts w:ascii="Palatino Linotype" w:hAnsi="Palatino Linotype" w:cs="Times New Roman"/>
          <w:color w:val="010000"/>
          <w:sz w:val="21"/>
          <w:szCs w:val="21"/>
          <w:highlight w:val="yellow"/>
          <w:shd w:val="clear" w:color="auto" w:fill="FFFFFF"/>
        </w:rPr>
        <w:t>’in durumu</w:t>
      </w:r>
      <w:r w:rsidR="00B64CC8" w:rsidRPr="00693DB3">
        <w:rPr>
          <w:rFonts w:ascii="Palatino Linotype" w:hAnsi="Palatino Linotype" w:cs="Times New Roman"/>
          <w:color w:val="010000"/>
          <w:sz w:val="21"/>
          <w:szCs w:val="21"/>
          <w:shd w:val="clear" w:color="auto" w:fill="FFFFFF"/>
        </w:rPr>
        <w:t xml:space="preserve"> </w:t>
      </w:r>
      <w:r w:rsidRPr="00693DB3">
        <w:rPr>
          <w:rFonts w:ascii="Palatino Linotype" w:hAnsi="Palatino Linotype" w:cs="Times New Roman"/>
          <w:color w:val="010000"/>
          <w:sz w:val="21"/>
          <w:szCs w:val="21"/>
          <w:shd w:val="clear" w:color="auto" w:fill="FFFFFF"/>
        </w:rPr>
        <w:t xml:space="preserve">anılan ihlal tespitleri </w:t>
      </w:r>
      <w:r w:rsidR="00B64CC8" w:rsidRPr="00693DB3">
        <w:rPr>
          <w:rFonts w:ascii="Palatino Linotype" w:hAnsi="Palatino Linotype" w:cs="Times New Roman"/>
          <w:color w:val="010000"/>
          <w:sz w:val="21"/>
          <w:szCs w:val="21"/>
          <w:shd w:val="clear" w:color="auto" w:fill="FFFFFF"/>
        </w:rPr>
        <w:t xml:space="preserve">ile </w:t>
      </w:r>
      <w:r w:rsidRPr="00693DB3">
        <w:rPr>
          <w:rFonts w:ascii="Palatino Linotype" w:hAnsi="Palatino Linotype" w:cs="Times New Roman"/>
          <w:color w:val="010000"/>
          <w:sz w:val="21"/>
          <w:szCs w:val="21"/>
          <w:shd w:val="clear" w:color="auto" w:fill="FFFFFF"/>
        </w:rPr>
        <w:t>aynı mahiyette olduğundan</w:t>
      </w:r>
      <w:r w:rsidR="005D1E85" w:rsidRPr="00693DB3">
        <w:rPr>
          <w:rFonts w:ascii="Palatino Linotype" w:hAnsi="Palatino Linotype" w:cs="Times New Roman"/>
          <w:color w:val="010000"/>
          <w:sz w:val="21"/>
          <w:szCs w:val="21"/>
          <w:shd w:val="clear" w:color="auto" w:fill="FFFFFF"/>
        </w:rPr>
        <w:t>,</w:t>
      </w:r>
      <w:r w:rsidR="00B64CC8" w:rsidRPr="00693DB3">
        <w:rPr>
          <w:rFonts w:ascii="Palatino Linotype" w:hAnsi="Palatino Linotype" w:cs="Times New Roman"/>
          <w:color w:val="010000"/>
          <w:sz w:val="21"/>
          <w:szCs w:val="21"/>
          <w:shd w:val="clear" w:color="auto" w:fill="FFFFFF"/>
        </w:rPr>
        <w:t xml:space="preserve"> yargılamanın yenilenmesi </w:t>
      </w:r>
      <w:r w:rsidR="00B64CC8" w:rsidRPr="00693DB3">
        <w:rPr>
          <w:rFonts w:ascii="Palatino Linotype" w:hAnsi="Palatino Linotype" w:cs="Times New Roman"/>
          <w:color w:val="010000"/>
          <w:sz w:val="21"/>
          <w:szCs w:val="21"/>
          <w:highlight w:val="yellow"/>
          <w:shd w:val="clear" w:color="auto" w:fill="FFFFFF"/>
        </w:rPr>
        <w:t>talebimin</w:t>
      </w:r>
      <w:r w:rsidR="000B65FA" w:rsidRPr="00693DB3">
        <w:rPr>
          <w:rFonts w:ascii="Palatino Linotype" w:hAnsi="Palatino Linotype" w:cs="Times New Roman"/>
          <w:color w:val="010000"/>
          <w:sz w:val="21"/>
          <w:szCs w:val="21"/>
          <w:highlight w:val="yellow"/>
          <w:shd w:val="clear" w:color="auto" w:fill="FFFFFF"/>
        </w:rPr>
        <w:t>/talebinin</w:t>
      </w:r>
      <w:r w:rsidR="00B64CC8" w:rsidRPr="00693DB3">
        <w:rPr>
          <w:rFonts w:ascii="Palatino Linotype" w:hAnsi="Palatino Linotype" w:cs="Times New Roman"/>
          <w:color w:val="010000"/>
          <w:sz w:val="21"/>
          <w:szCs w:val="21"/>
          <w:shd w:val="clear" w:color="auto" w:fill="FFFFFF"/>
        </w:rPr>
        <w:t xml:space="preserve"> kabulüne A</w:t>
      </w:r>
      <w:r w:rsidR="002C50F6" w:rsidRPr="00693DB3">
        <w:rPr>
          <w:rFonts w:ascii="Palatino Linotype" w:hAnsi="Palatino Linotype" w:cs="Times New Roman"/>
          <w:color w:val="010000"/>
          <w:sz w:val="21"/>
          <w:szCs w:val="21"/>
          <w:shd w:val="clear" w:color="auto" w:fill="FFFFFF"/>
        </w:rPr>
        <w:t>nayasa’nın 33, 34,</w:t>
      </w:r>
      <w:r w:rsidR="00B64CC8" w:rsidRPr="00693DB3">
        <w:rPr>
          <w:rFonts w:ascii="Palatino Linotype" w:hAnsi="Palatino Linotype" w:cs="Times New Roman"/>
          <w:color w:val="010000"/>
          <w:sz w:val="21"/>
          <w:szCs w:val="21"/>
          <w:shd w:val="clear" w:color="auto" w:fill="FFFFFF"/>
        </w:rPr>
        <w:t xml:space="preserve"> 36,</w:t>
      </w:r>
      <w:r w:rsidR="002C50F6" w:rsidRPr="00693DB3">
        <w:rPr>
          <w:rFonts w:ascii="Palatino Linotype" w:hAnsi="Palatino Linotype" w:cs="Times New Roman"/>
          <w:color w:val="010000"/>
          <w:sz w:val="21"/>
          <w:szCs w:val="21"/>
          <w:shd w:val="clear" w:color="auto" w:fill="FFFFFF"/>
        </w:rPr>
        <w:t xml:space="preserve"> 38,</w:t>
      </w:r>
      <w:r w:rsidR="00B64CC8" w:rsidRPr="00693DB3">
        <w:rPr>
          <w:rFonts w:ascii="Palatino Linotype" w:hAnsi="Palatino Linotype" w:cs="Times New Roman"/>
          <w:color w:val="010000"/>
          <w:sz w:val="21"/>
          <w:szCs w:val="21"/>
          <w:shd w:val="clear" w:color="auto" w:fill="FFFFFF"/>
        </w:rPr>
        <w:t xml:space="preserve"> 90, 138, 153; AİHS 6, 7, 11, 46; 6216 sayılı Yasa 50 ve CMK 311/1-</w:t>
      </w:r>
      <w:proofErr w:type="gramStart"/>
      <w:r w:rsidR="00B64CC8" w:rsidRPr="00693DB3">
        <w:rPr>
          <w:rFonts w:ascii="Palatino Linotype" w:hAnsi="Palatino Linotype" w:cs="Times New Roman"/>
          <w:color w:val="010000"/>
          <w:sz w:val="21"/>
          <w:szCs w:val="21"/>
          <w:shd w:val="clear" w:color="auto" w:fill="FFFFFF"/>
        </w:rPr>
        <w:t>e,f</w:t>
      </w:r>
      <w:proofErr w:type="gramEnd"/>
      <w:r w:rsidR="00B64CC8" w:rsidRPr="00693DB3">
        <w:rPr>
          <w:rFonts w:ascii="Palatino Linotype" w:hAnsi="Palatino Linotype" w:cs="Times New Roman"/>
          <w:color w:val="010000"/>
          <w:sz w:val="21"/>
          <w:szCs w:val="21"/>
          <w:shd w:val="clear" w:color="auto" w:fill="FFFFFF"/>
        </w:rPr>
        <w:t xml:space="preserve"> maddeleri uyarınca karar verilmesi,</w:t>
      </w:r>
    </w:p>
    <w:p w14:paraId="0438ED6D" w14:textId="77777777" w:rsidR="00AA57F8" w:rsidRPr="00AA57F8" w:rsidRDefault="005D1E85" w:rsidP="00AA57F8">
      <w:pPr>
        <w:pStyle w:val="ListeParagraf"/>
        <w:numPr>
          <w:ilvl w:val="0"/>
          <w:numId w:val="3"/>
        </w:numPr>
        <w:tabs>
          <w:tab w:val="left" w:pos="3870"/>
        </w:tabs>
        <w:spacing w:line="360" w:lineRule="auto"/>
        <w:ind w:left="990" w:right="-378"/>
        <w:jc w:val="both"/>
        <w:rPr>
          <w:rFonts w:ascii="Palatino Linotype" w:hAnsi="Palatino Linotype" w:cs="Times New Roman"/>
          <w:b/>
          <w:color w:val="010000"/>
          <w:sz w:val="21"/>
          <w:szCs w:val="21"/>
          <w:u w:val="thick"/>
          <w:shd w:val="clear" w:color="auto" w:fill="FFFFFF"/>
        </w:rPr>
      </w:pPr>
      <w:r w:rsidRPr="00693DB3">
        <w:rPr>
          <w:rFonts w:ascii="Palatino Linotype" w:hAnsi="Palatino Linotype" w:cs="Times New Roman"/>
          <w:color w:val="010000"/>
          <w:sz w:val="21"/>
          <w:szCs w:val="21"/>
          <w:highlight w:val="yellow"/>
          <w:shd w:val="clear" w:color="auto" w:fill="FFFFFF"/>
        </w:rPr>
        <w:t>H</w:t>
      </w:r>
      <w:r w:rsidR="00B64CC8" w:rsidRPr="00693DB3">
        <w:rPr>
          <w:rFonts w:ascii="Palatino Linotype" w:hAnsi="Palatino Linotype" w:cs="Times New Roman"/>
          <w:color w:val="010000"/>
          <w:sz w:val="21"/>
          <w:szCs w:val="21"/>
          <w:highlight w:val="yellow"/>
          <w:shd w:val="clear" w:color="auto" w:fill="FFFFFF"/>
        </w:rPr>
        <w:t>akkı</w:t>
      </w:r>
      <w:r w:rsidRPr="00693DB3">
        <w:rPr>
          <w:rFonts w:ascii="Palatino Linotype" w:hAnsi="Palatino Linotype" w:cs="Times New Roman"/>
          <w:color w:val="010000"/>
          <w:sz w:val="21"/>
          <w:szCs w:val="21"/>
          <w:highlight w:val="yellow"/>
          <w:shd w:val="clear" w:color="auto" w:fill="FFFFFF"/>
        </w:rPr>
        <w:t>md</w:t>
      </w:r>
      <w:r w:rsidR="00B64CC8" w:rsidRPr="00693DB3">
        <w:rPr>
          <w:rFonts w:ascii="Palatino Linotype" w:hAnsi="Palatino Linotype" w:cs="Times New Roman"/>
          <w:color w:val="010000"/>
          <w:sz w:val="21"/>
          <w:szCs w:val="21"/>
          <w:highlight w:val="yellow"/>
          <w:shd w:val="clear" w:color="auto" w:fill="FFFFFF"/>
        </w:rPr>
        <w:t>a</w:t>
      </w:r>
      <w:r w:rsidRPr="00693DB3">
        <w:rPr>
          <w:rFonts w:ascii="Palatino Linotype" w:hAnsi="Palatino Linotype" w:cs="Times New Roman"/>
          <w:color w:val="010000"/>
          <w:sz w:val="21"/>
          <w:szCs w:val="21"/>
          <w:highlight w:val="yellow"/>
          <w:shd w:val="clear" w:color="auto" w:fill="FFFFFF"/>
        </w:rPr>
        <w:t>ki</w:t>
      </w:r>
      <w:r w:rsidR="000B65FA" w:rsidRPr="00693DB3">
        <w:rPr>
          <w:rFonts w:ascii="Palatino Linotype" w:hAnsi="Palatino Linotype" w:cs="Times New Roman"/>
          <w:color w:val="010000"/>
          <w:sz w:val="21"/>
          <w:szCs w:val="21"/>
          <w:highlight w:val="yellow"/>
          <w:shd w:val="clear" w:color="auto" w:fill="FFFFFF"/>
        </w:rPr>
        <w:t>/eşimin/vasisi olduğum … ‘in hakkındaki</w:t>
      </w:r>
      <w:r w:rsidR="00B64CC8" w:rsidRPr="00693DB3">
        <w:rPr>
          <w:rFonts w:ascii="Palatino Linotype" w:hAnsi="Palatino Linotype" w:cs="Times New Roman"/>
          <w:color w:val="010000"/>
          <w:sz w:val="21"/>
          <w:szCs w:val="21"/>
          <w:shd w:val="clear" w:color="auto" w:fill="FFFFFF"/>
        </w:rPr>
        <w:t xml:space="preserve"> infazın durdurulması ve </w:t>
      </w:r>
      <w:r w:rsidR="00B64CC8" w:rsidRPr="00693DB3">
        <w:rPr>
          <w:rFonts w:ascii="Palatino Linotype" w:hAnsi="Palatino Linotype" w:cs="Times New Roman"/>
          <w:color w:val="010000"/>
          <w:sz w:val="21"/>
          <w:szCs w:val="21"/>
          <w:highlight w:val="yellow"/>
          <w:shd w:val="clear" w:color="auto" w:fill="FFFFFF"/>
        </w:rPr>
        <w:t>salıverilme</w:t>
      </w:r>
      <w:r w:rsidRPr="00693DB3">
        <w:rPr>
          <w:rFonts w:ascii="Palatino Linotype" w:hAnsi="Palatino Linotype" w:cs="Times New Roman"/>
          <w:color w:val="010000"/>
          <w:sz w:val="21"/>
          <w:szCs w:val="21"/>
          <w:highlight w:val="yellow"/>
          <w:shd w:val="clear" w:color="auto" w:fill="FFFFFF"/>
        </w:rPr>
        <w:t>m</w:t>
      </w:r>
      <w:r w:rsidR="000B65FA" w:rsidRPr="00693DB3">
        <w:rPr>
          <w:rFonts w:ascii="Palatino Linotype" w:hAnsi="Palatino Linotype" w:cs="Times New Roman"/>
          <w:color w:val="010000"/>
          <w:sz w:val="21"/>
          <w:szCs w:val="21"/>
          <w:highlight w:val="yellow"/>
          <w:shd w:val="clear" w:color="auto" w:fill="FFFFFF"/>
        </w:rPr>
        <w:t>/salıverilmesi,</w:t>
      </w:r>
    </w:p>
    <w:p w14:paraId="01DDAE74" w14:textId="77777777" w:rsidR="00AA57F8" w:rsidRPr="00AA57F8" w:rsidRDefault="005D1E85" w:rsidP="00AA57F8">
      <w:pPr>
        <w:pStyle w:val="ListeParagraf"/>
        <w:numPr>
          <w:ilvl w:val="0"/>
          <w:numId w:val="3"/>
        </w:numPr>
        <w:tabs>
          <w:tab w:val="left" w:pos="3870"/>
        </w:tabs>
        <w:spacing w:line="360" w:lineRule="auto"/>
        <w:ind w:left="990" w:right="-378"/>
        <w:jc w:val="both"/>
        <w:rPr>
          <w:rFonts w:ascii="Palatino Linotype" w:hAnsi="Palatino Linotype" w:cs="Times New Roman"/>
          <w:bCs/>
          <w:color w:val="010000"/>
          <w:sz w:val="21"/>
          <w:szCs w:val="21"/>
          <w:u w:val="thick"/>
          <w:shd w:val="clear" w:color="auto" w:fill="FFFFFF"/>
        </w:rPr>
      </w:pPr>
      <w:r w:rsidRPr="00AA57F8">
        <w:rPr>
          <w:rFonts w:ascii="Palatino Linotype" w:hAnsi="Palatino Linotype"/>
          <w:bCs/>
        </w:rPr>
        <w:t xml:space="preserve">Mütalaada, infazın durdurulması talebi bakımından da açık bir sonuca varılmıştır: mahkeme tarafından yargılamanın yenilenmesi talebi ve dosya içeriği incelendikten sonra, infazın devamının telafisi güç ya da imkânsız sonuçlara yol açacağı kanaatine varılması hâlinde </w:t>
      </w:r>
      <w:r w:rsidRPr="00AA57F8">
        <w:rPr>
          <w:rFonts w:ascii="Palatino Linotype" w:hAnsi="Palatino Linotype"/>
          <w:b/>
        </w:rPr>
        <w:t>infazın durdurulmasına karar verilmelidir.</w:t>
      </w:r>
      <w:r w:rsidRPr="00AA57F8">
        <w:rPr>
          <w:rFonts w:ascii="Palatino Linotype" w:hAnsi="Palatino Linotype"/>
          <w:bCs/>
        </w:rPr>
        <w:t xml:space="preserve"> AİHM tarafından verilmiş bir ihlal kararının varlığı durumunda yerel mahkemenin takdir yetkisi daralmakta olup, bu yetki AİHM kararı ve AİHS m. 46’dan kaynaklanan icra yükümlülüğü çerçevesinde kullanılmalıdır (Mütalaa, s. 29-30).</w:t>
      </w:r>
    </w:p>
    <w:p w14:paraId="07A76026" w14:textId="77777777" w:rsidR="00AA57F8" w:rsidRPr="00AA57F8" w:rsidRDefault="005D1E85" w:rsidP="00AA57F8">
      <w:pPr>
        <w:pStyle w:val="ListeParagraf"/>
        <w:numPr>
          <w:ilvl w:val="0"/>
          <w:numId w:val="3"/>
        </w:numPr>
        <w:tabs>
          <w:tab w:val="left" w:pos="3870"/>
        </w:tabs>
        <w:spacing w:line="360" w:lineRule="auto"/>
        <w:ind w:left="990" w:right="-378"/>
        <w:jc w:val="both"/>
        <w:rPr>
          <w:rFonts w:ascii="Palatino Linotype" w:hAnsi="Palatino Linotype" w:cs="Times New Roman"/>
          <w:bCs/>
          <w:color w:val="010000"/>
          <w:sz w:val="21"/>
          <w:szCs w:val="21"/>
          <w:u w:val="thick"/>
          <w:shd w:val="clear" w:color="auto" w:fill="FFFFFF"/>
        </w:rPr>
      </w:pPr>
      <w:r w:rsidRPr="00AA57F8">
        <w:rPr>
          <w:rFonts w:ascii="Palatino Linotype" w:hAnsi="Palatino Linotype"/>
          <w:bCs/>
        </w:rPr>
        <w:t>Mütalaada ayrıca, temel hakların ihlali suretiyle tesis edildiği AİHM kararıyla tespit edilen bir mahkûmiyet hükmünün infazına devam edilmesinin, AİHS m. 5’te güvence altına alınan özgürlük ve güvenlik hakkı bakımından da yeni bir ihlale yol açacağı; bu nedenle telafisi güç veya imkânsız zararların önlenmesi amacıyla infazın durdurulmasına karar verilmesi gerektiği belirtilmiştir (Mütalaa, s. 68).</w:t>
      </w:r>
    </w:p>
    <w:p w14:paraId="23EAD43E" w14:textId="5B4881C6" w:rsidR="004D331F" w:rsidRPr="00AA57F8" w:rsidRDefault="005D1E85" w:rsidP="00AA57F8">
      <w:pPr>
        <w:pStyle w:val="ListeParagraf"/>
        <w:numPr>
          <w:ilvl w:val="0"/>
          <w:numId w:val="3"/>
        </w:numPr>
        <w:tabs>
          <w:tab w:val="left" w:pos="3870"/>
        </w:tabs>
        <w:spacing w:line="360" w:lineRule="auto"/>
        <w:ind w:left="990" w:right="-378"/>
        <w:jc w:val="both"/>
        <w:rPr>
          <w:rFonts w:ascii="Palatino Linotype" w:hAnsi="Palatino Linotype" w:cs="Times New Roman"/>
          <w:bCs/>
          <w:color w:val="010000"/>
          <w:sz w:val="21"/>
          <w:szCs w:val="21"/>
          <w:u w:val="thick"/>
          <w:shd w:val="clear" w:color="auto" w:fill="FFFFFF"/>
        </w:rPr>
      </w:pPr>
      <w:r w:rsidRPr="00AA57F8">
        <w:rPr>
          <w:rFonts w:ascii="Palatino Linotype" w:hAnsi="Palatino Linotype"/>
          <w:bCs/>
        </w:rPr>
        <w:t xml:space="preserve">Cezanın infazının tamamlandığı dosyalar bakımından ise mütalaada, </w:t>
      </w:r>
      <w:r w:rsidRPr="00AA57F8">
        <w:rPr>
          <w:rFonts w:ascii="Palatino Linotype" w:hAnsi="Palatino Linotype"/>
          <w:b/>
        </w:rPr>
        <w:t>“yurt dışına çıkamamak” şeklindeki adli kontrol tedbirinin uygulanmasına devam edilmesinin veya re’sen yeni tedbirlere hükmedilmesinin usulen mümkün olmadığı;</w:t>
      </w:r>
      <w:r w:rsidRPr="00AA57F8">
        <w:rPr>
          <w:rFonts w:ascii="Palatino Linotype" w:hAnsi="Palatino Linotype"/>
          <w:bCs/>
        </w:rPr>
        <w:t xml:space="preserve"> tedbirin meşru amacının ortadan kalktığı; bu nitelikteki kısıtlamaların koruma tedbirini bir muhakeme güvencesi olmaktan çıkararak fiilen “ikinci bir cezalandırma” yaptırımına dönüştürdüğü, </w:t>
      </w:r>
      <w:r w:rsidRPr="00AA57F8">
        <w:rPr>
          <w:rFonts w:ascii="Palatino Linotype" w:hAnsi="Palatino Linotype"/>
          <w:bCs/>
        </w:rPr>
        <w:lastRenderedPageBreak/>
        <w:t>non bis in idem ilkesinin ruhunu zedelediği ve seyahat hürriyetini ihlal ettiği ifade edilmiştir (Mütalaa, s. 33 ve s. 68-69).</w:t>
      </w:r>
    </w:p>
    <w:p w14:paraId="50500138" w14:textId="1F7805F6" w:rsidR="006112FE" w:rsidRPr="004D331F" w:rsidRDefault="006112FE" w:rsidP="004D331F">
      <w:pPr>
        <w:pStyle w:val="ListeParagraf"/>
        <w:numPr>
          <w:ilvl w:val="0"/>
          <w:numId w:val="3"/>
        </w:numPr>
        <w:tabs>
          <w:tab w:val="left" w:pos="3870"/>
        </w:tabs>
        <w:spacing w:line="360" w:lineRule="auto"/>
        <w:ind w:left="990" w:right="-378"/>
        <w:jc w:val="both"/>
        <w:rPr>
          <w:rFonts w:ascii="Palatino Linotype" w:hAnsi="Palatino Linotype" w:cs="Times New Roman"/>
          <w:b/>
          <w:color w:val="010000"/>
          <w:sz w:val="21"/>
          <w:szCs w:val="21"/>
          <w:u w:val="thick"/>
          <w:shd w:val="clear" w:color="auto" w:fill="FFFFFF"/>
        </w:rPr>
      </w:pPr>
      <w:r w:rsidRPr="004D331F">
        <w:rPr>
          <w:rFonts w:ascii="Palatino Linotype" w:hAnsi="Palatino Linotype"/>
          <w:color w:val="010000"/>
          <w:sz w:val="21"/>
          <w:szCs w:val="21"/>
          <w:shd w:val="clear" w:color="auto" w:fill="FFFFFF"/>
        </w:rPr>
        <w:t>Yeniden yargılama sonucunda</w:t>
      </w:r>
      <w:r w:rsidR="005D1E85" w:rsidRPr="004D331F">
        <w:rPr>
          <w:rFonts w:ascii="Palatino Linotype" w:hAnsi="Palatino Linotype"/>
          <w:color w:val="010000"/>
          <w:sz w:val="21"/>
          <w:szCs w:val="21"/>
          <w:shd w:val="clear" w:color="auto" w:fill="FFFFFF"/>
        </w:rPr>
        <w:t xml:space="preserve"> </w:t>
      </w:r>
      <w:r w:rsidR="005D1E85" w:rsidRPr="004D331F">
        <w:rPr>
          <w:rFonts w:ascii="Palatino Linotype" w:hAnsi="Palatino Linotype"/>
          <w:color w:val="010000"/>
          <w:sz w:val="21"/>
          <w:szCs w:val="21"/>
          <w:highlight w:val="yellow"/>
          <w:shd w:val="clear" w:color="auto" w:fill="FFFFFF"/>
        </w:rPr>
        <w:t>h</w:t>
      </w:r>
      <w:r w:rsidRPr="004D331F">
        <w:rPr>
          <w:rFonts w:ascii="Palatino Linotype" w:hAnsi="Palatino Linotype"/>
          <w:color w:val="010000"/>
          <w:sz w:val="21"/>
          <w:szCs w:val="21"/>
          <w:highlight w:val="yellow"/>
          <w:shd w:val="clear" w:color="auto" w:fill="FFFFFF"/>
        </w:rPr>
        <w:t>akkı</w:t>
      </w:r>
      <w:r w:rsidR="005D1E85" w:rsidRPr="004D331F">
        <w:rPr>
          <w:rFonts w:ascii="Palatino Linotype" w:hAnsi="Palatino Linotype"/>
          <w:color w:val="010000"/>
          <w:sz w:val="21"/>
          <w:szCs w:val="21"/>
          <w:highlight w:val="yellow"/>
          <w:shd w:val="clear" w:color="auto" w:fill="FFFFFF"/>
        </w:rPr>
        <w:t>m</w:t>
      </w:r>
      <w:r w:rsidRPr="004D331F">
        <w:rPr>
          <w:rFonts w:ascii="Palatino Linotype" w:hAnsi="Palatino Linotype"/>
          <w:color w:val="010000"/>
          <w:sz w:val="21"/>
          <w:szCs w:val="21"/>
          <w:highlight w:val="yellow"/>
          <w:shd w:val="clear" w:color="auto" w:fill="FFFFFF"/>
        </w:rPr>
        <w:t>da</w:t>
      </w:r>
      <w:r w:rsidR="000B65FA" w:rsidRPr="004D331F">
        <w:rPr>
          <w:rFonts w:ascii="Palatino Linotype" w:hAnsi="Palatino Linotype"/>
          <w:color w:val="010000"/>
          <w:sz w:val="21"/>
          <w:szCs w:val="21"/>
          <w:highlight w:val="yellow"/>
          <w:shd w:val="clear" w:color="auto" w:fill="FFFFFF"/>
        </w:rPr>
        <w:t>/hakkında</w:t>
      </w:r>
      <w:r w:rsidRPr="004D331F">
        <w:rPr>
          <w:rFonts w:ascii="Palatino Linotype" w:hAnsi="Palatino Linotype"/>
          <w:color w:val="010000"/>
          <w:sz w:val="21"/>
          <w:szCs w:val="21"/>
          <w:shd w:val="clear" w:color="auto" w:fill="FFFFFF"/>
        </w:rPr>
        <w:t xml:space="preserve"> verilmiş </w:t>
      </w:r>
      <w:proofErr w:type="gramStart"/>
      <w:r w:rsidRPr="004D331F">
        <w:rPr>
          <w:rFonts w:ascii="Palatino Linotype" w:hAnsi="Palatino Linotype"/>
          <w:color w:val="010000"/>
          <w:sz w:val="21"/>
          <w:szCs w:val="21"/>
          <w:shd w:val="clear" w:color="auto" w:fill="FFFFFF"/>
        </w:rPr>
        <w:t>mahkumiyet</w:t>
      </w:r>
      <w:proofErr w:type="gramEnd"/>
      <w:r w:rsidRPr="004D331F">
        <w:rPr>
          <w:rFonts w:ascii="Palatino Linotype" w:hAnsi="Palatino Linotype"/>
          <w:color w:val="010000"/>
          <w:sz w:val="21"/>
          <w:szCs w:val="21"/>
          <w:shd w:val="clear" w:color="auto" w:fill="FFFFFF"/>
        </w:rPr>
        <w:t xml:space="preserve"> kararının kaldırılarak </w:t>
      </w:r>
      <w:r w:rsidRPr="004D331F">
        <w:rPr>
          <w:rFonts w:ascii="Palatino Linotype" w:hAnsi="Palatino Linotype"/>
          <w:color w:val="010000"/>
          <w:sz w:val="21"/>
          <w:szCs w:val="21"/>
          <w:highlight w:val="yellow"/>
          <w:shd w:val="clear" w:color="auto" w:fill="FFFFFF"/>
        </w:rPr>
        <w:t>beraatı</w:t>
      </w:r>
      <w:r w:rsidR="005D1E85" w:rsidRPr="004D331F">
        <w:rPr>
          <w:rFonts w:ascii="Palatino Linotype" w:hAnsi="Palatino Linotype"/>
          <w:color w:val="010000"/>
          <w:sz w:val="21"/>
          <w:szCs w:val="21"/>
          <w:highlight w:val="yellow"/>
          <w:shd w:val="clear" w:color="auto" w:fill="FFFFFF"/>
        </w:rPr>
        <w:t>m</w:t>
      </w:r>
      <w:r w:rsidRPr="004D331F">
        <w:rPr>
          <w:rFonts w:ascii="Palatino Linotype" w:hAnsi="Palatino Linotype"/>
          <w:color w:val="010000"/>
          <w:sz w:val="21"/>
          <w:szCs w:val="21"/>
          <w:highlight w:val="yellow"/>
          <w:shd w:val="clear" w:color="auto" w:fill="FFFFFF"/>
        </w:rPr>
        <w:t>a</w:t>
      </w:r>
      <w:r w:rsidR="000B65FA" w:rsidRPr="004D331F">
        <w:rPr>
          <w:rFonts w:ascii="Palatino Linotype" w:hAnsi="Palatino Linotype"/>
          <w:color w:val="010000"/>
          <w:sz w:val="21"/>
          <w:szCs w:val="21"/>
          <w:highlight w:val="yellow"/>
          <w:shd w:val="clear" w:color="auto" w:fill="FFFFFF"/>
        </w:rPr>
        <w:t>/beraatına</w:t>
      </w:r>
      <w:r w:rsidRPr="004D331F">
        <w:rPr>
          <w:rFonts w:ascii="Palatino Linotype" w:hAnsi="Palatino Linotype"/>
          <w:color w:val="010000"/>
          <w:sz w:val="21"/>
          <w:szCs w:val="21"/>
          <w:shd w:val="clear" w:color="auto" w:fill="FFFFFF"/>
        </w:rPr>
        <w:t xml:space="preserve"> karar verilmesi,</w:t>
      </w:r>
      <w:r w:rsidR="004D331F" w:rsidRPr="004D331F">
        <w:rPr>
          <w:rFonts w:ascii="Palatino Linotype" w:hAnsi="Palatino Linotype"/>
          <w:color w:val="010000"/>
          <w:sz w:val="21"/>
          <w:szCs w:val="21"/>
          <w:shd w:val="clear" w:color="auto" w:fill="FFFFFF"/>
        </w:rPr>
        <w:t xml:space="preserve"> </w:t>
      </w:r>
    </w:p>
    <w:p w14:paraId="0F718449" w14:textId="1519D3C0" w:rsidR="00CE2F22" w:rsidRPr="00693DB3" w:rsidRDefault="006112FE" w:rsidP="006112FE">
      <w:pPr>
        <w:pStyle w:val="ListeParagraf"/>
        <w:tabs>
          <w:tab w:val="left" w:pos="3870"/>
        </w:tabs>
        <w:spacing w:line="360" w:lineRule="auto"/>
        <w:ind w:left="630" w:right="-378"/>
        <w:jc w:val="both"/>
        <w:rPr>
          <w:rFonts w:ascii="Palatino Linotype" w:hAnsi="Palatino Linotype" w:cs="Times New Roman"/>
          <w:color w:val="010000"/>
          <w:sz w:val="21"/>
          <w:szCs w:val="21"/>
          <w:shd w:val="clear" w:color="auto" w:fill="FFFFFF"/>
        </w:rPr>
      </w:pPr>
      <w:r w:rsidRPr="00693DB3">
        <w:rPr>
          <w:rFonts w:ascii="Palatino Linotype" w:hAnsi="Palatino Linotype" w:cs="Times New Roman"/>
          <w:color w:val="010000"/>
          <w:sz w:val="21"/>
          <w:szCs w:val="21"/>
          <w:shd w:val="clear" w:color="auto" w:fill="FFFFFF"/>
        </w:rPr>
        <w:t>Saygılarımla arz ve talep olunur.</w:t>
      </w:r>
      <w:r w:rsidR="00AE4031" w:rsidRPr="00693DB3">
        <w:rPr>
          <w:rFonts w:ascii="Palatino Linotype" w:hAnsi="Palatino Linotype" w:cs="Times New Roman"/>
          <w:color w:val="010000"/>
          <w:sz w:val="21"/>
          <w:szCs w:val="21"/>
          <w:shd w:val="clear" w:color="auto" w:fill="FFFFFF"/>
        </w:rPr>
        <w:t xml:space="preserve">  </w:t>
      </w:r>
      <w:proofErr w:type="gramStart"/>
      <w:r w:rsidRPr="004D331F">
        <w:rPr>
          <w:rFonts w:ascii="Palatino Linotype" w:hAnsi="Palatino Linotype" w:cs="Times New Roman"/>
          <w:color w:val="010000"/>
          <w:sz w:val="21"/>
          <w:szCs w:val="21"/>
          <w:highlight w:val="yellow"/>
          <w:shd w:val="clear" w:color="auto" w:fill="FFFFFF"/>
        </w:rPr>
        <w:t>…../….</w:t>
      </w:r>
      <w:proofErr w:type="gramEnd"/>
      <w:r w:rsidRPr="004D331F">
        <w:rPr>
          <w:rFonts w:ascii="Palatino Linotype" w:hAnsi="Palatino Linotype" w:cs="Times New Roman"/>
          <w:color w:val="010000"/>
          <w:sz w:val="21"/>
          <w:szCs w:val="21"/>
          <w:highlight w:val="yellow"/>
          <w:shd w:val="clear" w:color="auto" w:fill="FFFFFF"/>
        </w:rPr>
        <w:t>/202</w:t>
      </w:r>
      <w:r w:rsidR="004D331F" w:rsidRPr="004D331F">
        <w:rPr>
          <w:rFonts w:ascii="Palatino Linotype" w:hAnsi="Palatino Linotype" w:cs="Times New Roman"/>
          <w:color w:val="010000"/>
          <w:sz w:val="21"/>
          <w:szCs w:val="21"/>
          <w:highlight w:val="yellow"/>
          <w:shd w:val="clear" w:color="auto" w:fill="FFFFFF"/>
        </w:rPr>
        <w:t>6</w:t>
      </w:r>
    </w:p>
    <w:p w14:paraId="5DA01CCA" w14:textId="77777777" w:rsidR="006112FE" w:rsidRPr="00693DB3" w:rsidRDefault="006112FE" w:rsidP="006112FE">
      <w:pPr>
        <w:pStyle w:val="ListeParagraf"/>
        <w:tabs>
          <w:tab w:val="left" w:pos="3870"/>
        </w:tabs>
        <w:spacing w:line="360" w:lineRule="auto"/>
        <w:ind w:left="630" w:right="-378"/>
        <w:jc w:val="both"/>
        <w:rPr>
          <w:rFonts w:ascii="Palatino Linotype" w:hAnsi="Palatino Linotype" w:cs="Times New Roman"/>
          <w:color w:val="010000"/>
          <w:sz w:val="21"/>
          <w:szCs w:val="21"/>
          <w:shd w:val="clear" w:color="auto" w:fill="FFFFFF"/>
        </w:rPr>
      </w:pPr>
    </w:p>
    <w:p w14:paraId="11F41DA9" w14:textId="77777777" w:rsidR="006112FE" w:rsidRPr="00693DB3" w:rsidRDefault="006112FE" w:rsidP="006112FE">
      <w:pPr>
        <w:pStyle w:val="ListeParagraf"/>
        <w:tabs>
          <w:tab w:val="left" w:pos="3870"/>
        </w:tabs>
        <w:spacing w:line="360" w:lineRule="auto"/>
        <w:ind w:left="630" w:right="-378"/>
        <w:jc w:val="both"/>
        <w:rPr>
          <w:rFonts w:ascii="Palatino Linotype" w:hAnsi="Palatino Linotype" w:cs="Times New Roman"/>
          <w:color w:val="010000"/>
          <w:sz w:val="21"/>
          <w:szCs w:val="21"/>
          <w:shd w:val="clear" w:color="auto" w:fill="FFFFFF"/>
        </w:rPr>
      </w:pPr>
      <w:r w:rsidRPr="00693DB3">
        <w:rPr>
          <w:rFonts w:ascii="Palatino Linotype" w:hAnsi="Palatino Linotype" w:cs="Times New Roman"/>
          <w:color w:val="010000"/>
          <w:sz w:val="21"/>
          <w:szCs w:val="21"/>
          <w:shd w:val="clear" w:color="auto" w:fill="FFFFFF"/>
        </w:rPr>
        <w:tab/>
      </w:r>
      <w:r w:rsidRPr="00693DB3">
        <w:rPr>
          <w:rFonts w:ascii="Palatino Linotype" w:hAnsi="Palatino Linotype" w:cs="Times New Roman"/>
          <w:color w:val="010000"/>
          <w:sz w:val="21"/>
          <w:szCs w:val="21"/>
          <w:shd w:val="clear" w:color="auto" w:fill="FFFFFF"/>
        </w:rPr>
        <w:tab/>
      </w:r>
      <w:r w:rsidRPr="00693DB3">
        <w:rPr>
          <w:rFonts w:ascii="Palatino Linotype" w:hAnsi="Palatino Linotype" w:cs="Times New Roman"/>
          <w:color w:val="010000"/>
          <w:sz w:val="21"/>
          <w:szCs w:val="21"/>
          <w:shd w:val="clear" w:color="auto" w:fill="FFFFFF"/>
        </w:rPr>
        <w:tab/>
      </w:r>
      <w:r w:rsidRPr="00693DB3">
        <w:rPr>
          <w:rFonts w:ascii="Palatino Linotype" w:hAnsi="Palatino Linotype" w:cs="Times New Roman"/>
          <w:color w:val="010000"/>
          <w:sz w:val="21"/>
          <w:szCs w:val="21"/>
          <w:shd w:val="clear" w:color="auto" w:fill="FFFFFF"/>
        </w:rPr>
        <w:tab/>
      </w:r>
      <w:r w:rsidRPr="00693DB3">
        <w:rPr>
          <w:rFonts w:ascii="Palatino Linotype" w:hAnsi="Palatino Linotype" w:cs="Times New Roman"/>
          <w:color w:val="010000"/>
          <w:sz w:val="21"/>
          <w:szCs w:val="21"/>
          <w:shd w:val="clear" w:color="auto" w:fill="FFFFFF"/>
        </w:rPr>
        <w:tab/>
      </w:r>
      <w:r w:rsidRPr="00693DB3">
        <w:rPr>
          <w:rFonts w:ascii="Palatino Linotype" w:hAnsi="Palatino Linotype" w:cs="Times New Roman"/>
          <w:color w:val="010000"/>
          <w:sz w:val="21"/>
          <w:szCs w:val="21"/>
          <w:shd w:val="clear" w:color="auto" w:fill="FFFFFF"/>
        </w:rPr>
        <w:tab/>
      </w:r>
    </w:p>
    <w:p w14:paraId="7B23423B" w14:textId="2B87C347" w:rsidR="006112FE" w:rsidRPr="00693DB3" w:rsidRDefault="006112FE" w:rsidP="006112FE">
      <w:pPr>
        <w:pStyle w:val="ListeParagraf"/>
        <w:tabs>
          <w:tab w:val="left" w:pos="3870"/>
        </w:tabs>
        <w:spacing w:line="360" w:lineRule="auto"/>
        <w:ind w:left="630" w:right="-378"/>
        <w:jc w:val="both"/>
        <w:rPr>
          <w:rFonts w:ascii="Palatino Linotype" w:hAnsi="Palatino Linotype" w:cs="Times New Roman"/>
          <w:color w:val="010000"/>
          <w:sz w:val="21"/>
          <w:szCs w:val="21"/>
          <w:shd w:val="clear" w:color="auto" w:fill="FFFFFF"/>
        </w:rPr>
      </w:pPr>
      <w:r w:rsidRPr="00693DB3">
        <w:rPr>
          <w:rFonts w:ascii="Palatino Linotype" w:hAnsi="Palatino Linotype" w:cs="Times New Roman"/>
          <w:color w:val="010000"/>
          <w:sz w:val="21"/>
          <w:szCs w:val="21"/>
          <w:shd w:val="clear" w:color="auto" w:fill="FFFFFF"/>
        </w:rPr>
        <w:tab/>
      </w:r>
      <w:r w:rsidRPr="00693DB3">
        <w:rPr>
          <w:rFonts w:ascii="Palatino Linotype" w:hAnsi="Palatino Linotype" w:cs="Times New Roman"/>
          <w:color w:val="010000"/>
          <w:sz w:val="21"/>
          <w:szCs w:val="21"/>
          <w:shd w:val="clear" w:color="auto" w:fill="FFFFFF"/>
        </w:rPr>
        <w:tab/>
      </w:r>
      <w:r w:rsidRPr="00693DB3">
        <w:rPr>
          <w:rFonts w:ascii="Palatino Linotype" w:hAnsi="Palatino Linotype" w:cs="Times New Roman"/>
          <w:color w:val="010000"/>
          <w:sz w:val="21"/>
          <w:szCs w:val="21"/>
          <w:shd w:val="clear" w:color="auto" w:fill="FFFFFF"/>
        </w:rPr>
        <w:tab/>
      </w:r>
      <w:r w:rsidRPr="00693DB3">
        <w:rPr>
          <w:rFonts w:ascii="Palatino Linotype" w:hAnsi="Palatino Linotype" w:cs="Times New Roman"/>
          <w:color w:val="010000"/>
          <w:sz w:val="21"/>
          <w:szCs w:val="21"/>
          <w:highlight w:val="yellow"/>
          <w:shd w:val="clear" w:color="auto" w:fill="FFFFFF"/>
        </w:rPr>
        <w:t>Hükümlü</w:t>
      </w:r>
      <w:r w:rsidR="000B65FA" w:rsidRPr="00693DB3">
        <w:rPr>
          <w:rFonts w:ascii="Palatino Linotype" w:hAnsi="Palatino Linotype" w:cs="Times New Roman"/>
          <w:color w:val="010000"/>
          <w:sz w:val="21"/>
          <w:szCs w:val="21"/>
          <w:highlight w:val="yellow"/>
          <w:shd w:val="clear" w:color="auto" w:fill="FFFFFF"/>
        </w:rPr>
        <w:t>/Eşi</w:t>
      </w:r>
      <w:proofErr w:type="gramStart"/>
      <w:r w:rsidR="000B65FA" w:rsidRPr="00693DB3">
        <w:rPr>
          <w:rFonts w:ascii="Palatino Linotype" w:hAnsi="Palatino Linotype" w:cs="Times New Roman"/>
          <w:color w:val="010000"/>
          <w:sz w:val="21"/>
          <w:szCs w:val="21"/>
          <w:highlight w:val="yellow"/>
          <w:shd w:val="clear" w:color="auto" w:fill="FFFFFF"/>
        </w:rPr>
        <w:t>/….</w:t>
      </w:r>
      <w:proofErr w:type="gramEnd"/>
      <w:r w:rsidR="000B65FA" w:rsidRPr="00693DB3">
        <w:rPr>
          <w:rFonts w:ascii="Palatino Linotype" w:hAnsi="Palatino Linotype" w:cs="Times New Roman"/>
          <w:color w:val="010000"/>
          <w:sz w:val="21"/>
          <w:szCs w:val="21"/>
          <w:highlight w:val="yellow"/>
          <w:shd w:val="clear" w:color="auto" w:fill="FFFFFF"/>
        </w:rPr>
        <w:t>.Vasisi</w:t>
      </w:r>
      <w:r w:rsidR="005D1E85" w:rsidRPr="00693DB3">
        <w:rPr>
          <w:rFonts w:ascii="Palatino Linotype" w:hAnsi="Palatino Linotype" w:cs="Times New Roman"/>
          <w:color w:val="010000"/>
          <w:sz w:val="21"/>
          <w:szCs w:val="21"/>
          <w:highlight w:val="yellow"/>
          <w:shd w:val="clear" w:color="auto" w:fill="FFFFFF"/>
        </w:rPr>
        <w:t xml:space="preserve"> (Ad-</w:t>
      </w:r>
      <w:proofErr w:type="spellStart"/>
      <w:r w:rsidR="005D1E85" w:rsidRPr="00693DB3">
        <w:rPr>
          <w:rFonts w:ascii="Palatino Linotype" w:hAnsi="Palatino Linotype" w:cs="Times New Roman"/>
          <w:color w:val="010000"/>
          <w:sz w:val="21"/>
          <w:szCs w:val="21"/>
          <w:highlight w:val="yellow"/>
          <w:shd w:val="clear" w:color="auto" w:fill="FFFFFF"/>
        </w:rPr>
        <w:t>soyad</w:t>
      </w:r>
      <w:proofErr w:type="spellEnd"/>
      <w:r w:rsidR="005D1E85" w:rsidRPr="00693DB3">
        <w:rPr>
          <w:rFonts w:ascii="Palatino Linotype" w:hAnsi="Palatino Linotype" w:cs="Times New Roman"/>
          <w:color w:val="010000"/>
          <w:sz w:val="21"/>
          <w:szCs w:val="21"/>
          <w:highlight w:val="yellow"/>
          <w:shd w:val="clear" w:color="auto" w:fill="FFFFFF"/>
        </w:rPr>
        <w:t>/İmza)</w:t>
      </w:r>
    </w:p>
    <w:p w14:paraId="4099EA83" w14:textId="7E0F2359" w:rsidR="006112FE" w:rsidRPr="00693DB3" w:rsidRDefault="006112FE" w:rsidP="006112FE">
      <w:pPr>
        <w:pStyle w:val="ListeParagraf"/>
        <w:tabs>
          <w:tab w:val="left" w:pos="3870"/>
        </w:tabs>
        <w:spacing w:line="360" w:lineRule="auto"/>
        <w:ind w:left="630" w:right="-378"/>
        <w:jc w:val="both"/>
        <w:rPr>
          <w:rFonts w:ascii="Palatino Linotype" w:hAnsi="Palatino Linotype" w:cs="Times New Roman"/>
          <w:color w:val="010000"/>
          <w:sz w:val="21"/>
          <w:szCs w:val="21"/>
          <w:shd w:val="clear" w:color="auto" w:fill="FFFFFF"/>
        </w:rPr>
      </w:pPr>
      <w:r w:rsidRPr="00693DB3">
        <w:rPr>
          <w:rFonts w:ascii="Palatino Linotype" w:hAnsi="Palatino Linotype" w:cs="Times New Roman"/>
          <w:color w:val="010000"/>
          <w:sz w:val="21"/>
          <w:szCs w:val="21"/>
          <w:shd w:val="clear" w:color="auto" w:fill="FFFFFF"/>
        </w:rPr>
        <w:tab/>
      </w:r>
    </w:p>
    <w:p w14:paraId="7F546AB3" w14:textId="77777777" w:rsidR="006112FE" w:rsidRPr="00693DB3" w:rsidRDefault="006112FE" w:rsidP="006112FE">
      <w:pPr>
        <w:pStyle w:val="ListeParagraf"/>
        <w:tabs>
          <w:tab w:val="left" w:pos="3870"/>
        </w:tabs>
        <w:spacing w:line="360" w:lineRule="auto"/>
        <w:ind w:left="630" w:right="-378"/>
        <w:jc w:val="both"/>
        <w:rPr>
          <w:rFonts w:ascii="Palatino Linotype" w:hAnsi="Palatino Linotype" w:cs="Times New Roman"/>
          <w:b/>
          <w:color w:val="010000"/>
          <w:sz w:val="21"/>
          <w:szCs w:val="21"/>
          <w:u w:val="thick"/>
          <w:shd w:val="clear" w:color="auto" w:fill="FFFFFF"/>
        </w:rPr>
      </w:pPr>
    </w:p>
    <w:p w14:paraId="72DC683B" w14:textId="77777777" w:rsidR="004063DF" w:rsidRPr="00693DB3" w:rsidRDefault="004063DF" w:rsidP="006112FE">
      <w:pPr>
        <w:pStyle w:val="ListeParagraf"/>
        <w:tabs>
          <w:tab w:val="left" w:pos="3870"/>
        </w:tabs>
        <w:spacing w:line="360" w:lineRule="auto"/>
        <w:ind w:left="630" w:right="-378"/>
        <w:jc w:val="both"/>
        <w:rPr>
          <w:rFonts w:ascii="Palatino Linotype" w:hAnsi="Palatino Linotype" w:cs="Times New Roman"/>
          <w:b/>
          <w:color w:val="010000"/>
          <w:sz w:val="21"/>
          <w:szCs w:val="21"/>
          <w:u w:val="thick"/>
          <w:shd w:val="clear" w:color="auto" w:fill="FFFFFF"/>
        </w:rPr>
      </w:pPr>
    </w:p>
    <w:p w14:paraId="46D5F4D9" w14:textId="41688CDC" w:rsidR="000B65FA" w:rsidRPr="00693DB3" w:rsidRDefault="004063DF" w:rsidP="006112FE">
      <w:pPr>
        <w:pStyle w:val="ListeParagraf"/>
        <w:tabs>
          <w:tab w:val="left" w:pos="3870"/>
        </w:tabs>
        <w:spacing w:line="360" w:lineRule="auto"/>
        <w:ind w:left="630" w:right="-378"/>
        <w:jc w:val="both"/>
        <w:rPr>
          <w:rFonts w:ascii="Palatino Linotype" w:hAnsi="Palatino Linotype" w:cs="Times New Roman"/>
          <w:bCs/>
          <w:color w:val="010000"/>
          <w:sz w:val="21"/>
          <w:szCs w:val="21"/>
          <w:shd w:val="clear" w:color="auto" w:fill="FFFFFF"/>
        </w:rPr>
      </w:pPr>
      <w:r w:rsidRPr="00693DB3">
        <w:rPr>
          <w:rFonts w:ascii="Palatino Linotype" w:hAnsi="Palatino Linotype" w:cs="Times New Roman"/>
          <w:b/>
          <w:color w:val="010000"/>
          <w:sz w:val="21"/>
          <w:szCs w:val="21"/>
          <w:u w:val="thick"/>
          <w:shd w:val="clear" w:color="auto" w:fill="FFFFFF"/>
        </w:rPr>
        <w:t>EK</w:t>
      </w:r>
      <w:r w:rsidR="000B65FA" w:rsidRPr="00693DB3">
        <w:rPr>
          <w:rFonts w:ascii="Palatino Linotype" w:hAnsi="Palatino Linotype" w:cs="Times New Roman"/>
          <w:b/>
          <w:color w:val="010000"/>
          <w:sz w:val="21"/>
          <w:szCs w:val="21"/>
          <w:u w:val="thick"/>
          <w:shd w:val="clear" w:color="auto" w:fill="FFFFFF"/>
        </w:rPr>
        <w:t>’LER</w:t>
      </w:r>
      <w:r w:rsidRPr="00693DB3">
        <w:rPr>
          <w:rFonts w:ascii="Palatino Linotype" w:hAnsi="Palatino Linotype" w:cs="Times New Roman"/>
          <w:b/>
          <w:color w:val="010000"/>
          <w:sz w:val="21"/>
          <w:szCs w:val="21"/>
          <w:u w:val="thick"/>
          <w:shd w:val="clear" w:color="auto" w:fill="FFFFFF"/>
        </w:rPr>
        <w:t>:</w:t>
      </w:r>
      <w:r w:rsidRPr="00693DB3">
        <w:rPr>
          <w:rFonts w:ascii="Palatino Linotype" w:hAnsi="Palatino Linotype" w:cs="Times New Roman"/>
          <w:bCs/>
          <w:color w:val="010000"/>
          <w:sz w:val="21"/>
          <w:szCs w:val="21"/>
          <w:shd w:val="clear" w:color="auto" w:fill="FFFFFF"/>
        </w:rPr>
        <w:t xml:space="preserve"> </w:t>
      </w:r>
    </w:p>
    <w:p w14:paraId="44BFC757" w14:textId="0DA2463C" w:rsidR="000B65FA" w:rsidRPr="00693DB3" w:rsidRDefault="000B65FA" w:rsidP="000B65FA">
      <w:pPr>
        <w:pStyle w:val="NormalWeb"/>
        <w:numPr>
          <w:ilvl w:val="0"/>
          <w:numId w:val="5"/>
        </w:numPr>
        <w:spacing w:before="0" w:beforeAutospacing="0" w:after="0" w:afterAutospacing="0"/>
        <w:ind w:left="360" w:firstLine="349"/>
        <w:jc w:val="both"/>
        <w:textAlignment w:val="baseline"/>
        <w:rPr>
          <w:rFonts w:ascii="Palatino Linotype" w:hAnsi="Palatino Linotype"/>
          <w:color w:val="000000"/>
          <w:sz w:val="21"/>
          <w:szCs w:val="21"/>
        </w:rPr>
      </w:pPr>
      <w:r w:rsidRPr="00693DB3">
        <w:rPr>
          <w:rFonts w:ascii="Palatino Linotype" w:hAnsi="Palatino Linotype"/>
          <w:color w:val="000000"/>
          <w:sz w:val="21"/>
          <w:szCs w:val="21"/>
        </w:rPr>
        <w:t>Nüfus Aile Kayıt Örneği, </w:t>
      </w:r>
    </w:p>
    <w:p w14:paraId="0C4F20F6" w14:textId="77777777" w:rsidR="000B65FA" w:rsidRPr="00693DB3" w:rsidRDefault="000B65FA" w:rsidP="000B65FA">
      <w:pPr>
        <w:pStyle w:val="NormalWeb"/>
        <w:numPr>
          <w:ilvl w:val="0"/>
          <w:numId w:val="5"/>
        </w:numPr>
        <w:spacing w:before="0" w:beforeAutospacing="0" w:after="0" w:afterAutospacing="0"/>
        <w:ind w:left="360" w:firstLine="349"/>
        <w:jc w:val="both"/>
        <w:textAlignment w:val="baseline"/>
        <w:rPr>
          <w:rFonts w:ascii="Palatino Linotype" w:hAnsi="Palatino Linotype"/>
          <w:color w:val="000000"/>
          <w:sz w:val="21"/>
          <w:szCs w:val="21"/>
        </w:rPr>
      </w:pPr>
      <w:r w:rsidRPr="00693DB3">
        <w:rPr>
          <w:rFonts w:ascii="Palatino Linotype" w:hAnsi="Palatino Linotype"/>
          <w:color w:val="000000"/>
          <w:sz w:val="21"/>
          <w:szCs w:val="21"/>
        </w:rPr>
        <w:t>T.C. Kimlik Fotokopisi,</w:t>
      </w:r>
    </w:p>
    <w:p w14:paraId="12B6CACB" w14:textId="77777777" w:rsidR="000B65FA" w:rsidRPr="00693DB3" w:rsidRDefault="000B65FA" w:rsidP="000B65FA">
      <w:pPr>
        <w:pStyle w:val="NormalWeb"/>
        <w:numPr>
          <w:ilvl w:val="0"/>
          <w:numId w:val="5"/>
        </w:numPr>
        <w:spacing w:before="0" w:beforeAutospacing="0" w:after="0" w:afterAutospacing="0"/>
        <w:ind w:left="360" w:firstLine="349"/>
        <w:jc w:val="both"/>
        <w:textAlignment w:val="baseline"/>
        <w:rPr>
          <w:rFonts w:ascii="Palatino Linotype" w:hAnsi="Palatino Linotype"/>
          <w:color w:val="000000"/>
          <w:sz w:val="21"/>
          <w:szCs w:val="21"/>
        </w:rPr>
      </w:pPr>
      <w:proofErr w:type="gramStart"/>
      <w:r w:rsidRPr="00693DB3">
        <w:rPr>
          <w:rFonts w:ascii="Palatino Linotype" w:hAnsi="Palatino Linotype"/>
          <w:color w:val="000000"/>
          <w:sz w:val="21"/>
          <w:szCs w:val="21"/>
        </w:rPr>
        <w:t>….</w:t>
      </w:r>
      <w:proofErr w:type="gramEnd"/>
      <w:r w:rsidRPr="00693DB3">
        <w:rPr>
          <w:rFonts w:ascii="Palatino Linotype" w:hAnsi="Palatino Linotype"/>
          <w:color w:val="000000"/>
          <w:sz w:val="21"/>
          <w:szCs w:val="21"/>
        </w:rPr>
        <w:t>Sulh Hukuk Mahkemesi’nin …tarih, … E., … K. sayılı vasi tayini kararı</w:t>
      </w:r>
    </w:p>
    <w:p w14:paraId="2E62A6A7" w14:textId="77777777" w:rsidR="00AA57F8" w:rsidRDefault="004063DF" w:rsidP="00AA57F8">
      <w:pPr>
        <w:pStyle w:val="NormalWeb"/>
        <w:numPr>
          <w:ilvl w:val="0"/>
          <w:numId w:val="5"/>
        </w:numPr>
        <w:spacing w:before="0" w:beforeAutospacing="0" w:after="0" w:afterAutospacing="0"/>
        <w:ind w:left="360" w:firstLine="349"/>
        <w:jc w:val="both"/>
        <w:textAlignment w:val="baseline"/>
        <w:rPr>
          <w:rFonts w:ascii="Palatino Linotype" w:hAnsi="Palatino Linotype"/>
          <w:color w:val="000000"/>
          <w:sz w:val="21"/>
          <w:szCs w:val="21"/>
        </w:rPr>
      </w:pPr>
      <w:r w:rsidRPr="00693DB3">
        <w:rPr>
          <w:rFonts w:ascii="Palatino Linotype" w:hAnsi="Palatino Linotype"/>
          <w:color w:val="010000"/>
          <w:sz w:val="21"/>
          <w:szCs w:val="21"/>
          <w:shd w:val="clear" w:color="auto" w:fill="FFFFFF"/>
        </w:rPr>
        <w:t>AİHM</w:t>
      </w:r>
      <w:r w:rsidR="004D331F">
        <w:rPr>
          <w:rFonts w:ascii="Palatino Linotype" w:hAnsi="Palatino Linotype"/>
          <w:color w:val="010000"/>
          <w:sz w:val="21"/>
          <w:szCs w:val="21"/>
          <w:shd w:val="clear" w:color="auto" w:fill="FFFFFF"/>
        </w:rPr>
        <w:t xml:space="preserve"> Büyük Daire’nin Yasak/Türkiye karar</w:t>
      </w:r>
      <w:r w:rsidR="00DD64B9">
        <w:rPr>
          <w:rFonts w:ascii="Palatino Linotype" w:hAnsi="Palatino Linotype"/>
          <w:color w:val="010000"/>
          <w:sz w:val="21"/>
          <w:szCs w:val="21"/>
          <w:shd w:val="clear" w:color="auto" w:fill="FFFFFF"/>
        </w:rPr>
        <w:t xml:space="preserve"> özeti</w:t>
      </w:r>
    </w:p>
    <w:p w14:paraId="02DD07C6" w14:textId="7503D080" w:rsidR="004063DF" w:rsidRPr="00AA57F8" w:rsidRDefault="004063DF" w:rsidP="00AA57F8">
      <w:pPr>
        <w:pStyle w:val="NormalWeb"/>
        <w:numPr>
          <w:ilvl w:val="0"/>
          <w:numId w:val="5"/>
        </w:numPr>
        <w:spacing w:before="0" w:beforeAutospacing="0" w:after="0" w:afterAutospacing="0"/>
        <w:ind w:left="1418" w:hanging="709"/>
        <w:jc w:val="both"/>
        <w:textAlignment w:val="baseline"/>
        <w:rPr>
          <w:rFonts w:ascii="Palatino Linotype" w:hAnsi="Palatino Linotype"/>
          <w:bCs/>
          <w:color w:val="000000"/>
          <w:sz w:val="21"/>
          <w:szCs w:val="21"/>
        </w:rPr>
      </w:pPr>
      <w:r w:rsidRPr="00AA57F8">
        <w:rPr>
          <w:rFonts w:ascii="Palatino Linotype" w:hAnsi="Palatino Linotype"/>
          <w:bCs/>
          <w:sz w:val="22"/>
        </w:rPr>
        <w:t xml:space="preserve">Prof. Dr. </w:t>
      </w:r>
      <w:proofErr w:type="gramStart"/>
      <w:r w:rsidRPr="00AA57F8">
        <w:rPr>
          <w:rFonts w:ascii="Palatino Linotype" w:hAnsi="Palatino Linotype"/>
          <w:bCs/>
          <w:sz w:val="22"/>
        </w:rPr>
        <w:t>Adem</w:t>
      </w:r>
      <w:proofErr w:type="gramEnd"/>
      <w:r w:rsidRPr="00AA57F8">
        <w:rPr>
          <w:rFonts w:ascii="Palatino Linotype" w:hAnsi="Palatino Linotype"/>
          <w:bCs/>
          <w:sz w:val="22"/>
        </w:rPr>
        <w:t xml:space="preserve"> SÖZÜER, Prof. Dr. İzzet ÖZGENÇ, Prof. Dr. Faruk TURHAN, Prof. Dr. Cumhur ŞAHİN ve Prof. Dr. Tolga ŞİRİN tarafından hazırlanan Hukukî Mütalaa</w:t>
      </w:r>
    </w:p>
    <w:p w14:paraId="4480B7F2" w14:textId="77777777" w:rsidR="000B65FA" w:rsidRPr="00693DB3" w:rsidRDefault="000B65FA" w:rsidP="000B65FA">
      <w:pPr>
        <w:pStyle w:val="NormalWeb"/>
        <w:spacing w:before="0" w:beforeAutospacing="0" w:after="0" w:afterAutospacing="0"/>
        <w:jc w:val="both"/>
        <w:textAlignment w:val="baseline"/>
        <w:rPr>
          <w:rFonts w:ascii="Palatino Linotype" w:hAnsi="Palatino Linotype"/>
          <w:color w:val="010000"/>
          <w:sz w:val="21"/>
          <w:szCs w:val="21"/>
          <w:shd w:val="clear" w:color="auto" w:fill="FFFFFF"/>
        </w:rPr>
      </w:pPr>
    </w:p>
    <w:p w14:paraId="33FFE953" w14:textId="03F872FD" w:rsidR="000B65FA" w:rsidRPr="00693DB3" w:rsidRDefault="000B65FA" w:rsidP="000B65FA">
      <w:pPr>
        <w:pStyle w:val="NormalWeb"/>
        <w:spacing w:before="0" w:beforeAutospacing="0" w:after="0" w:afterAutospacing="0"/>
        <w:ind w:firstLine="708"/>
        <w:jc w:val="both"/>
        <w:textAlignment w:val="baseline"/>
        <w:rPr>
          <w:rFonts w:ascii="Palatino Linotype" w:hAnsi="Palatino Linotype"/>
          <w:color w:val="010000"/>
          <w:sz w:val="21"/>
          <w:szCs w:val="21"/>
          <w:shd w:val="clear" w:color="auto" w:fill="FFFFFF"/>
        </w:rPr>
      </w:pPr>
      <w:r w:rsidRPr="00693DB3">
        <w:rPr>
          <w:rFonts w:ascii="Palatino Linotype" w:hAnsi="Palatino Linotype"/>
          <w:b/>
          <w:bCs/>
          <w:color w:val="010000"/>
          <w:sz w:val="21"/>
          <w:szCs w:val="21"/>
          <w:shd w:val="clear" w:color="auto" w:fill="FFFFFF"/>
        </w:rPr>
        <w:t>Dikkat:</w:t>
      </w:r>
      <w:r w:rsidRPr="00693DB3">
        <w:rPr>
          <w:rFonts w:ascii="Palatino Linotype" w:hAnsi="Palatino Linotype"/>
          <w:color w:val="010000"/>
          <w:sz w:val="21"/>
          <w:szCs w:val="21"/>
          <w:shd w:val="clear" w:color="auto" w:fill="FFFFFF"/>
        </w:rPr>
        <w:t xml:space="preserve"> </w:t>
      </w:r>
      <w:r w:rsidRPr="00693DB3">
        <w:rPr>
          <w:rFonts w:ascii="Palatino Linotype" w:hAnsi="Palatino Linotype"/>
          <w:color w:val="010000"/>
          <w:sz w:val="21"/>
          <w:szCs w:val="21"/>
          <w:highlight w:val="yellow"/>
          <w:shd w:val="clear" w:color="auto" w:fill="FFFFFF"/>
        </w:rPr>
        <w:t>Vasilerin 2 ve 3 numaralı, eşlerin de 1 ve 2 numaralı belgeleri eklemeleri, başvuru yapan herkesin 4 numaralı karar özetini de eklemesi gerekir.</w:t>
      </w:r>
    </w:p>
    <w:p w14:paraId="42B539CA" w14:textId="6D5FFD7E" w:rsidR="000B65FA" w:rsidRPr="00693DB3" w:rsidRDefault="000B65FA" w:rsidP="000B65FA">
      <w:pPr>
        <w:pStyle w:val="NormalWeb"/>
        <w:spacing w:before="0" w:beforeAutospacing="0" w:after="0" w:afterAutospacing="0"/>
        <w:ind w:left="708"/>
        <w:jc w:val="both"/>
        <w:textAlignment w:val="baseline"/>
        <w:rPr>
          <w:rFonts w:ascii="Palatino Linotype" w:hAnsi="Palatino Linotype"/>
          <w:color w:val="000000"/>
          <w:sz w:val="21"/>
          <w:szCs w:val="21"/>
        </w:rPr>
      </w:pPr>
    </w:p>
    <w:sectPr w:rsidR="000B65FA" w:rsidRPr="00693DB3" w:rsidSect="008D184C">
      <w:pgSz w:w="11906" w:h="16838"/>
      <w:pgMar w:top="1417" w:right="1417" w:bottom="1417" w:left="113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BC7CF3"/>
    <w:multiLevelType w:val="hybridMultilevel"/>
    <w:tmpl w:val="8F82178E"/>
    <w:lvl w:ilvl="0" w:tplc="2452A482">
      <w:start w:val="1"/>
      <w:numFmt w:val="decimal"/>
      <w:lvlText w:val="%1."/>
      <w:lvlJc w:val="left"/>
      <w:pPr>
        <w:ind w:left="990" w:hanging="360"/>
      </w:pPr>
      <w:rPr>
        <w:rFonts w:hint="default"/>
      </w:rPr>
    </w:lvl>
    <w:lvl w:ilvl="1" w:tplc="041F0019" w:tentative="1">
      <w:start w:val="1"/>
      <w:numFmt w:val="lowerLetter"/>
      <w:lvlText w:val="%2."/>
      <w:lvlJc w:val="left"/>
      <w:pPr>
        <w:ind w:left="1710" w:hanging="360"/>
      </w:pPr>
    </w:lvl>
    <w:lvl w:ilvl="2" w:tplc="041F001B" w:tentative="1">
      <w:start w:val="1"/>
      <w:numFmt w:val="lowerRoman"/>
      <w:lvlText w:val="%3."/>
      <w:lvlJc w:val="right"/>
      <w:pPr>
        <w:ind w:left="2430" w:hanging="180"/>
      </w:pPr>
    </w:lvl>
    <w:lvl w:ilvl="3" w:tplc="041F000F" w:tentative="1">
      <w:start w:val="1"/>
      <w:numFmt w:val="decimal"/>
      <w:lvlText w:val="%4."/>
      <w:lvlJc w:val="left"/>
      <w:pPr>
        <w:ind w:left="3150" w:hanging="360"/>
      </w:pPr>
    </w:lvl>
    <w:lvl w:ilvl="4" w:tplc="041F0019" w:tentative="1">
      <w:start w:val="1"/>
      <w:numFmt w:val="lowerLetter"/>
      <w:lvlText w:val="%5."/>
      <w:lvlJc w:val="left"/>
      <w:pPr>
        <w:ind w:left="3870" w:hanging="360"/>
      </w:pPr>
    </w:lvl>
    <w:lvl w:ilvl="5" w:tplc="041F001B" w:tentative="1">
      <w:start w:val="1"/>
      <w:numFmt w:val="lowerRoman"/>
      <w:lvlText w:val="%6."/>
      <w:lvlJc w:val="right"/>
      <w:pPr>
        <w:ind w:left="4590" w:hanging="180"/>
      </w:pPr>
    </w:lvl>
    <w:lvl w:ilvl="6" w:tplc="041F000F" w:tentative="1">
      <w:start w:val="1"/>
      <w:numFmt w:val="decimal"/>
      <w:lvlText w:val="%7."/>
      <w:lvlJc w:val="left"/>
      <w:pPr>
        <w:ind w:left="5310" w:hanging="360"/>
      </w:pPr>
    </w:lvl>
    <w:lvl w:ilvl="7" w:tplc="041F0019" w:tentative="1">
      <w:start w:val="1"/>
      <w:numFmt w:val="lowerLetter"/>
      <w:lvlText w:val="%8."/>
      <w:lvlJc w:val="left"/>
      <w:pPr>
        <w:ind w:left="6030" w:hanging="360"/>
      </w:pPr>
    </w:lvl>
    <w:lvl w:ilvl="8" w:tplc="041F001B" w:tentative="1">
      <w:start w:val="1"/>
      <w:numFmt w:val="lowerRoman"/>
      <w:lvlText w:val="%9."/>
      <w:lvlJc w:val="right"/>
      <w:pPr>
        <w:ind w:left="6750" w:hanging="180"/>
      </w:pPr>
    </w:lvl>
  </w:abstractNum>
  <w:abstractNum w:abstractNumId="1" w15:restartNumberingAfterBreak="0">
    <w:nsid w:val="137C25C3"/>
    <w:multiLevelType w:val="multilevel"/>
    <w:tmpl w:val="1BEA58E2"/>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DA9589C"/>
    <w:multiLevelType w:val="multilevel"/>
    <w:tmpl w:val="F87A1F0E"/>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24D6782"/>
    <w:multiLevelType w:val="hybridMultilevel"/>
    <w:tmpl w:val="D3BC9120"/>
    <w:lvl w:ilvl="0" w:tplc="EBA47760">
      <w:start w:val="1"/>
      <w:numFmt w:val="decimal"/>
      <w:lvlText w:val="%1."/>
      <w:lvlJc w:val="left"/>
      <w:pPr>
        <w:ind w:left="1320" w:hanging="360"/>
      </w:pPr>
      <w:rPr>
        <w:b/>
        <w:bCs w:val="0"/>
        <w:i w:val="0"/>
        <w:iCs/>
      </w:rPr>
    </w:lvl>
    <w:lvl w:ilvl="1" w:tplc="041F0019" w:tentative="1">
      <w:start w:val="1"/>
      <w:numFmt w:val="lowerLetter"/>
      <w:lvlText w:val="%2."/>
      <w:lvlJc w:val="left"/>
      <w:pPr>
        <w:ind w:left="2040" w:hanging="360"/>
      </w:pPr>
    </w:lvl>
    <w:lvl w:ilvl="2" w:tplc="041F001B" w:tentative="1">
      <w:start w:val="1"/>
      <w:numFmt w:val="lowerRoman"/>
      <w:lvlText w:val="%3."/>
      <w:lvlJc w:val="right"/>
      <w:pPr>
        <w:ind w:left="2760" w:hanging="180"/>
      </w:pPr>
    </w:lvl>
    <w:lvl w:ilvl="3" w:tplc="041F000F" w:tentative="1">
      <w:start w:val="1"/>
      <w:numFmt w:val="decimal"/>
      <w:lvlText w:val="%4."/>
      <w:lvlJc w:val="left"/>
      <w:pPr>
        <w:ind w:left="3480" w:hanging="360"/>
      </w:pPr>
    </w:lvl>
    <w:lvl w:ilvl="4" w:tplc="041F0019" w:tentative="1">
      <w:start w:val="1"/>
      <w:numFmt w:val="lowerLetter"/>
      <w:lvlText w:val="%5."/>
      <w:lvlJc w:val="left"/>
      <w:pPr>
        <w:ind w:left="4200" w:hanging="360"/>
      </w:pPr>
    </w:lvl>
    <w:lvl w:ilvl="5" w:tplc="041F001B" w:tentative="1">
      <w:start w:val="1"/>
      <w:numFmt w:val="lowerRoman"/>
      <w:lvlText w:val="%6."/>
      <w:lvlJc w:val="right"/>
      <w:pPr>
        <w:ind w:left="4920" w:hanging="180"/>
      </w:pPr>
    </w:lvl>
    <w:lvl w:ilvl="6" w:tplc="041F000F" w:tentative="1">
      <w:start w:val="1"/>
      <w:numFmt w:val="decimal"/>
      <w:lvlText w:val="%7."/>
      <w:lvlJc w:val="left"/>
      <w:pPr>
        <w:ind w:left="5640" w:hanging="360"/>
      </w:pPr>
    </w:lvl>
    <w:lvl w:ilvl="7" w:tplc="041F0019" w:tentative="1">
      <w:start w:val="1"/>
      <w:numFmt w:val="lowerLetter"/>
      <w:lvlText w:val="%8."/>
      <w:lvlJc w:val="left"/>
      <w:pPr>
        <w:ind w:left="6360" w:hanging="360"/>
      </w:pPr>
    </w:lvl>
    <w:lvl w:ilvl="8" w:tplc="041F001B" w:tentative="1">
      <w:start w:val="1"/>
      <w:numFmt w:val="lowerRoman"/>
      <w:lvlText w:val="%9."/>
      <w:lvlJc w:val="right"/>
      <w:pPr>
        <w:ind w:left="7080" w:hanging="180"/>
      </w:pPr>
    </w:lvl>
  </w:abstractNum>
  <w:abstractNum w:abstractNumId="4" w15:restartNumberingAfterBreak="0">
    <w:nsid w:val="591B1E3F"/>
    <w:multiLevelType w:val="hybridMultilevel"/>
    <w:tmpl w:val="D19CE7C8"/>
    <w:lvl w:ilvl="0" w:tplc="80C0D848">
      <w:start w:val="1"/>
      <w:numFmt w:val="decimal"/>
      <w:lvlText w:val="%1."/>
      <w:lvlJc w:val="left"/>
      <w:pPr>
        <w:ind w:left="720" w:hanging="360"/>
      </w:pPr>
      <w:rPr>
        <w:b/>
        <w:bCs/>
        <w:i w:val="0"/>
        <w:i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79F20649"/>
    <w:multiLevelType w:val="hybridMultilevel"/>
    <w:tmpl w:val="1F1CE538"/>
    <w:lvl w:ilvl="0" w:tplc="0409000D">
      <w:start w:val="1"/>
      <w:numFmt w:val="bullet"/>
      <w:lvlText w:val=""/>
      <w:lvlJc w:val="left"/>
      <w:pPr>
        <w:ind w:left="1320" w:hanging="360"/>
      </w:pPr>
      <w:rPr>
        <w:rFonts w:ascii="Wingdings" w:hAnsi="Wingdings" w:hint="default"/>
        <w:b/>
        <w:bCs w:val="0"/>
        <w:i w:val="0"/>
        <w:iCs/>
      </w:rPr>
    </w:lvl>
    <w:lvl w:ilvl="1" w:tplc="FFFFFFFF" w:tentative="1">
      <w:start w:val="1"/>
      <w:numFmt w:val="lowerLetter"/>
      <w:lvlText w:val="%2."/>
      <w:lvlJc w:val="left"/>
      <w:pPr>
        <w:ind w:left="2040" w:hanging="360"/>
      </w:pPr>
    </w:lvl>
    <w:lvl w:ilvl="2" w:tplc="FFFFFFFF" w:tentative="1">
      <w:start w:val="1"/>
      <w:numFmt w:val="lowerRoman"/>
      <w:lvlText w:val="%3."/>
      <w:lvlJc w:val="right"/>
      <w:pPr>
        <w:ind w:left="2760" w:hanging="180"/>
      </w:pPr>
    </w:lvl>
    <w:lvl w:ilvl="3" w:tplc="FFFFFFFF" w:tentative="1">
      <w:start w:val="1"/>
      <w:numFmt w:val="decimal"/>
      <w:lvlText w:val="%4."/>
      <w:lvlJc w:val="left"/>
      <w:pPr>
        <w:ind w:left="3480" w:hanging="360"/>
      </w:pPr>
    </w:lvl>
    <w:lvl w:ilvl="4" w:tplc="FFFFFFFF" w:tentative="1">
      <w:start w:val="1"/>
      <w:numFmt w:val="lowerLetter"/>
      <w:lvlText w:val="%5."/>
      <w:lvlJc w:val="left"/>
      <w:pPr>
        <w:ind w:left="4200" w:hanging="360"/>
      </w:pPr>
    </w:lvl>
    <w:lvl w:ilvl="5" w:tplc="FFFFFFFF" w:tentative="1">
      <w:start w:val="1"/>
      <w:numFmt w:val="lowerRoman"/>
      <w:lvlText w:val="%6."/>
      <w:lvlJc w:val="right"/>
      <w:pPr>
        <w:ind w:left="4920" w:hanging="180"/>
      </w:pPr>
    </w:lvl>
    <w:lvl w:ilvl="6" w:tplc="FFFFFFFF" w:tentative="1">
      <w:start w:val="1"/>
      <w:numFmt w:val="decimal"/>
      <w:lvlText w:val="%7."/>
      <w:lvlJc w:val="left"/>
      <w:pPr>
        <w:ind w:left="5640" w:hanging="360"/>
      </w:pPr>
    </w:lvl>
    <w:lvl w:ilvl="7" w:tplc="FFFFFFFF" w:tentative="1">
      <w:start w:val="1"/>
      <w:numFmt w:val="lowerLetter"/>
      <w:lvlText w:val="%8."/>
      <w:lvlJc w:val="left"/>
      <w:pPr>
        <w:ind w:left="6360" w:hanging="360"/>
      </w:pPr>
    </w:lvl>
    <w:lvl w:ilvl="8" w:tplc="FFFFFFFF" w:tentative="1">
      <w:start w:val="1"/>
      <w:numFmt w:val="lowerRoman"/>
      <w:lvlText w:val="%9."/>
      <w:lvlJc w:val="right"/>
      <w:pPr>
        <w:ind w:left="7080" w:hanging="180"/>
      </w:pPr>
    </w:lvl>
  </w:abstractNum>
  <w:num w:numId="1" w16cid:durableId="26836314">
    <w:abstractNumId w:val="4"/>
  </w:num>
  <w:num w:numId="2" w16cid:durableId="351878185">
    <w:abstractNumId w:val="3"/>
  </w:num>
  <w:num w:numId="3" w16cid:durableId="1557542335">
    <w:abstractNumId w:val="5"/>
  </w:num>
  <w:num w:numId="4" w16cid:durableId="201139419">
    <w:abstractNumId w:val="0"/>
  </w:num>
  <w:num w:numId="5" w16cid:durableId="413354384">
    <w:abstractNumId w:val="2"/>
  </w:num>
  <w:num w:numId="6" w16cid:durableId="3768551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4AFB"/>
    <w:rsid w:val="0000402A"/>
    <w:rsid w:val="00013B6E"/>
    <w:rsid w:val="00016C4D"/>
    <w:rsid w:val="00055D06"/>
    <w:rsid w:val="00060B5D"/>
    <w:rsid w:val="0006254E"/>
    <w:rsid w:val="000B65FA"/>
    <w:rsid w:val="000D0E5C"/>
    <w:rsid w:val="00103BDA"/>
    <w:rsid w:val="0014471D"/>
    <w:rsid w:val="00196279"/>
    <w:rsid w:val="00215C49"/>
    <w:rsid w:val="00225111"/>
    <w:rsid w:val="00261695"/>
    <w:rsid w:val="00265EA3"/>
    <w:rsid w:val="00291AC1"/>
    <w:rsid w:val="002C50F6"/>
    <w:rsid w:val="0037126F"/>
    <w:rsid w:val="003943FE"/>
    <w:rsid w:val="003A6719"/>
    <w:rsid w:val="003E17B1"/>
    <w:rsid w:val="003E353F"/>
    <w:rsid w:val="004063DF"/>
    <w:rsid w:val="0041095E"/>
    <w:rsid w:val="00454D63"/>
    <w:rsid w:val="0049707F"/>
    <w:rsid w:val="004A1B60"/>
    <w:rsid w:val="004D331F"/>
    <w:rsid w:val="004E10A2"/>
    <w:rsid w:val="0059049D"/>
    <w:rsid w:val="005B4E3A"/>
    <w:rsid w:val="005D1E85"/>
    <w:rsid w:val="006112FE"/>
    <w:rsid w:val="00693DB3"/>
    <w:rsid w:val="006B71ED"/>
    <w:rsid w:val="006D22DA"/>
    <w:rsid w:val="0070131E"/>
    <w:rsid w:val="007018E6"/>
    <w:rsid w:val="00720D6B"/>
    <w:rsid w:val="007228F7"/>
    <w:rsid w:val="00741EAE"/>
    <w:rsid w:val="00745D10"/>
    <w:rsid w:val="00762D0A"/>
    <w:rsid w:val="007A42D5"/>
    <w:rsid w:val="007C7CD2"/>
    <w:rsid w:val="0083363B"/>
    <w:rsid w:val="00854D9B"/>
    <w:rsid w:val="00865AE8"/>
    <w:rsid w:val="00875E34"/>
    <w:rsid w:val="008A5BF2"/>
    <w:rsid w:val="008B6FFF"/>
    <w:rsid w:val="008C15EA"/>
    <w:rsid w:val="008D184C"/>
    <w:rsid w:val="008D5592"/>
    <w:rsid w:val="00940007"/>
    <w:rsid w:val="009437AD"/>
    <w:rsid w:val="00960E79"/>
    <w:rsid w:val="0096567D"/>
    <w:rsid w:val="0099678B"/>
    <w:rsid w:val="009C3F9F"/>
    <w:rsid w:val="009F0893"/>
    <w:rsid w:val="00A024B5"/>
    <w:rsid w:val="00A03E39"/>
    <w:rsid w:val="00A155C9"/>
    <w:rsid w:val="00A32596"/>
    <w:rsid w:val="00A5622E"/>
    <w:rsid w:val="00AA57F8"/>
    <w:rsid w:val="00AB0224"/>
    <w:rsid w:val="00AC5724"/>
    <w:rsid w:val="00AE4031"/>
    <w:rsid w:val="00AE4292"/>
    <w:rsid w:val="00AE4F87"/>
    <w:rsid w:val="00AE78E5"/>
    <w:rsid w:val="00AE7E0B"/>
    <w:rsid w:val="00B1069F"/>
    <w:rsid w:val="00B64CC8"/>
    <w:rsid w:val="00B76022"/>
    <w:rsid w:val="00BA5188"/>
    <w:rsid w:val="00BE0158"/>
    <w:rsid w:val="00C112DC"/>
    <w:rsid w:val="00C61BA4"/>
    <w:rsid w:val="00C65CE9"/>
    <w:rsid w:val="00C70A1B"/>
    <w:rsid w:val="00C7633D"/>
    <w:rsid w:val="00CA18D9"/>
    <w:rsid w:val="00CC34E0"/>
    <w:rsid w:val="00CD76E1"/>
    <w:rsid w:val="00CE2F22"/>
    <w:rsid w:val="00D4338F"/>
    <w:rsid w:val="00D545E8"/>
    <w:rsid w:val="00D97B5F"/>
    <w:rsid w:val="00DA3607"/>
    <w:rsid w:val="00DB4AFB"/>
    <w:rsid w:val="00DB6220"/>
    <w:rsid w:val="00DD4EB8"/>
    <w:rsid w:val="00DD64B9"/>
    <w:rsid w:val="00E236ED"/>
    <w:rsid w:val="00E40DC4"/>
    <w:rsid w:val="00E62FD3"/>
    <w:rsid w:val="00E83C07"/>
    <w:rsid w:val="00EC7A30"/>
    <w:rsid w:val="00EF1192"/>
    <w:rsid w:val="00F3397C"/>
    <w:rsid w:val="00F82768"/>
    <w:rsid w:val="00F83122"/>
    <w:rsid w:val="00FD27E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3E03C"/>
  <w15:chartTrackingRefBased/>
  <w15:docId w15:val="{55FC308F-69AB-4101-B181-4995C0807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49707F"/>
    <w:rPr>
      <w:color w:val="0563C1" w:themeColor="hyperlink"/>
      <w:u w:val="single"/>
    </w:rPr>
  </w:style>
  <w:style w:type="paragraph" w:styleId="ListeParagraf">
    <w:name w:val="List Paragraph"/>
    <w:basedOn w:val="Normal"/>
    <w:uiPriority w:val="34"/>
    <w:qFormat/>
    <w:rsid w:val="00225111"/>
    <w:pPr>
      <w:ind w:left="720"/>
      <w:contextualSpacing/>
    </w:pPr>
  </w:style>
  <w:style w:type="paragraph" w:styleId="NormalWeb">
    <w:name w:val="Normal (Web)"/>
    <w:basedOn w:val="Normal"/>
    <w:uiPriority w:val="99"/>
    <w:unhideWhenUsed/>
    <w:rsid w:val="000B65FA"/>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apple-tab-span">
    <w:name w:val="apple-tab-span"/>
    <w:basedOn w:val="VarsaylanParagrafYazTipi"/>
    <w:rsid w:val="000B65FA"/>
  </w:style>
  <w:style w:type="character" w:customStyle="1" w:styleId="apple-converted-space">
    <w:name w:val="apple-converted-space"/>
    <w:basedOn w:val="VarsaylanParagrafYazTipi"/>
    <w:rsid w:val="00693D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9493527">
      <w:bodyDiv w:val="1"/>
      <w:marLeft w:val="0"/>
      <w:marRight w:val="0"/>
      <w:marTop w:val="0"/>
      <w:marBottom w:val="0"/>
      <w:divBdr>
        <w:top w:val="none" w:sz="0" w:space="0" w:color="auto"/>
        <w:left w:val="none" w:sz="0" w:space="0" w:color="auto"/>
        <w:bottom w:val="none" w:sz="0" w:space="0" w:color="auto"/>
        <w:right w:val="none" w:sz="0" w:space="0" w:color="auto"/>
      </w:divBdr>
    </w:div>
    <w:div w:id="1695613085">
      <w:bodyDiv w:val="1"/>
      <w:marLeft w:val="0"/>
      <w:marRight w:val="0"/>
      <w:marTop w:val="0"/>
      <w:marBottom w:val="0"/>
      <w:divBdr>
        <w:top w:val="none" w:sz="0" w:space="0" w:color="auto"/>
        <w:left w:val="none" w:sz="0" w:space="0" w:color="auto"/>
        <w:bottom w:val="none" w:sz="0" w:space="0" w:color="auto"/>
        <w:right w:val="none" w:sz="0" w:space="0" w:color="auto"/>
      </w:divBdr>
    </w:div>
    <w:div w:id="2115131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6400</Words>
  <Characters>36483</Characters>
  <Application>Microsoft Office Word</Application>
  <DocSecurity>0</DocSecurity>
  <Lines>304</Lines>
  <Paragraphs>85</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hesabı</dc:creator>
  <cp:keywords/>
  <dc:description/>
  <cp:lastModifiedBy>U Y</cp:lastModifiedBy>
  <cp:revision>3</cp:revision>
  <dcterms:created xsi:type="dcterms:W3CDTF">2026-08-07T23:22:00Z</dcterms:created>
  <dcterms:modified xsi:type="dcterms:W3CDTF">2026-08-08T20:05:00Z</dcterms:modified>
</cp:coreProperties>
</file>