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A8FD6A" w14:textId="77777777" w:rsidR="001135E0" w:rsidRPr="00E2565E" w:rsidRDefault="001135E0" w:rsidP="00412A09">
      <w:pPr>
        <w:spacing w:line="360" w:lineRule="auto"/>
        <w:ind w:right="-141"/>
        <w:jc w:val="center"/>
        <w:rPr>
          <w:rFonts w:ascii="Palatino Linotype" w:hAnsi="Palatino Linotype" w:cs="Times New Roman"/>
          <w:b/>
        </w:rPr>
      </w:pPr>
      <w:r>
        <w:rPr>
          <w:rFonts w:ascii="Palatino Linotype" w:hAnsi="Palatino Linotype" w:cs="Times New Roman"/>
          <w:b/>
        </w:rPr>
        <w:t>ANAYASA MAHKEMESİNE</w:t>
      </w:r>
    </w:p>
    <w:p w14:paraId="460E9F0E" w14:textId="77777777" w:rsidR="001135E0" w:rsidRPr="00E2565E" w:rsidRDefault="001135E0" w:rsidP="00412A09">
      <w:pPr>
        <w:spacing w:line="360" w:lineRule="auto"/>
        <w:ind w:right="-141"/>
        <w:jc w:val="center"/>
        <w:rPr>
          <w:rFonts w:ascii="Palatino Linotype" w:hAnsi="Palatino Linotype" w:cs="Times New Roman"/>
          <w:b/>
        </w:rPr>
      </w:pPr>
      <w:r w:rsidRPr="00E2565E">
        <w:rPr>
          <w:rFonts w:ascii="Palatino Linotype" w:hAnsi="Palatino Linotype" w:cs="Times New Roman"/>
          <w:b/>
        </w:rPr>
        <w:t xml:space="preserve">Gönderilmek </w:t>
      </w:r>
      <w:proofErr w:type="gramStart"/>
      <w:r w:rsidRPr="00E2565E">
        <w:rPr>
          <w:rFonts w:ascii="Palatino Linotype" w:hAnsi="Palatino Linotype" w:cs="Times New Roman"/>
          <w:b/>
        </w:rPr>
        <w:t>Üzere</w:t>
      </w:r>
      <w:proofErr w:type="gramEnd"/>
    </w:p>
    <w:p w14:paraId="39F8A3DE" w14:textId="77777777" w:rsidR="001135E0" w:rsidRDefault="001135E0" w:rsidP="00412A09">
      <w:pPr>
        <w:spacing w:line="360" w:lineRule="auto"/>
        <w:ind w:right="-141"/>
        <w:jc w:val="center"/>
        <w:rPr>
          <w:rFonts w:ascii="Palatino Linotype" w:hAnsi="Palatino Linotype" w:cs="Times New Roman"/>
          <w:b/>
        </w:rPr>
      </w:pPr>
      <w:r>
        <w:rPr>
          <w:rFonts w:ascii="Palatino Linotype" w:hAnsi="Palatino Linotype" w:cs="Times New Roman"/>
          <w:b/>
        </w:rPr>
        <w:t>….</w:t>
      </w:r>
      <w:r w:rsidRPr="00E2565E">
        <w:rPr>
          <w:rFonts w:ascii="Palatino Linotype" w:hAnsi="Palatino Linotype" w:cs="Times New Roman"/>
          <w:b/>
        </w:rPr>
        <w:t xml:space="preserve"> MAHKEMESİ</w:t>
      </w:r>
      <w:r>
        <w:rPr>
          <w:rFonts w:ascii="Palatino Linotype" w:hAnsi="Palatino Linotype" w:cs="Times New Roman"/>
          <w:b/>
        </w:rPr>
        <w:t>NE</w:t>
      </w:r>
    </w:p>
    <w:p w14:paraId="12B355F1" w14:textId="77777777" w:rsidR="001135E0" w:rsidRPr="008C078D" w:rsidRDefault="001135E0" w:rsidP="00412A09">
      <w:pPr>
        <w:spacing w:line="360" w:lineRule="auto"/>
        <w:ind w:right="-141"/>
        <w:jc w:val="center"/>
        <w:rPr>
          <w:rFonts w:ascii="Palatino Linotype" w:hAnsi="Palatino Linotype" w:cs="Times New Roman"/>
          <w:b/>
        </w:rPr>
      </w:pPr>
      <w:r>
        <w:rPr>
          <w:rFonts w:ascii="Palatino Linotype" w:hAnsi="Palatino Linotype" w:cs="Arial"/>
          <w:color w:val="040C28"/>
          <w:highlight w:val="yellow"/>
        </w:rPr>
        <w:t>(</w:t>
      </w:r>
      <w:r w:rsidRPr="008C078D">
        <w:rPr>
          <w:rFonts w:ascii="Palatino Linotype" w:hAnsi="Palatino Linotype" w:cs="Arial"/>
          <w:color w:val="040C28"/>
          <w:highlight w:val="yellow"/>
        </w:rPr>
        <w:t>Anayasa Mahkemesine doğrudan müracaat</w:t>
      </w:r>
      <w:r>
        <w:rPr>
          <w:rFonts w:ascii="Palatino Linotype" w:hAnsi="Palatino Linotype" w:cs="Arial"/>
          <w:color w:val="040C28"/>
          <w:highlight w:val="yellow"/>
        </w:rPr>
        <w:t xml:space="preserve"> ederek ya</w:t>
      </w:r>
      <w:r w:rsidRPr="008C078D">
        <w:rPr>
          <w:rFonts w:ascii="Palatino Linotype" w:hAnsi="Palatino Linotype" w:cs="Arial"/>
          <w:color w:val="040C28"/>
          <w:highlight w:val="yellow"/>
        </w:rPr>
        <w:t xml:space="preserve"> da mahkemeler veya yurt dışı temsilcilikler vasıtasıyla dilekçenizi gönderebilirsiniz)</w:t>
      </w:r>
    </w:p>
    <w:p w14:paraId="04F4AD4F" w14:textId="77777777" w:rsidR="001135E0" w:rsidRPr="00E2565E" w:rsidRDefault="001135E0" w:rsidP="00412A09">
      <w:pPr>
        <w:spacing w:line="360" w:lineRule="auto"/>
        <w:ind w:right="-141"/>
        <w:jc w:val="center"/>
        <w:rPr>
          <w:rFonts w:ascii="Palatino Linotype" w:hAnsi="Palatino Linotype" w:cs="Times New Roman"/>
          <w:b/>
        </w:rPr>
      </w:pPr>
    </w:p>
    <w:p w14:paraId="39A9705D" w14:textId="77777777" w:rsidR="001135E0" w:rsidRPr="00E2565E" w:rsidRDefault="001135E0" w:rsidP="00412A09">
      <w:pPr>
        <w:spacing w:line="360" w:lineRule="auto"/>
        <w:ind w:right="-141"/>
        <w:rPr>
          <w:rFonts w:ascii="Palatino Linotype" w:hAnsi="Palatino Linotype" w:cs="Times New Roman"/>
          <w:b/>
        </w:rPr>
      </w:pPr>
    </w:p>
    <w:p w14:paraId="34487042" w14:textId="77777777" w:rsidR="001135E0" w:rsidRPr="00E2565E" w:rsidRDefault="001135E0" w:rsidP="00412A09">
      <w:pPr>
        <w:spacing w:line="360" w:lineRule="auto"/>
        <w:ind w:right="-141"/>
        <w:rPr>
          <w:rFonts w:ascii="Palatino Linotype" w:hAnsi="Palatino Linotype" w:cs="Times New Roman"/>
          <w:b/>
        </w:rPr>
      </w:pPr>
    </w:p>
    <w:p w14:paraId="5A0770F6" w14:textId="77777777" w:rsidR="001135E0" w:rsidRPr="00E2565E" w:rsidRDefault="001135E0" w:rsidP="00412A09">
      <w:pPr>
        <w:spacing w:line="360" w:lineRule="auto"/>
        <w:ind w:right="-141"/>
        <w:rPr>
          <w:rFonts w:ascii="Palatino Linotype" w:hAnsi="Palatino Linotype" w:cs="Times New Roman"/>
          <w:bCs/>
        </w:rPr>
      </w:pPr>
      <w:r>
        <w:rPr>
          <w:rFonts w:ascii="Palatino Linotype" w:hAnsi="Palatino Linotype" w:cs="Times New Roman"/>
          <w:b/>
        </w:rPr>
        <w:t>BİREYSEL BAŞVURU</w:t>
      </w:r>
      <w:r w:rsidRPr="00E2565E">
        <w:rPr>
          <w:rFonts w:ascii="Palatino Linotype" w:hAnsi="Palatino Linotype" w:cs="Times New Roman"/>
          <w:b/>
        </w:rPr>
        <w:t xml:space="preserve"> NO</w:t>
      </w:r>
      <w:r w:rsidRPr="00E2565E">
        <w:rPr>
          <w:rFonts w:ascii="Palatino Linotype" w:hAnsi="Palatino Linotype" w:cs="Times New Roman"/>
          <w:b/>
        </w:rPr>
        <w:tab/>
        <w:t xml:space="preserve">          </w:t>
      </w:r>
      <w:proofErr w:type="gramStart"/>
      <w:r w:rsidRPr="00E2565E">
        <w:rPr>
          <w:rFonts w:ascii="Palatino Linotype" w:hAnsi="Palatino Linotype" w:cs="Times New Roman"/>
          <w:b/>
        </w:rPr>
        <w:t xml:space="preserve">  : </w:t>
      </w:r>
      <w:r w:rsidRPr="00E2565E">
        <w:rPr>
          <w:rFonts w:ascii="Palatino Linotype" w:hAnsi="Palatino Linotype" w:cs="Times New Roman"/>
          <w:bCs/>
          <w:highlight w:val="yellow"/>
        </w:rPr>
        <w:t>….</w:t>
      </w:r>
      <w:proofErr w:type="gramEnd"/>
      <w:r w:rsidRPr="00E2565E">
        <w:rPr>
          <w:rFonts w:ascii="Palatino Linotype" w:hAnsi="Palatino Linotype" w:cs="Times New Roman"/>
          <w:bCs/>
          <w:highlight w:val="yellow"/>
        </w:rPr>
        <w:t xml:space="preserve">/…. </w:t>
      </w:r>
      <w:r w:rsidRPr="00E2565E">
        <w:rPr>
          <w:rFonts w:ascii="Palatino Linotype" w:hAnsi="Palatino Linotype" w:cs="Times New Roman"/>
          <w:bCs/>
        </w:rPr>
        <w:t xml:space="preserve"> </w:t>
      </w:r>
    </w:p>
    <w:p w14:paraId="6A85772A" w14:textId="14EC7168" w:rsidR="001135E0" w:rsidRPr="00E2565E" w:rsidRDefault="001135E0" w:rsidP="00412A09">
      <w:pPr>
        <w:spacing w:line="360" w:lineRule="auto"/>
        <w:ind w:right="-141"/>
        <w:rPr>
          <w:rFonts w:ascii="Palatino Linotype" w:hAnsi="Palatino Linotype" w:cs="Times New Roman"/>
          <w:b/>
        </w:rPr>
      </w:pPr>
      <w:r>
        <w:rPr>
          <w:rFonts w:ascii="Palatino Linotype" w:hAnsi="Palatino Linotype" w:cs="Times New Roman"/>
          <w:b/>
        </w:rPr>
        <w:t>BAŞVURUDA BULUNAN</w:t>
      </w:r>
      <w:r w:rsidRPr="00E2565E">
        <w:rPr>
          <w:rFonts w:ascii="Palatino Linotype" w:hAnsi="Palatino Linotype" w:cs="Times New Roman"/>
          <w:b/>
        </w:rPr>
        <w:tab/>
        <w:t xml:space="preserve">            </w:t>
      </w:r>
      <w:proofErr w:type="gramStart"/>
      <w:r>
        <w:rPr>
          <w:rFonts w:ascii="Palatino Linotype" w:hAnsi="Palatino Linotype" w:cs="Times New Roman"/>
          <w:b/>
        </w:rPr>
        <w:tab/>
      </w:r>
      <w:r w:rsidRPr="00E2565E">
        <w:rPr>
          <w:rFonts w:ascii="Palatino Linotype" w:hAnsi="Palatino Linotype" w:cs="Times New Roman"/>
          <w:b/>
        </w:rPr>
        <w:t>:</w:t>
      </w:r>
      <w:r w:rsidRPr="001135E0">
        <w:rPr>
          <w:rFonts w:ascii="Palatino Linotype" w:hAnsi="Palatino Linotype" w:cs="Times New Roman"/>
          <w:bCs/>
          <w:highlight w:val="yellow"/>
        </w:rPr>
        <w:t>Başvurucu</w:t>
      </w:r>
      <w:proofErr w:type="gramEnd"/>
      <w:r w:rsidRPr="001135E0">
        <w:rPr>
          <w:rFonts w:ascii="Palatino Linotype" w:hAnsi="Palatino Linotype" w:cs="Times New Roman"/>
          <w:bCs/>
          <w:highlight w:val="yellow"/>
        </w:rPr>
        <w:t>/</w:t>
      </w:r>
      <w:r w:rsidRPr="007404C8">
        <w:rPr>
          <w:rFonts w:ascii="Palatino Linotype" w:hAnsi="Palatino Linotype" w:cs="Times New Roman"/>
          <w:bCs/>
          <w:highlight w:val="yellow"/>
        </w:rPr>
        <w:t>Vasisi</w:t>
      </w:r>
      <w:r w:rsidR="007404C8" w:rsidRPr="007404C8">
        <w:rPr>
          <w:rFonts w:ascii="Palatino Linotype" w:hAnsi="Palatino Linotype" w:cs="Times New Roman"/>
          <w:bCs/>
          <w:highlight w:val="yellow"/>
        </w:rPr>
        <w:t>/Avukatı</w:t>
      </w:r>
    </w:p>
    <w:p w14:paraId="1D397262" w14:textId="77777777" w:rsidR="001135E0" w:rsidRPr="00422752" w:rsidRDefault="001135E0" w:rsidP="00412A09">
      <w:pPr>
        <w:spacing w:line="360" w:lineRule="auto"/>
        <w:ind w:right="-141"/>
        <w:rPr>
          <w:rFonts w:ascii="Palatino Linotype" w:hAnsi="Palatino Linotype" w:cs="Times New Roman"/>
          <w:b/>
        </w:rPr>
      </w:pPr>
      <w:r w:rsidRPr="00E2565E">
        <w:rPr>
          <w:rFonts w:ascii="Palatino Linotype" w:hAnsi="Palatino Linotype" w:cs="Times New Roman"/>
          <w:b/>
        </w:rPr>
        <w:t>VEKİLİ</w:t>
      </w:r>
      <w:r w:rsidRPr="00E2565E">
        <w:rPr>
          <w:rFonts w:ascii="Palatino Linotype" w:hAnsi="Palatino Linotype" w:cs="Times New Roman"/>
          <w:b/>
        </w:rPr>
        <w:tab/>
      </w:r>
      <w:r w:rsidRPr="00E2565E">
        <w:rPr>
          <w:rFonts w:ascii="Palatino Linotype" w:hAnsi="Palatino Linotype" w:cs="Times New Roman"/>
          <w:b/>
        </w:rPr>
        <w:tab/>
        <w:t xml:space="preserve">            </w:t>
      </w:r>
      <w:r>
        <w:rPr>
          <w:rFonts w:ascii="Palatino Linotype" w:hAnsi="Palatino Linotype" w:cs="Times New Roman"/>
          <w:b/>
        </w:rPr>
        <w:tab/>
      </w:r>
      <w:r>
        <w:rPr>
          <w:rFonts w:ascii="Palatino Linotype" w:hAnsi="Palatino Linotype" w:cs="Times New Roman"/>
          <w:b/>
        </w:rPr>
        <w:tab/>
      </w:r>
      <w:r w:rsidRPr="00E2565E">
        <w:rPr>
          <w:rFonts w:ascii="Palatino Linotype" w:hAnsi="Palatino Linotype" w:cs="Times New Roman"/>
          <w:b/>
        </w:rPr>
        <w:t xml:space="preserve">: </w:t>
      </w:r>
      <w:r w:rsidRPr="00C47AC0">
        <w:rPr>
          <w:rFonts w:ascii="Palatino Linotype" w:hAnsi="Palatino Linotype" w:cs="Times New Roman"/>
          <w:b/>
        </w:rPr>
        <w:t xml:space="preserve">                                                    </w:t>
      </w:r>
    </w:p>
    <w:p w14:paraId="48D626BB" w14:textId="7167E76A" w:rsidR="00A03E39" w:rsidRPr="00C47AC0" w:rsidRDefault="001135E0" w:rsidP="00412A09">
      <w:pPr>
        <w:tabs>
          <w:tab w:val="left" w:pos="3780"/>
        </w:tabs>
        <w:spacing w:line="360" w:lineRule="auto"/>
        <w:ind w:left="3402" w:right="-141" w:hanging="3402"/>
        <w:jc w:val="both"/>
        <w:rPr>
          <w:rFonts w:ascii="Palatino Linotype" w:hAnsi="Palatino Linotype" w:cs="Times New Roman"/>
          <w:iCs/>
          <w:lang w:val="tr"/>
        </w:rPr>
      </w:pPr>
      <w:r w:rsidRPr="00422752">
        <w:rPr>
          <w:rFonts w:ascii="Palatino Linotype" w:hAnsi="Palatino Linotype" w:cs="Times New Roman"/>
          <w:b/>
        </w:rPr>
        <w:t>T</w:t>
      </w:r>
      <w:r>
        <w:rPr>
          <w:rFonts w:ascii="Palatino Linotype" w:hAnsi="Palatino Linotype" w:cs="Times New Roman"/>
          <w:b/>
        </w:rPr>
        <w:t>ALEP KONUSU</w:t>
      </w:r>
      <w:r w:rsidRPr="00422752">
        <w:rPr>
          <w:rFonts w:ascii="Palatino Linotype" w:hAnsi="Palatino Linotype" w:cs="Times New Roman"/>
          <w:b/>
        </w:rPr>
        <w:t xml:space="preserve">                           </w:t>
      </w:r>
      <w:r>
        <w:rPr>
          <w:rFonts w:ascii="Palatino Linotype" w:hAnsi="Palatino Linotype" w:cs="Times New Roman"/>
          <w:b/>
        </w:rPr>
        <w:t xml:space="preserve"> </w:t>
      </w:r>
      <w:proofErr w:type="gramStart"/>
      <w:r>
        <w:rPr>
          <w:rFonts w:ascii="Palatino Linotype" w:hAnsi="Palatino Linotype" w:cs="Times New Roman"/>
          <w:b/>
        </w:rPr>
        <w:t xml:space="preserve">  </w:t>
      </w:r>
      <w:r w:rsidRPr="00422752">
        <w:rPr>
          <w:rFonts w:ascii="Palatino Linotype" w:hAnsi="Palatino Linotype" w:cs="Times New Roman"/>
          <w:b/>
        </w:rPr>
        <w:t>:</w:t>
      </w:r>
      <w:r w:rsidR="00A03E39" w:rsidRPr="00D813F5">
        <w:rPr>
          <w:rFonts w:ascii="Palatino Linotype" w:hAnsi="Palatino Linotype" w:cs="Times New Roman"/>
          <w:b/>
          <w:bCs/>
          <w:iCs/>
          <w:lang w:val="tr"/>
        </w:rPr>
        <w:t>AİHM’in</w:t>
      </w:r>
      <w:proofErr w:type="gramEnd"/>
      <w:r w:rsidR="00A03E39" w:rsidRPr="00D813F5">
        <w:rPr>
          <w:rFonts w:ascii="Palatino Linotype" w:hAnsi="Palatino Linotype" w:cs="Times New Roman"/>
          <w:b/>
          <w:bCs/>
          <w:iCs/>
          <w:lang w:val="tr"/>
        </w:rPr>
        <w:t xml:space="preserve"> Y</w:t>
      </w:r>
      <w:r w:rsidR="007404C8" w:rsidRPr="00D813F5">
        <w:rPr>
          <w:rFonts w:ascii="Palatino Linotype" w:hAnsi="Palatino Linotype" w:cs="Times New Roman"/>
          <w:b/>
          <w:bCs/>
          <w:iCs/>
          <w:lang w:val="tr"/>
        </w:rPr>
        <w:t>asak</w:t>
      </w:r>
      <w:r w:rsidR="00A03E39" w:rsidRPr="00D813F5">
        <w:rPr>
          <w:rFonts w:ascii="Palatino Linotype" w:hAnsi="Palatino Linotype" w:cs="Times New Roman"/>
          <w:b/>
          <w:bCs/>
          <w:iCs/>
          <w:lang w:val="tr"/>
        </w:rPr>
        <w:t>/Türkiye</w:t>
      </w:r>
      <w:r w:rsidR="00A03E39" w:rsidRPr="00C47AC0">
        <w:rPr>
          <w:rFonts w:ascii="Palatino Linotype" w:hAnsi="Palatino Linotype" w:cs="Times New Roman"/>
          <w:iCs/>
          <w:lang w:val="tr"/>
        </w:rPr>
        <w:t xml:space="preserve"> </w:t>
      </w:r>
      <w:r w:rsidR="00681B83" w:rsidRPr="00C47AC0">
        <w:rPr>
          <w:rFonts w:ascii="Palatino Linotype" w:hAnsi="Palatino Linotype" w:cs="Times New Roman"/>
          <w:iCs/>
          <w:lang w:val="tr"/>
        </w:rPr>
        <w:t xml:space="preserve">kararına </w:t>
      </w:r>
      <w:proofErr w:type="gramStart"/>
      <w:r w:rsidR="00681B83" w:rsidRPr="00C47AC0">
        <w:rPr>
          <w:rFonts w:ascii="Palatino Linotype" w:hAnsi="Palatino Linotype" w:cs="Times New Roman"/>
          <w:iCs/>
          <w:lang w:val="tr"/>
        </w:rPr>
        <w:t>istinaden</w:t>
      </w:r>
      <w:r w:rsidR="00A03E39" w:rsidRPr="00C47AC0">
        <w:rPr>
          <w:rFonts w:ascii="Palatino Linotype" w:hAnsi="Palatino Linotype" w:cs="Times New Roman"/>
          <w:iCs/>
          <w:lang w:val="tr"/>
        </w:rPr>
        <w:t>,</w:t>
      </w:r>
      <w:r>
        <w:rPr>
          <w:rFonts w:ascii="Palatino Linotype" w:hAnsi="Palatino Linotype" w:cs="Times New Roman"/>
          <w:iCs/>
          <w:lang w:val="tr"/>
        </w:rPr>
        <w:t xml:space="preserve"> </w:t>
      </w:r>
      <w:r w:rsidR="00A03E39" w:rsidRPr="00C47AC0">
        <w:rPr>
          <w:rFonts w:ascii="Palatino Linotype" w:hAnsi="Palatino Linotype" w:cs="Times New Roman"/>
          <w:iCs/>
          <w:lang w:val="tr"/>
        </w:rPr>
        <w:t xml:space="preserve"> </w:t>
      </w:r>
      <w:r w:rsidRPr="001135E0">
        <w:rPr>
          <w:rFonts w:ascii="Palatino Linotype" w:hAnsi="Palatino Linotype" w:cs="Times New Roman"/>
          <w:iCs/>
          <w:lang w:val="tr"/>
        </w:rPr>
        <w:t>M</w:t>
      </w:r>
      <w:r w:rsidR="00A03E39" w:rsidRPr="001135E0">
        <w:rPr>
          <w:rFonts w:ascii="Palatino Linotype" w:hAnsi="Palatino Linotype" w:cs="Times New Roman"/>
          <w:iCs/>
          <w:lang w:val="tr"/>
        </w:rPr>
        <w:t>ahkemeniz</w:t>
      </w:r>
      <w:proofErr w:type="gramEnd"/>
      <w:r w:rsidR="007404C8">
        <w:rPr>
          <w:rFonts w:ascii="Palatino Linotype" w:hAnsi="Palatino Linotype" w:cs="Times New Roman"/>
          <w:iCs/>
          <w:lang w:val="tr"/>
        </w:rPr>
        <w:t xml:space="preserve"> </w:t>
      </w:r>
      <w:r w:rsidRPr="001135E0">
        <w:rPr>
          <w:rFonts w:ascii="Palatino Linotype" w:hAnsi="Palatino Linotype" w:cs="Times New Roman"/>
          <w:iCs/>
          <w:lang w:val="tr"/>
        </w:rPr>
        <w:t xml:space="preserve">önünde </w:t>
      </w:r>
      <w:r>
        <w:rPr>
          <w:rFonts w:ascii="Palatino Linotype" w:hAnsi="Palatino Linotype" w:cs="Times New Roman"/>
          <w:iCs/>
          <w:lang w:val="tr"/>
        </w:rPr>
        <w:t>derdest olan ve</w:t>
      </w:r>
      <w:r w:rsidRPr="001135E0">
        <w:rPr>
          <w:rFonts w:ascii="Palatino Linotype" w:hAnsi="Palatino Linotype" w:cs="Times New Roman"/>
          <w:iCs/>
          <w:lang w:val="tr"/>
        </w:rPr>
        <w:t xml:space="preserve"> </w:t>
      </w:r>
      <w:r w:rsidR="004E02D8" w:rsidRPr="001135E0">
        <w:rPr>
          <w:rFonts w:ascii="Palatino Linotype" w:hAnsi="Palatino Linotype" w:cs="Times New Roman"/>
          <w:iCs/>
          <w:lang w:val="tr"/>
        </w:rPr>
        <w:t>incele</w:t>
      </w:r>
      <w:r w:rsidRPr="001135E0">
        <w:rPr>
          <w:rFonts w:ascii="Palatino Linotype" w:hAnsi="Palatino Linotype" w:cs="Times New Roman"/>
          <w:iCs/>
          <w:lang w:val="tr"/>
        </w:rPr>
        <w:t xml:space="preserve">mesi devam eden </w:t>
      </w:r>
      <w:r w:rsidR="00282B5C">
        <w:rPr>
          <w:rFonts w:ascii="Palatino Linotype" w:hAnsi="Palatino Linotype" w:cs="Times New Roman"/>
          <w:iCs/>
          <w:lang w:val="tr"/>
        </w:rPr>
        <w:t xml:space="preserve">ve </w:t>
      </w:r>
      <w:r w:rsidRPr="001135E0">
        <w:rPr>
          <w:rFonts w:ascii="Palatino Linotype" w:hAnsi="Palatino Linotype" w:cs="Times New Roman"/>
          <w:iCs/>
          <w:lang w:val="tr"/>
        </w:rPr>
        <w:t>yukarıda numarası verilen</w:t>
      </w:r>
      <w:r w:rsidR="004E02D8" w:rsidRPr="001135E0">
        <w:rPr>
          <w:rFonts w:ascii="Palatino Linotype" w:hAnsi="Palatino Linotype" w:cs="Times New Roman"/>
          <w:iCs/>
          <w:lang w:val="tr"/>
        </w:rPr>
        <w:t xml:space="preserve"> bireysel başvuru</w:t>
      </w:r>
      <w:r w:rsidR="00987EF7" w:rsidRPr="001135E0">
        <w:rPr>
          <w:rFonts w:ascii="Palatino Linotype" w:hAnsi="Palatino Linotype" w:cs="Times New Roman"/>
          <w:iCs/>
          <w:lang w:val="tr"/>
        </w:rPr>
        <w:t>nun</w:t>
      </w:r>
      <w:r w:rsidR="00A03E39" w:rsidRPr="00C47AC0">
        <w:rPr>
          <w:rFonts w:ascii="Palatino Linotype" w:hAnsi="Palatino Linotype" w:cs="Times New Roman"/>
          <w:iCs/>
          <w:lang w:val="tr"/>
        </w:rPr>
        <w:t xml:space="preserve"> </w:t>
      </w:r>
      <w:r w:rsidR="00987EF7" w:rsidRPr="00C47AC0">
        <w:rPr>
          <w:rFonts w:ascii="Palatino Linotype" w:hAnsi="Palatino Linotype" w:cs="Times New Roman"/>
          <w:b/>
          <w:bCs/>
          <w:iCs/>
          <w:lang w:val="tr"/>
        </w:rPr>
        <w:t>Anayasa’nın 90. maddesi</w:t>
      </w:r>
      <w:r w:rsidR="00987EF7" w:rsidRPr="00C47AC0">
        <w:rPr>
          <w:rFonts w:ascii="Palatino Linotype" w:hAnsi="Palatino Linotype" w:cs="Times New Roman"/>
          <w:iCs/>
          <w:lang w:val="tr"/>
        </w:rPr>
        <w:t xml:space="preserve"> ve </w:t>
      </w:r>
      <w:r w:rsidR="00987EF7" w:rsidRPr="00C47AC0">
        <w:rPr>
          <w:rFonts w:ascii="Palatino Linotype" w:hAnsi="Palatino Linotype" w:cs="Times New Roman"/>
          <w:b/>
          <w:bCs/>
          <w:iCs/>
          <w:lang w:val="tr"/>
        </w:rPr>
        <w:t xml:space="preserve">AİHS’nin 46. maddesi </w:t>
      </w:r>
      <w:r w:rsidR="00987EF7" w:rsidRPr="00C47AC0">
        <w:rPr>
          <w:rFonts w:ascii="Palatino Linotype" w:hAnsi="Palatino Linotype" w:cs="Times New Roman"/>
          <w:iCs/>
          <w:lang w:val="tr"/>
        </w:rPr>
        <w:t xml:space="preserve">dikkate </w:t>
      </w:r>
      <w:r w:rsidR="00987EF7" w:rsidRPr="001135E0">
        <w:rPr>
          <w:rFonts w:ascii="Palatino Linotype" w:hAnsi="Palatino Linotype" w:cs="Times New Roman"/>
          <w:iCs/>
          <w:lang w:val="tr"/>
        </w:rPr>
        <w:t>alınarak</w:t>
      </w:r>
      <w:r w:rsidRPr="001135E0">
        <w:rPr>
          <w:rFonts w:ascii="Palatino Linotype" w:hAnsi="Palatino Linotype" w:cs="Times New Roman"/>
          <w:iCs/>
          <w:lang w:val="tr"/>
        </w:rPr>
        <w:t xml:space="preserve"> </w:t>
      </w:r>
      <w:r w:rsidR="009815B6" w:rsidRPr="001135E0">
        <w:rPr>
          <w:rFonts w:ascii="Palatino Linotype" w:hAnsi="Palatino Linotype" w:cs="Times New Roman"/>
          <w:iCs/>
          <w:lang w:val="tr"/>
        </w:rPr>
        <w:t>temel hak ihlali tespiti yapılarak yeniden yargılama yapılmak üzere ilgili mahkeme</w:t>
      </w:r>
      <w:r w:rsidR="009C6702" w:rsidRPr="001135E0">
        <w:rPr>
          <w:rFonts w:ascii="Palatino Linotype" w:hAnsi="Palatino Linotype" w:cs="Times New Roman"/>
          <w:iCs/>
          <w:lang w:val="tr"/>
        </w:rPr>
        <w:t>ye</w:t>
      </w:r>
      <w:r w:rsidR="009815B6" w:rsidRPr="001135E0">
        <w:rPr>
          <w:rFonts w:ascii="Palatino Linotype" w:hAnsi="Palatino Linotype" w:cs="Times New Roman"/>
          <w:iCs/>
          <w:lang w:val="tr"/>
        </w:rPr>
        <w:t xml:space="preserve"> gönderilmesine</w:t>
      </w:r>
      <w:r w:rsidR="009815B6" w:rsidRPr="00C47AC0">
        <w:rPr>
          <w:rFonts w:ascii="Palatino Linotype" w:hAnsi="Palatino Linotype" w:cs="Times New Roman"/>
          <w:iCs/>
          <w:lang w:val="tr"/>
        </w:rPr>
        <w:t xml:space="preserve"> </w:t>
      </w:r>
      <w:r w:rsidR="00A03E39" w:rsidRPr="00C47AC0">
        <w:rPr>
          <w:rFonts w:ascii="Palatino Linotype" w:hAnsi="Palatino Linotype" w:cs="Times New Roman"/>
          <w:iCs/>
          <w:lang w:val="tr"/>
        </w:rPr>
        <w:t xml:space="preserve">karar verilmesi ve </w:t>
      </w:r>
      <w:r w:rsidR="009815B6" w:rsidRPr="00C47AC0">
        <w:rPr>
          <w:rFonts w:ascii="Palatino Linotype" w:hAnsi="Palatino Linotype" w:cs="Times New Roman"/>
          <w:iCs/>
          <w:highlight w:val="yellow"/>
          <w:lang w:val="tr"/>
        </w:rPr>
        <w:t>tutukluluğu</w:t>
      </w:r>
      <w:r>
        <w:rPr>
          <w:rFonts w:ascii="Palatino Linotype" w:hAnsi="Palatino Linotype" w:cs="Times New Roman"/>
          <w:iCs/>
          <w:highlight w:val="yellow"/>
          <w:lang w:val="tr"/>
        </w:rPr>
        <w:t>n</w:t>
      </w:r>
      <w:r w:rsidR="009815B6" w:rsidRPr="00C47AC0">
        <w:rPr>
          <w:rFonts w:ascii="Palatino Linotype" w:hAnsi="Palatino Linotype" w:cs="Times New Roman"/>
          <w:iCs/>
          <w:highlight w:val="yellow"/>
          <w:lang w:val="tr"/>
        </w:rPr>
        <w:t>/</w:t>
      </w:r>
      <w:r w:rsidR="00A03E39" w:rsidRPr="00C47AC0">
        <w:rPr>
          <w:rFonts w:ascii="Palatino Linotype" w:hAnsi="Palatino Linotype" w:cs="Times New Roman"/>
          <w:iCs/>
          <w:highlight w:val="yellow"/>
          <w:lang w:val="tr"/>
        </w:rPr>
        <w:t>infazı</w:t>
      </w:r>
      <w:r>
        <w:rPr>
          <w:rFonts w:ascii="Palatino Linotype" w:hAnsi="Palatino Linotype" w:cs="Times New Roman"/>
          <w:iCs/>
          <w:highlight w:val="yellow"/>
          <w:lang w:val="tr"/>
        </w:rPr>
        <w:t>n</w:t>
      </w:r>
      <w:r w:rsidR="006C1FA0" w:rsidRPr="006C1FA0">
        <w:rPr>
          <w:rFonts w:ascii="Palatino Linotype" w:hAnsi="Palatino Linotype" w:cs="Times New Roman"/>
          <w:iCs/>
          <w:highlight w:val="yellow"/>
          <w:lang w:val="tr"/>
        </w:rPr>
        <w:t xml:space="preserve"> </w:t>
      </w:r>
      <w:r w:rsidR="00A03E39" w:rsidRPr="00C47AC0">
        <w:rPr>
          <w:rFonts w:ascii="Palatino Linotype" w:hAnsi="Palatino Linotype" w:cs="Times New Roman"/>
          <w:iCs/>
          <w:lang w:val="tr"/>
        </w:rPr>
        <w:t>tedbiren durdurulması istemine ilişkindir.</w:t>
      </w:r>
    </w:p>
    <w:p w14:paraId="35655344" w14:textId="71E63296" w:rsidR="007404C8" w:rsidRPr="00D813F5" w:rsidRDefault="00412A09" w:rsidP="00D813F5">
      <w:pPr>
        <w:tabs>
          <w:tab w:val="left" w:pos="3870"/>
        </w:tabs>
        <w:spacing w:line="360" w:lineRule="auto"/>
        <w:ind w:left="3402" w:right="-141" w:hanging="3960"/>
        <w:jc w:val="both"/>
        <w:rPr>
          <w:rFonts w:ascii="Palatino Linotype" w:hAnsi="Palatino Linotype" w:cs="Times New Roman"/>
          <w:b/>
          <w:u w:val="thick"/>
        </w:rPr>
      </w:pPr>
      <w:r>
        <w:rPr>
          <w:rFonts w:ascii="Palatino Linotype" w:hAnsi="Palatino Linotype" w:cs="Times New Roman"/>
          <w:b/>
        </w:rPr>
        <w:t xml:space="preserve">         </w:t>
      </w:r>
      <w:r w:rsidR="00282B5C" w:rsidRPr="00282B5C">
        <w:rPr>
          <w:rFonts w:ascii="Palatino Linotype" w:hAnsi="Palatino Linotype" w:cs="Times New Roman"/>
          <w:b/>
        </w:rPr>
        <w:t xml:space="preserve">HUKUKİ </w:t>
      </w:r>
      <w:proofErr w:type="gramStart"/>
      <w:r w:rsidR="00282B5C" w:rsidRPr="00282B5C">
        <w:rPr>
          <w:rFonts w:ascii="Palatino Linotype" w:hAnsi="Palatino Linotype" w:cs="Times New Roman"/>
          <w:b/>
        </w:rPr>
        <w:t>DAYANAK</w:t>
      </w:r>
      <w:r w:rsidR="007404C8">
        <w:rPr>
          <w:rFonts w:ascii="Palatino Linotype" w:hAnsi="Palatino Linotype" w:cs="Times New Roman"/>
          <w:b/>
        </w:rPr>
        <w:t xml:space="preserve">.   </w:t>
      </w:r>
      <w:proofErr w:type="gramEnd"/>
      <w:r w:rsidR="007404C8">
        <w:rPr>
          <w:rFonts w:ascii="Palatino Linotype" w:hAnsi="Palatino Linotype" w:cs="Times New Roman"/>
          <w:b/>
        </w:rPr>
        <w:t xml:space="preserve">              </w:t>
      </w:r>
      <w:proofErr w:type="gramStart"/>
      <w:r w:rsidR="007404C8">
        <w:rPr>
          <w:rFonts w:ascii="Palatino Linotype" w:hAnsi="Palatino Linotype" w:cs="Times New Roman"/>
          <w:b/>
        </w:rPr>
        <w:tab/>
      </w:r>
      <w:r w:rsidR="00D97B5F" w:rsidRPr="00282B5C">
        <w:rPr>
          <w:rFonts w:ascii="Palatino Linotype" w:hAnsi="Palatino Linotype" w:cs="Times New Roman"/>
          <w:b/>
        </w:rPr>
        <w:t>:</w:t>
      </w:r>
      <w:r w:rsidR="00D97B5F" w:rsidRPr="00C47AC0">
        <w:rPr>
          <w:rFonts w:ascii="Palatino Linotype" w:hAnsi="Palatino Linotype" w:cs="Times New Roman"/>
          <w:bCs/>
        </w:rPr>
        <w:t xml:space="preserve"> </w:t>
      </w:r>
      <w:r w:rsidR="009815B6" w:rsidRPr="00C47AC0">
        <w:rPr>
          <w:rFonts w:ascii="Palatino Linotype" w:hAnsi="Palatino Linotype" w:cs="Times New Roman"/>
          <w:bCs/>
        </w:rPr>
        <w:t xml:space="preserve"> </w:t>
      </w:r>
      <w:r w:rsidR="00926DF6" w:rsidRPr="00C47AC0">
        <w:rPr>
          <w:rFonts w:ascii="Palatino Linotype" w:hAnsi="Palatino Linotype" w:cs="Times New Roman"/>
          <w:bCs/>
        </w:rPr>
        <w:t xml:space="preserve"> </w:t>
      </w:r>
      <w:proofErr w:type="gramEnd"/>
      <w:r w:rsidR="00282B5C" w:rsidRPr="00E2565E">
        <w:rPr>
          <w:rFonts w:ascii="Palatino Linotype" w:hAnsi="Palatino Linotype" w:cs="Times New Roman"/>
          <w:bCs/>
        </w:rPr>
        <w:t>Anayasa’nın 33, 34, 36, 38, 51, 90, 138. ve 153. Maddeleri</w:t>
      </w:r>
      <w:r w:rsidR="00282B5C">
        <w:rPr>
          <w:rFonts w:ascii="Palatino Linotype" w:hAnsi="Palatino Linotype" w:cs="Times New Roman"/>
          <w:bCs/>
        </w:rPr>
        <w:t xml:space="preserve"> </w:t>
      </w:r>
      <w:r w:rsidR="00282B5C" w:rsidRPr="00E2565E">
        <w:rPr>
          <w:rFonts w:ascii="Palatino Linotype" w:hAnsi="Palatino Linotype" w:cs="Times New Roman"/>
          <w:bCs/>
        </w:rPr>
        <w:t xml:space="preserve">AİHS’nin 6, 7, 11. ve 46. </w:t>
      </w:r>
      <w:proofErr w:type="gramStart"/>
      <w:r w:rsidR="00282B5C" w:rsidRPr="00E2565E">
        <w:rPr>
          <w:rFonts w:ascii="Palatino Linotype" w:hAnsi="Palatino Linotype" w:cs="Times New Roman"/>
          <w:bCs/>
        </w:rPr>
        <w:t>maddeleri,  6216</w:t>
      </w:r>
      <w:proofErr w:type="gramEnd"/>
      <w:r w:rsidR="00282B5C" w:rsidRPr="00E2565E">
        <w:rPr>
          <w:rFonts w:ascii="Palatino Linotype" w:hAnsi="Palatino Linotype" w:cs="Times New Roman"/>
          <w:bCs/>
        </w:rPr>
        <w:t xml:space="preserve"> sayılı Kanunun 50. maddesi, </w:t>
      </w:r>
    </w:p>
    <w:p w14:paraId="65BBC1ED" w14:textId="5F96C7F8" w:rsidR="00261695" w:rsidRPr="00C47AC0" w:rsidRDefault="00261695" w:rsidP="00412A09">
      <w:pPr>
        <w:tabs>
          <w:tab w:val="left" w:pos="3870"/>
        </w:tabs>
        <w:spacing w:line="360" w:lineRule="auto"/>
        <w:ind w:right="-141"/>
        <w:jc w:val="center"/>
        <w:rPr>
          <w:rFonts w:ascii="Palatino Linotype" w:hAnsi="Palatino Linotype" w:cs="Times New Roman"/>
          <w:b/>
        </w:rPr>
      </w:pPr>
      <w:r w:rsidRPr="00C47AC0">
        <w:rPr>
          <w:rFonts w:ascii="Palatino Linotype" w:hAnsi="Palatino Linotype" w:cs="Times New Roman"/>
          <w:b/>
        </w:rPr>
        <w:t>AÇIKLAMALAR</w:t>
      </w:r>
    </w:p>
    <w:p w14:paraId="2A9EB87F" w14:textId="3D5802B1" w:rsidR="00261695" w:rsidRPr="00C47AC0" w:rsidRDefault="00261695" w:rsidP="00412A09">
      <w:pPr>
        <w:tabs>
          <w:tab w:val="left" w:pos="3870"/>
        </w:tabs>
        <w:spacing w:line="360" w:lineRule="auto"/>
        <w:ind w:right="-141"/>
        <w:jc w:val="both"/>
        <w:rPr>
          <w:rFonts w:ascii="Palatino Linotype" w:hAnsi="Palatino Linotype" w:cs="Times New Roman"/>
          <w:b/>
        </w:rPr>
      </w:pPr>
      <w:r w:rsidRPr="00C47AC0">
        <w:rPr>
          <w:rFonts w:ascii="Palatino Linotype" w:hAnsi="Palatino Linotype" w:cs="Times New Roman"/>
          <w:b/>
        </w:rPr>
        <w:t xml:space="preserve">I. </w:t>
      </w:r>
      <w:r w:rsidR="009C6702" w:rsidRPr="006C1FA0">
        <w:rPr>
          <w:rFonts w:ascii="Palatino Linotype" w:hAnsi="Palatino Linotype" w:cs="Times New Roman"/>
          <w:b/>
          <w:highlight w:val="yellow"/>
        </w:rPr>
        <w:t>Hakkımdaki</w:t>
      </w:r>
      <w:r w:rsidR="006C1FA0" w:rsidRPr="006C1FA0">
        <w:rPr>
          <w:rFonts w:ascii="Palatino Linotype" w:hAnsi="Palatino Linotype" w:cs="Times New Roman"/>
          <w:b/>
          <w:highlight w:val="yellow"/>
        </w:rPr>
        <w:t>/</w:t>
      </w:r>
      <w:r w:rsidR="00282B5C">
        <w:rPr>
          <w:rFonts w:ascii="Palatino Linotype" w:hAnsi="Palatino Linotype" w:cs="Times New Roman"/>
          <w:b/>
          <w:highlight w:val="yellow"/>
        </w:rPr>
        <w:t>Vasisi Olduğum ….</w:t>
      </w:r>
      <w:r w:rsidR="006C1FA0" w:rsidRPr="006C1FA0">
        <w:rPr>
          <w:rFonts w:ascii="Palatino Linotype" w:hAnsi="Palatino Linotype" w:cs="Times New Roman"/>
          <w:b/>
          <w:highlight w:val="yellow"/>
        </w:rPr>
        <w:t xml:space="preserve"> Hakkındaki</w:t>
      </w:r>
      <w:r w:rsidR="00865AE8" w:rsidRPr="00C47AC0">
        <w:rPr>
          <w:rFonts w:ascii="Palatino Linotype" w:hAnsi="Palatino Linotype" w:cs="Times New Roman"/>
          <w:b/>
        </w:rPr>
        <w:t xml:space="preserve"> </w:t>
      </w:r>
      <w:r w:rsidR="00161044" w:rsidRPr="00282B5C">
        <w:rPr>
          <w:rFonts w:ascii="Palatino Linotype" w:hAnsi="Palatino Linotype" w:cs="Times New Roman"/>
          <w:b/>
        </w:rPr>
        <w:t>İhlal Başvuru</w:t>
      </w:r>
      <w:r w:rsidRPr="00282B5C">
        <w:rPr>
          <w:rFonts w:ascii="Palatino Linotype" w:hAnsi="Palatino Linotype" w:cs="Times New Roman"/>
          <w:b/>
          <w:i/>
          <w:iCs/>
        </w:rPr>
        <w:t xml:space="preserve"> </w:t>
      </w:r>
      <w:r w:rsidRPr="00282B5C">
        <w:rPr>
          <w:rFonts w:ascii="Palatino Linotype" w:hAnsi="Palatino Linotype" w:cs="Times New Roman"/>
          <w:b/>
        </w:rPr>
        <w:t>Gerekçe</w:t>
      </w:r>
      <w:r w:rsidR="0070131E" w:rsidRPr="00282B5C">
        <w:rPr>
          <w:rFonts w:ascii="Palatino Linotype" w:hAnsi="Palatino Linotype" w:cs="Times New Roman"/>
          <w:b/>
        </w:rPr>
        <w:t>si</w:t>
      </w:r>
    </w:p>
    <w:p w14:paraId="1AAFF770" w14:textId="4B29494D" w:rsidR="00261695" w:rsidRPr="00282B5C" w:rsidRDefault="00282B5C" w:rsidP="00412A09">
      <w:pPr>
        <w:pStyle w:val="ListeParagraf"/>
        <w:numPr>
          <w:ilvl w:val="0"/>
          <w:numId w:val="2"/>
        </w:numPr>
        <w:tabs>
          <w:tab w:val="left" w:pos="3870"/>
        </w:tabs>
        <w:spacing w:line="360" w:lineRule="auto"/>
        <w:ind w:left="630" w:right="-141"/>
        <w:jc w:val="both"/>
        <w:rPr>
          <w:rFonts w:ascii="Palatino Linotype" w:hAnsi="Palatino Linotype" w:cs="Times New Roman"/>
          <w:bCs/>
          <w:highlight w:val="green"/>
        </w:rPr>
      </w:pPr>
      <w:r>
        <w:rPr>
          <w:rFonts w:ascii="Palatino Linotype" w:hAnsi="Palatino Linotype" w:cs="Times New Roman"/>
          <w:bCs/>
          <w:highlight w:val="yellow"/>
        </w:rPr>
        <w:t xml:space="preserve">…. Ağır Ceza </w:t>
      </w:r>
      <w:r w:rsidR="00261695" w:rsidRPr="00C47AC0">
        <w:rPr>
          <w:rFonts w:ascii="Palatino Linotype" w:hAnsi="Palatino Linotype" w:cs="Times New Roman"/>
          <w:bCs/>
          <w:highlight w:val="yellow"/>
        </w:rPr>
        <w:t>Mahkeme</w:t>
      </w:r>
      <w:r>
        <w:rPr>
          <w:rFonts w:ascii="Palatino Linotype" w:hAnsi="Palatino Linotype" w:cs="Times New Roman"/>
          <w:bCs/>
          <w:highlight w:val="yellow"/>
        </w:rPr>
        <w:t>si</w:t>
      </w:r>
      <w:proofErr w:type="gramStart"/>
      <w:r w:rsidR="00261695" w:rsidRPr="00C47AC0">
        <w:rPr>
          <w:rFonts w:ascii="Palatino Linotype" w:hAnsi="Palatino Linotype" w:cs="Times New Roman"/>
          <w:bCs/>
        </w:rPr>
        <w:t xml:space="preserve"> ….</w:t>
      </w:r>
      <w:proofErr w:type="gramEnd"/>
      <w:r w:rsidR="00261695" w:rsidRPr="00C47AC0">
        <w:rPr>
          <w:rFonts w:ascii="Palatino Linotype" w:hAnsi="Palatino Linotype" w:cs="Times New Roman"/>
          <w:bCs/>
        </w:rPr>
        <w:t xml:space="preserve">E., …. </w:t>
      </w:r>
      <w:proofErr w:type="gramStart"/>
      <w:r w:rsidR="00261695" w:rsidRPr="00C47AC0">
        <w:rPr>
          <w:rFonts w:ascii="Palatino Linotype" w:hAnsi="Palatino Linotype" w:cs="Times New Roman"/>
          <w:bCs/>
        </w:rPr>
        <w:t>sayılı</w:t>
      </w:r>
      <w:proofErr w:type="gramEnd"/>
      <w:r w:rsidR="00261695" w:rsidRPr="00C47AC0">
        <w:rPr>
          <w:rFonts w:ascii="Palatino Linotype" w:hAnsi="Palatino Linotype" w:cs="Times New Roman"/>
          <w:bCs/>
        </w:rPr>
        <w:t xml:space="preserve"> Kararı ile </w:t>
      </w:r>
      <w:proofErr w:type="gramStart"/>
      <w:r w:rsidR="00261695" w:rsidRPr="00C47AC0">
        <w:rPr>
          <w:rFonts w:ascii="Palatino Linotype" w:hAnsi="Palatino Linotype" w:cs="Times New Roman"/>
          <w:bCs/>
        </w:rPr>
        <w:t>…</w:t>
      </w:r>
      <w:r w:rsidR="00E40DC4" w:rsidRPr="00C47AC0">
        <w:rPr>
          <w:rFonts w:ascii="Palatino Linotype" w:hAnsi="Palatino Linotype" w:cs="Times New Roman"/>
          <w:bCs/>
        </w:rPr>
        <w:t>….</w:t>
      </w:r>
      <w:proofErr w:type="gramEnd"/>
      <w:r w:rsidR="00261695" w:rsidRPr="00C47AC0">
        <w:rPr>
          <w:rFonts w:ascii="Palatino Linotype" w:hAnsi="Palatino Linotype" w:cs="Times New Roman"/>
          <w:bCs/>
        </w:rPr>
        <w:t>tarihinde</w:t>
      </w:r>
      <w:r w:rsidR="009C6702">
        <w:rPr>
          <w:rFonts w:ascii="Palatino Linotype" w:hAnsi="Palatino Linotype" w:cs="Times New Roman"/>
          <w:bCs/>
        </w:rPr>
        <w:t xml:space="preserve"> </w:t>
      </w:r>
      <w:r w:rsidR="009C6702" w:rsidRPr="006C1FA0">
        <w:rPr>
          <w:rFonts w:ascii="Palatino Linotype" w:hAnsi="Palatino Linotype" w:cs="Times New Roman"/>
          <w:bCs/>
          <w:highlight w:val="yellow"/>
        </w:rPr>
        <w:t>hakkımda</w:t>
      </w:r>
      <w:r w:rsidR="006C1FA0" w:rsidRPr="006C1FA0">
        <w:rPr>
          <w:rFonts w:ascii="Palatino Linotype" w:hAnsi="Palatino Linotype" w:cs="Times New Roman"/>
          <w:bCs/>
          <w:highlight w:val="yellow"/>
        </w:rPr>
        <w:t>/</w:t>
      </w:r>
      <w:r>
        <w:rPr>
          <w:rFonts w:ascii="Palatino Linotype" w:hAnsi="Palatino Linotype" w:cs="Times New Roman"/>
          <w:bCs/>
          <w:highlight w:val="yellow"/>
        </w:rPr>
        <w:t>vasisi olduğum …</w:t>
      </w:r>
      <w:r w:rsidR="006C1FA0" w:rsidRPr="006C1FA0">
        <w:rPr>
          <w:rFonts w:ascii="Palatino Linotype" w:hAnsi="Palatino Linotype" w:cs="Times New Roman"/>
          <w:bCs/>
          <w:highlight w:val="yellow"/>
        </w:rPr>
        <w:t xml:space="preserve"> hakkında</w:t>
      </w:r>
      <w:r w:rsidR="00261695" w:rsidRPr="00C47AC0">
        <w:rPr>
          <w:rFonts w:ascii="Palatino Linotype" w:hAnsi="Palatino Linotype" w:cs="Times New Roman"/>
          <w:bCs/>
        </w:rPr>
        <w:t xml:space="preserve"> </w:t>
      </w:r>
      <w:r w:rsidR="0070131E" w:rsidRPr="00C47AC0">
        <w:rPr>
          <w:rFonts w:ascii="Palatino Linotype" w:hAnsi="Palatino Linotype" w:cs="Times New Roman"/>
          <w:bCs/>
        </w:rPr>
        <w:t>silahlı terör örgütüne üye</w:t>
      </w:r>
      <w:r>
        <w:rPr>
          <w:rFonts w:ascii="Palatino Linotype" w:hAnsi="Palatino Linotype" w:cs="Times New Roman"/>
          <w:bCs/>
        </w:rPr>
        <w:t xml:space="preserve"> olduğu gerekçesiyle</w:t>
      </w:r>
      <w:proofErr w:type="gramStart"/>
      <w:r w:rsidR="00720C35" w:rsidRPr="00C47AC0">
        <w:rPr>
          <w:rFonts w:ascii="Palatino Linotype" w:hAnsi="Palatino Linotype" w:cs="Times New Roman"/>
          <w:bCs/>
        </w:rPr>
        <w:t xml:space="preserve"> </w:t>
      </w:r>
      <w:r w:rsidR="0070131E" w:rsidRPr="00282B5C">
        <w:rPr>
          <w:rFonts w:ascii="Palatino Linotype" w:hAnsi="Palatino Linotype" w:cs="Times New Roman"/>
          <w:bCs/>
          <w:highlight w:val="yellow"/>
        </w:rPr>
        <w:t>….</w:t>
      </w:r>
      <w:proofErr w:type="gramEnd"/>
      <w:r w:rsidR="0070131E" w:rsidRPr="00282B5C">
        <w:rPr>
          <w:rFonts w:ascii="Palatino Linotype" w:hAnsi="Palatino Linotype" w:cs="Times New Roman"/>
          <w:bCs/>
        </w:rPr>
        <w:t>hapis cezası</w:t>
      </w:r>
      <w:r>
        <w:rPr>
          <w:rFonts w:ascii="Palatino Linotype" w:hAnsi="Palatino Linotype" w:cs="Times New Roman"/>
          <w:bCs/>
        </w:rPr>
        <w:t xml:space="preserve"> </w:t>
      </w:r>
      <w:r>
        <w:rPr>
          <w:rFonts w:ascii="Palatino Linotype" w:hAnsi="Palatino Linotype" w:cs="Times New Roman"/>
          <w:bCs/>
        </w:rPr>
        <w:lastRenderedPageBreak/>
        <w:t xml:space="preserve">verildi ve bu karar </w:t>
      </w:r>
      <w:r w:rsidR="0070131E" w:rsidRPr="00C47AC0">
        <w:rPr>
          <w:rFonts w:ascii="Palatino Linotype" w:hAnsi="Palatino Linotype" w:cs="Times New Roman"/>
          <w:bCs/>
          <w:highlight w:val="yellow"/>
        </w:rPr>
        <w:t>…tarihinde kesinleş</w:t>
      </w:r>
      <w:r>
        <w:rPr>
          <w:rFonts w:ascii="Palatino Linotype" w:hAnsi="Palatino Linotype" w:cs="Times New Roman"/>
          <w:bCs/>
          <w:highlight w:val="yellow"/>
        </w:rPr>
        <w:t>ti</w:t>
      </w:r>
      <w:r w:rsidR="0070131E" w:rsidRPr="00C47AC0">
        <w:rPr>
          <w:rFonts w:ascii="Palatino Linotype" w:hAnsi="Palatino Linotype" w:cs="Times New Roman"/>
          <w:bCs/>
        </w:rPr>
        <w:t>.</w:t>
      </w:r>
      <w:r w:rsidR="009C6702">
        <w:rPr>
          <w:rFonts w:ascii="Palatino Linotype" w:hAnsi="Palatino Linotype" w:cs="Times New Roman"/>
          <w:bCs/>
        </w:rPr>
        <w:t xml:space="preserve"> H</w:t>
      </w:r>
      <w:r w:rsidR="00161044" w:rsidRPr="00C47AC0">
        <w:rPr>
          <w:rFonts w:ascii="Palatino Linotype" w:hAnsi="Palatino Linotype" w:cs="Times New Roman"/>
          <w:bCs/>
          <w:highlight w:val="yellow"/>
        </w:rPr>
        <w:t>akkı</w:t>
      </w:r>
      <w:r w:rsidR="009C6702">
        <w:rPr>
          <w:rFonts w:ascii="Palatino Linotype" w:hAnsi="Palatino Linotype" w:cs="Times New Roman"/>
          <w:bCs/>
          <w:highlight w:val="yellow"/>
        </w:rPr>
        <w:t>m</w:t>
      </w:r>
      <w:r w:rsidR="00161044" w:rsidRPr="00C47AC0">
        <w:rPr>
          <w:rFonts w:ascii="Palatino Linotype" w:hAnsi="Palatino Linotype" w:cs="Times New Roman"/>
          <w:bCs/>
          <w:highlight w:val="yellow"/>
        </w:rPr>
        <w:t>daki</w:t>
      </w:r>
      <w:r w:rsidR="006C1FA0">
        <w:rPr>
          <w:rFonts w:ascii="Palatino Linotype" w:hAnsi="Palatino Linotype" w:cs="Times New Roman"/>
          <w:bCs/>
          <w:highlight w:val="yellow"/>
        </w:rPr>
        <w:t>/hakkındaki</w:t>
      </w:r>
      <w:r w:rsidR="00161044" w:rsidRPr="00C47AC0">
        <w:rPr>
          <w:rFonts w:ascii="Palatino Linotype" w:hAnsi="Palatino Linotype" w:cs="Times New Roman"/>
          <w:bCs/>
          <w:highlight w:val="yellow"/>
        </w:rPr>
        <w:t xml:space="preserve"> hak ihlali iddiaları nedeniyle adil yargılanma, kanunsuz suç ve ceza olmaz, özel yaşam ve aile yaşamına saygı hakkı, dernek kurma hürriyeti</w:t>
      </w:r>
      <w:r w:rsidR="00DC5A41" w:rsidRPr="00C47AC0">
        <w:rPr>
          <w:rFonts w:ascii="Palatino Linotype" w:hAnsi="Palatino Linotype" w:cs="Times New Roman"/>
          <w:bCs/>
          <w:highlight w:val="yellow"/>
        </w:rPr>
        <w:t xml:space="preserve"> ve</w:t>
      </w:r>
      <w:proofErr w:type="gramStart"/>
      <w:r w:rsidR="00DC5A41" w:rsidRPr="00C47AC0">
        <w:rPr>
          <w:rFonts w:ascii="Palatino Linotype" w:hAnsi="Palatino Linotype" w:cs="Times New Roman"/>
          <w:bCs/>
          <w:highlight w:val="yellow"/>
        </w:rPr>
        <w:t xml:space="preserve"> ….</w:t>
      </w:r>
      <w:proofErr w:type="gramEnd"/>
      <w:r w:rsidR="00DC5A41" w:rsidRPr="00C47AC0">
        <w:rPr>
          <w:rFonts w:ascii="Palatino Linotype" w:hAnsi="Palatino Linotype" w:cs="Times New Roman"/>
          <w:bCs/>
          <w:highlight w:val="yellow"/>
        </w:rPr>
        <w:t>.</w:t>
      </w:r>
      <w:r w:rsidR="00161044" w:rsidRPr="00C47AC0">
        <w:rPr>
          <w:rFonts w:ascii="Palatino Linotype" w:hAnsi="Palatino Linotype" w:cs="Times New Roman"/>
          <w:bCs/>
          <w:highlight w:val="yellow"/>
        </w:rPr>
        <w:t xml:space="preserve"> </w:t>
      </w:r>
      <w:proofErr w:type="gramStart"/>
      <w:r w:rsidR="00161044" w:rsidRPr="00C47AC0">
        <w:rPr>
          <w:rFonts w:ascii="Palatino Linotype" w:hAnsi="Palatino Linotype" w:cs="Times New Roman"/>
          <w:bCs/>
          <w:highlight w:val="yellow"/>
        </w:rPr>
        <w:t>kapsamında</w:t>
      </w:r>
      <w:proofErr w:type="gramEnd"/>
      <w:r w:rsidR="00161044" w:rsidRPr="00C47AC0">
        <w:rPr>
          <w:rFonts w:ascii="Palatino Linotype" w:hAnsi="Palatino Linotype" w:cs="Times New Roman"/>
          <w:bCs/>
          <w:highlight w:val="yellow"/>
        </w:rPr>
        <w:t xml:space="preserve"> Anayasa Mahkemesine bireysel başvuruda bulun</w:t>
      </w:r>
      <w:r w:rsidR="009C6702">
        <w:rPr>
          <w:rFonts w:ascii="Palatino Linotype" w:hAnsi="Palatino Linotype" w:cs="Times New Roman"/>
          <w:bCs/>
          <w:highlight w:val="yellow"/>
        </w:rPr>
        <w:t>dum</w:t>
      </w:r>
      <w:r w:rsidR="006C1FA0">
        <w:rPr>
          <w:rFonts w:ascii="Palatino Linotype" w:hAnsi="Palatino Linotype" w:cs="Times New Roman"/>
          <w:bCs/>
          <w:highlight w:val="yellow"/>
        </w:rPr>
        <w:t>/bulundu</w:t>
      </w:r>
      <w:r w:rsidR="00161044" w:rsidRPr="00C47AC0">
        <w:rPr>
          <w:rFonts w:ascii="Palatino Linotype" w:hAnsi="Palatino Linotype" w:cs="Times New Roman"/>
          <w:bCs/>
          <w:highlight w:val="yellow"/>
        </w:rPr>
        <w:t xml:space="preserve">. </w:t>
      </w:r>
      <w:r w:rsidRPr="00282B5C">
        <w:rPr>
          <w:rFonts w:ascii="Palatino Linotype" w:hAnsi="Palatino Linotype" w:cs="Times New Roman"/>
          <w:bCs/>
        </w:rPr>
        <w:t>Dosyanın incelemesi halen mahkemeniz önünde devam etmektedir.</w:t>
      </w:r>
    </w:p>
    <w:p w14:paraId="5BF16568" w14:textId="77777777" w:rsidR="000D5450" w:rsidRDefault="00282B5C" w:rsidP="000D5450">
      <w:pPr>
        <w:pStyle w:val="ListeParagraf"/>
        <w:numPr>
          <w:ilvl w:val="0"/>
          <w:numId w:val="2"/>
        </w:numPr>
        <w:tabs>
          <w:tab w:val="left" w:pos="3870"/>
        </w:tabs>
        <w:spacing w:line="360" w:lineRule="auto"/>
        <w:ind w:left="630" w:right="-141"/>
        <w:jc w:val="both"/>
        <w:rPr>
          <w:rFonts w:ascii="Palatino Linotype" w:hAnsi="Palatino Linotype" w:cs="Times New Roman"/>
          <w:bCs/>
        </w:rPr>
      </w:pPr>
      <w:r>
        <w:rPr>
          <w:rFonts w:ascii="Palatino Linotype" w:hAnsi="Palatino Linotype" w:cs="Times New Roman"/>
          <w:bCs/>
        </w:rPr>
        <w:t>Bu</w:t>
      </w:r>
      <w:r w:rsidRPr="00A1264E">
        <w:rPr>
          <w:rFonts w:ascii="Palatino Linotype" w:hAnsi="Palatino Linotype" w:cs="Times New Roman"/>
          <w:bCs/>
        </w:rPr>
        <w:t xml:space="preserve"> aşamada  </w:t>
      </w:r>
      <w:r w:rsidRPr="00531354">
        <w:rPr>
          <w:rFonts w:ascii="Palatino Linotype" w:hAnsi="Palatino Linotype" w:cs="Times New Roman"/>
          <w:bCs/>
          <w:highlight w:val="yellow"/>
        </w:rPr>
        <w:t>hakkımda/</w:t>
      </w:r>
      <w:r w:rsidR="00D813F5">
        <w:rPr>
          <w:rFonts w:ascii="Palatino Linotype" w:hAnsi="Palatino Linotype" w:cs="Times New Roman"/>
          <w:bCs/>
          <w:highlight w:val="yellow"/>
        </w:rPr>
        <w:t xml:space="preserve">müvekkil </w:t>
      </w:r>
      <w:r w:rsidRPr="00531354">
        <w:rPr>
          <w:rFonts w:ascii="Palatino Linotype" w:hAnsi="Palatino Linotype" w:cs="Times New Roman"/>
          <w:bCs/>
          <w:highlight w:val="yellow"/>
        </w:rPr>
        <w:t>hakkında</w:t>
      </w:r>
      <w:r w:rsidR="00D813F5">
        <w:rPr>
          <w:rFonts w:ascii="Palatino Linotype" w:hAnsi="Palatino Linotype" w:cs="Times New Roman"/>
          <w:bCs/>
        </w:rPr>
        <w:t>/</w:t>
      </w:r>
      <w:r w:rsidR="00D813F5" w:rsidRPr="00D813F5">
        <w:rPr>
          <w:rFonts w:ascii="Palatino Linotype" w:hAnsi="Palatino Linotype" w:cs="Times New Roman"/>
          <w:bCs/>
          <w:highlight w:val="yellow"/>
        </w:rPr>
        <w:t>vasisi olduğum… hakkında</w:t>
      </w:r>
      <w:r w:rsidRPr="00A1264E">
        <w:rPr>
          <w:rFonts w:ascii="Palatino Linotype" w:hAnsi="Palatino Linotype" w:cs="Times New Roman"/>
          <w:bCs/>
        </w:rPr>
        <w:t xml:space="preserve"> mahkûmiyet hükmü kurulması ile sonuçlanan davada yerel mahkemece hükme gerekçe yapılan deliller de dikkate alındığında benzer nitelikteki bir davada A</w:t>
      </w:r>
      <w:r>
        <w:rPr>
          <w:rFonts w:ascii="Palatino Linotype" w:hAnsi="Palatino Linotype" w:cs="Times New Roman"/>
          <w:bCs/>
        </w:rPr>
        <w:t xml:space="preserve">İHM </w:t>
      </w:r>
      <w:r w:rsidRPr="00A1264E">
        <w:rPr>
          <w:rFonts w:ascii="Palatino Linotype" w:hAnsi="Palatino Linotype" w:cs="Times New Roman"/>
          <w:bCs/>
        </w:rPr>
        <w:t xml:space="preserve">Büyük Dairesi tarafından karara bağlanıp </w:t>
      </w:r>
      <w:r w:rsidR="007404C8">
        <w:rPr>
          <w:rFonts w:ascii="Palatino Linotype" w:hAnsi="Palatino Linotype" w:cs="Times New Roman"/>
          <w:bCs/>
        </w:rPr>
        <w:t>05/5/2026</w:t>
      </w:r>
      <w:r>
        <w:rPr>
          <w:rFonts w:ascii="Palatino Linotype" w:hAnsi="Palatino Linotype" w:cs="Times New Roman"/>
          <w:bCs/>
        </w:rPr>
        <w:t>’</w:t>
      </w:r>
      <w:r w:rsidR="007404C8">
        <w:rPr>
          <w:rFonts w:ascii="Palatino Linotype" w:hAnsi="Palatino Linotype" w:cs="Times New Roman"/>
          <w:bCs/>
        </w:rPr>
        <w:t>da</w:t>
      </w:r>
      <w:r w:rsidRPr="00A1264E">
        <w:rPr>
          <w:rFonts w:ascii="Palatino Linotype" w:hAnsi="Palatino Linotype" w:cs="Times New Roman"/>
          <w:bCs/>
        </w:rPr>
        <w:t xml:space="preserve"> açıklanan </w:t>
      </w:r>
      <w:r w:rsidRPr="00D813F5">
        <w:rPr>
          <w:rFonts w:ascii="Palatino Linotype" w:hAnsi="Palatino Linotype" w:cs="Times New Roman"/>
          <w:b/>
        </w:rPr>
        <w:t>Ya</w:t>
      </w:r>
      <w:r w:rsidR="007404C8" w:rsidRPr="00D813F5">
        <w:rPr>
          <w:rFonts w:ascii="Palatino Linotype" w:hAnsi="Palatino Linotype" w:cs="Times New Roman"/>
          <w:b/>
        </w:rPr>
        <w:t>sak</w:t>
      </w:r>
      <w:r w:rsidRPr="00D813F5">
        <w:rPr>
          <w:rFonts w:ascii="Palatino Linotype" w:hAnsi="Palatino Linotype" w:cs="Times New Roman"/>
          <w:b/>
        </w:rPr>
        <w:t>/Türkiye başvurusunda</w:t>
      </w:r>
      <w:r w:rsidRPr="00A1264E">
        <w:rPr>
          <w:rFonts w:ascii="Palatino Linotype" w:hAnsi="Palatino Linotype" w:cs="Times New Roman"/>
          <w:bCs/>
        </w:rPr>
        <w:t xml:space="preserve"> (B.</w:t>
      </w:r>
      <w:r w:rsidR="00412A09">
        <w:rPr>
          <w:rFonts w:ascii="Palatino Linotype" w:hAnsi="Palatino Linotype" w:cs="Times New Roman"/>
          <w:bCs/>
        </w:rPr>
        <w:t xml:space="preserve"> </w:t>
      </w:r>
      <w:r w:rsidRPr="00A1264E">
        <w:rPr>
          <w:rFonts w:ascii="Palatino Linotype" w:hAnsi="Palatino Linotype" w:cs="Times New Roman"/>
          <w:bCs/>
        </w:rPr>
        <w:t>No:</w:t>
      </w:r>
      <w:r>
        <w:rPr>
          <w:rFonts w:ascii="Palatino Linotype" w:hAnsi="Palatino Linotype" w:cs="Times New Roman"/>
          <w:bCs/>
        </w:rPr>
        <w:t xml:space="preserve"> </w:t>
      </w:r>
      <w:r w:rsidRPr="00A1264E">
        <w:rPr>
          <w:rFonts w:ascii="Palatino Linotype" w:hAnsi="Palatino Linotype" w:cs="Times New Roman"/>
          <w:bCs/>
        </w:rPr>
        <w:t>1</w:t>
      </w:r>
      <w:r w:rsidR="00412A09">
        <w:rPr>
          <w:rFonts w:ascii="Palatino Linotype" w:hAnsi="Palatino Linotype" w:cs="Times New Roman"/>
          <w:bCs/>
        </w:rPr>
        <w:t>7389</w:t>
      </w:r>
      <w:r w:rsidRPr="00A1264E">
        <w:rPr>
          <w:rFonts w:ascii="Palatino Linotype" w:hAnsi="Palatino Linotype" w:cs="Times New Roman"/>
          <w:bCs/>
        </w:rPr>
        <w:t xml:space="preserve">/20) ortaya konulan ve benzer davaları da doğrudan ilgilendiren genel bir sorunun tespiti nedeniyle </w:t>
      </w:r>
      <w:r w:rsidR="00412A09">
        <w:rPr>
          <w:rFonts w:ascii="Palatino Linotype" w:hAnsi="Palatino Linotype" w:cs="Times New Roman"/>
          <w:bCs/>
        </w:rPr>
        <w:t>Mahkemeniz</w:t>
      </w:r>
      <w:r w:rsidRPr="00A1264E">
        <w:rPr>
          <w:rFonts w:ascii="Palatino Linotype" w:hAnsi="Palatino Linotype" w:cs="Times New Roman"/>
          <w:bCs/>
        </w:rPr>
        <w:t xml:space="preserve"> </w:t>
      </w:r>
      <w:r w:rsidR="00D813F5">
        <w:rPr>
          <w:rFonts w:ascii="Palatino Linotype" w:hAnsi="Palatino Linotype" w:cs="Times New Roman"/>
          <w:bCs/>
        </w:rPr>
        <w:t xml:space="preserve">önünde </w:t>
      </w:r>
      <w:r w:rsidRPr="00A1264E">
        <w:rPr>
          <w:rFonts w:ascii="Palatino Linotype" w:hAnsi="Palatino Linotype" w:cs="Times New Roman"/>
          <w:bCs/>
        </w:rPr>
        <w:t xml:space="preserve">derdest bulunan dosya kapsamında değerlendirilmek üzere iş bu </w:t>
      </w:r>
      <w:r w:rsidR="00412A09">
        <w:rPr>
          <w:rFonts w:ascii="Palatino Linotype" w:hAnsi="Palatino Linotype" w:cs="Times New Roman"/>
          <w:bCs/>
        </w:rPr>
        <w:t xml:space="preserve">ek talep </w:t>
      </w:r>
      <w:r w:rsidRPr="00A1264E">
        <w:rPr>
          <w:rFonts w:ascii="Palatino Linotype" w:hAnsi="Palatino Linotype" w:cs="Times New Roman"/>
          <w:bCs/>
        </w:rPr>
        <w:t xml:space="preserve">dilekçenin gönderilmesi ihtiyacı </w:t>
      </w:r>
      <w:r>
        <w:rPr>
          <w:rFonts w:ascii="Palatino Linotype" w:hAnsi="Palatino Linotype" w:cs="Times New Roman"/>
          <w:bCs/>
        </w:rPr>
        <w:t>doğmuştur</w:t>
      </w:r>
      <w:r w:rsidRPr="00A1264E">
        <w:rPr>
          <w:rFonts w:ascii="Palatino Linotype" w:hAnsi="Palatino Linotype" w:cs="Times New Roman"/>
          <w:bCs/>
        </w:rPr>
        <w:t>.</w:t>
      </w:r>
    </w:p>
    <w:p w14:paraId="0E0C800B" w14:textId="77777777" w:rsidR="000D5450" w:rsidRPr="000D5450" w:rsidRDefault="00282B5C" w:rsidP="000D5450">
      <w:pPr>
        <w:pStyle w:val="ListeParagraf"/>
        <w:numPr>
          <w:ilvl w:val="0"/>
          <w:numId w:val="2"/>
        </w:numPr>
        <w:tabs>
          <w:tab w:val="left" w:pos="3870"/>
        </w:tabs>
        <w:spacing w:line="360" w:lineRule="auto"/>
        <w:ind w:left="630" w:right="-141"/>
        <w:jc w:val="both"/>
        <w:rPr>
          <w:rFonts w:ascii="Palatino Linotype" w:hAnsi="Palatino Linotype" w:cs="Times New Roman"/>
          <w:bCs/>
        </w:rPr>
      </w:pPr>
      <w:r w:rsidRPr="000D5450">
        <w:rPr>
          <w:rFonts w:ascii="Palatino Linotype" w:hAnsi="Palatino Linotype"/>
          <w:bCs/>
        </w:rPr>
        <w:t>Bu hususlar, ülkemizin ceza ve ceza muhakemesi hukuku alanındaki en yetkin akademisyenleri</w:t>
      </w:r>
      <w:r w:rsidR="000D5450" w:rsidRPr="000D5450">
        <w:rPr>
          <w:rFonts w:ascii="Palatino Linotype" w:hAnsi="Palatino Linotype"/>
          <w:bCs/>
        </w:rPr>
        <w:t>nden</w:t>
      </w:r>
      <w:r w:rsidRPr="000D5450">
        <w:rPr>
          <w:rFonts w:ascii="Palatino Linotype" w:hAnsi="Palatino Linotype"/>
          <w:bCs/>
        </w:rPr>
        <w:t xml:space="preserve"> olan Prof. Dr. </w:t>
      </w:r>
      <w:proofErr w:type="gramStart"/>
      <w:r w:rsidRPr="000D5450">
        <w:rPr>
          <w:rFonts w:ascii="Palatino Linotype" w:hAnsi="Palatino Linotype"/>
          <w:bCs/>
        </w:rPr>
        <w:t>Adem</w:t>
      </w:r>
      <w:proofErr w:type="gramEnd"/>
      <w:r w:rsidRPr="000D5450">
        <w:rPr>
          <w:rFonts w:ascii="Palatino Linotype" w:hAnsi="Palatino Linotype"/>
          <w:bCs/>
        </w:rPr>
        <w:t xml:space="preserve"> SÖZÜER, Prof. Dr. İzzet ÖZGENÇ, Prof. Dr. Faruk TURHAN, Prof. Dr. Cumhur ŞAHİN ve Prof. Dr. Tolga ŞİRİN tarafından CMK m. 67/6 hükmüne istinaden hazırlanan hukukî mütalaada da ayrıntılı biçimde ortaya konulmuştur (Mütalaa, s. 1). Mütalaada, mahkûmiyete esas alınan banka hesabı ile sendika ve dernek üyeliklerinin, AİHM tarafından gerçekleştirildikleri tarihte “yasallık karinesinden yararlanan görünüşte yasal eylemler” olarak nitelendirildiği ve yerel mahkemelerin bu eylemlerin örgüt üyeliği suçu kapsamında değerlendirilmesi hususunda anlamlı bir tartışma yapmadığının kaydedildiği belirtilmiştir (Mütalaa, s. 34).</w:t>
      </w:r>
    </w:p>
    <w:p w14:paraId="30E59DDF" w14:textId="07F4B067" w:rsidR="00412A09" w:rsidRPr="000D5450" w:rsidRDefault="00282B5C" w:rsidP="000D5450">
      <w:pPr>
        <w:pStyle w:val="ListeParagraf"/>
        <w:numPr>
          <w:ilvl w:val="0"/>
          <w:numId w:val="2"/>
        </w:numPr>
        <w:tabs>
          <w:tab w:val="left" w:pos="3870"/>
        </w:tabs>
        <w:spacing w:line="360" w:lineRule="auto"/>
        <w:ind w:left="630" w:right="-141"/>
        <w:jc w:val="both"/>
        <w:rPr>
          <w:rFonts w:ascii="Palatino Linotype" w:hAnsi="Palatino Linotype" w:cs="Times New Roman"/>
          <w:bCs/>
        </w:rPr>
      </w:pPr>
      <w:r w:rsidRPr="000D5450">
        <w:rPr>
          <w:rFonts w:ascii="Palatino Linotype" w:hAnsi="Palatino Linotype"/>
          <w:bCs/>
        </w:rPr>
        <w:t>Nitekim mütalaada, Anayasa Mahkemesi’nin M.G. ve Hüda Kaya kararlarına atıfla; içeriği belli olmayan görüşme verilerinin, detaylandırılmamış HTS kayıtlarının, cemaate ait evlerde kalmanın veya sohbetlere katılmanın, kapatılan sendikaya üyeliğin ve banka hesabı bulundurmanın, talimatla gerçekleştiği ortaya konulmadıkça kuvvetli suç belirtisi dahi oluşturmayacağı kaydedilmiştir (Mütalaa, s. 51-52). AİHM’in Çakar ve diğerleri/Türkiye ile Yaman ve diğerleri/Türkiye kararlarında da bu eylemlerin “yalnızca dolaylı nitelikte” olduğu ve ek deliller bulunmadıkça makul bir şüphe dahi doğuramayacağı vurgulanmıştır (Mütalaa, s. 50-51).</w:t>
      </w:r>
    </w:p>
    <w:p w14:paraId="185A0400" w14:textId="622C6EDA" w:rsidR="00282B5C" w:rsidRPr="00412A09" w:rsidRDefault="00282B5C" w:rsidP="00412A09">
      <w:pPr>
        <w:pStyle w:val="ListeParagraf"/>
        <w:numPr>
          <w:ilvl w:val="0"/>
          <w:numId w:val="2"/>
        </w:numPr>
        <w:tabs>
          <w:tab w:val="left" w:pos="3870"/>
        </w:tabs>
        <w:spacing w:line="360" w:lineRule="auto"/>
        <w:ind w:left="630" w:right="-141"/>
        <w:jc w:val="both"/>
        <w:rPr>
          <w:rFonts w:ascii="Palatino Linotype" w:hAnsi="Palatino Linotype" w:cs="Times New Roman"/>
          <w:bCs/>
        </w:rPr>
      </w:pPr>
      <w:r w:rsidRPr="00412A09">
        <w:rPr>
          <w:rFonts w:ascii="Palatino Linotype" w:hAnsi="Palatino Linotype" w:cs="Times New Roman"/>
          <w:bCs/>
        </w:rPr>
        <w:lastRenderedPageBreak/>
        <w:t xml:space="preserve">Dilekçenin dayanağını oluşturan </w:t>
      </w:r>
      <w:r w:rsidR="00412A09" w:rsidRPr="00D813F5">
        <w:rPr>
          <w:rFonts w:ascii="Palatino Linotype" w:hAnsi="Palatino Linotype" w:cs="Times New Roman"/>
          <w:b/>
        </w:rPr>
        <w:t>Yasak</w:t>
      </w:r>
      <w:r w:rsidRPr="00D813F5">
        <w:rPr>
          <w:rFonts w:ascii="Palatino Linotype" w:hAnsi="Palatino Linotype" w:cs="Times New Roman"/>
          <w:b/>
        </w:rPr>
        <w:t>/Türkiye</w:t>
      </w:r>
      <w:r w:rsidRPr="00412A09">
        <w:rPr>
          <w:rFonts w:ascii="Palatino Linotype" w:hAnsi="Palatino Linotype" w:cs="Times New Roman"/>
          <w:bCs/>
        </w:rPr>
        <w:t xml:space="preserve"> kararında AİHM’nin önemle vurguladığı ve ihlal tespit ettiği hususlara kısaca değinilmesinde fayda vardır.</w:t>
      </w:r>
    </w:p>
    <w:p w14:paraId="1FA142D1" w14:textId="19475872" w:rsidR="00F83122" w:rsidRPr="00C47AC0" w:rsidRDefault="003A6719" w:rsidP="00412A09">
      <w:pPr>
        <w:tabs>
          <w:tab w:val="left" w:pos="3870"/>
        </w:tabs>
        <w:spacing w:line="360" w:lineRule="auto"/>
        <w:ind w:right="-141"/>
        <w:jc w:val="both"/>
        <w:rPr>
          <w:rFonts w:ascii="Palatino Linotype" w:hAnsi="Palatino Linotype" w:cs="Times New Roman"/>
          <w:b/>
        </w:rPr>
      </w:pPr>
      <w:r w:rsidRPr="00C47AC0">
        <w:rPr>
          <w:rFonts w:ascii="Palatino Linotype" w:hAnsi="Palatino Linotype" w:cs="Times New Roman"/>
          <w:b/>
        </w:rPr>
        <w:t xml:space="preserve">II. </w:t>
      </w:r>
      <w:r w:rsidR="00F508CA" w:rsidRPr="00C47AC0">
        <w:rPr>
          <w:rFonts w:ascii="Palatino Linotype" w:hAnsi="Palatino Linotype" w:cs="Times New Roman"/>
          <w:b/>
        </w:rPr>
        <w:t>Talebimize Konu Olay</w:t>
      </w:r>
    </w:p>
    <w:p w14:paraId="7E37E5DB" w14:textId="24CFF66B" w:rsidR="0000402A" w:rsidRPr="00C47AC0" w:rsidRDefault="0000402A" w:rsidP="00412A09">
      <w:pPr>
        <w:pStyle w:val="ListeParagraf"/>
        <w:numPr>
          <w:ilvl w:val="0"/>
          <w:numId w:val="2"/>
        </w:numPr>
        <w:tabs>
          <w:tab w:val="left" w:pos="3870"/>
        </w:tabs>
        <w:spacing w:line="360" w:lineRule="auto"/>
        <w:ind w:left="630" w:right="-141"/>
        <w:jc w:val="both"/>
        <w:rPr>
          <w:rFonts w:ascii="Palatino Linotype" w:hAnsi="Palatino Linotype" w:cs="Times New Roman"/>
          <w:bCs/>
        </w:rPr>
      </w:pPr>
      <w:r w:rsidRPr="00C47AC0">
        <w:rPr>
          <w:rFonts w:ascii="Palatino Linotype" w:hAnsi="Palatino Linotype" w:cs="Times New Roman"/>
          <w:bCs/>
        </w:rPr>
        <w:t xml:space="preserve">Avrupa İnsan Hakları Mahkemesi </w:t>
      </w:r>
      <w:r w:rsidR="00412A09">
        <w:rPr>
          <w:rFonts w:ascii="Palatino Linotype" w:hAnsi="Palatino Linotype" w:cs="Times New Roman"/>
          <w:bCs/>
        </w:rPr>
        <w:t>05 Eylül 2026</w:t>
      </w:r>
      <w:r w:rsidRPr="00C47AC0">
        <w:rPr>
          <w:rFonts w:ascii="Palatino Linotype" w:hAnsi="Palatino Linotype" w:cs="Times New Roman"/>
          <w:bCs/>
        </w:rPr>
        <w:t xml:space="preserve"> tarihinde </w:t>
      </w:r>
      <w:r w:rsidR="009C6702">
        <w:rPr>
          <w:rFonts w:ascii="Palatino Linotype" w:hAnsi="Palatino Linotype" w:cs="Times New Roman"/>
          <w:bCs/>
        </w:rPr>
        <w:t>benimle</w:t>
      </w:r>
      <w:r w:rsidRPr="00C47AC0">
        <w:rPr>
          <w:rFonts w:ascii="Palatino Linotype" w:hAnsi="Palatino Linotype" w:cs="Times New Roman"/>
          <w:bCs/>
        </w:rPr>
        <w:t xml:space="preserve"> aynı suçlamaya maruz kalmış, </w:t>
      </w:r>
      <w:r w:rsidR="00681B83" w:rsidRPr="00C47AC0">
        <w:rPr>
          <w:rFonts w:ascii="Palatino Linotype" w:hAnsi="Palatino Linotype" w:cs="Times New Roman"/>
          <w:bCs/>
        </w:rPr>
        <w:t xml:space="preserve">benzer </w:t>
      </w:r>
      <w:r w:rsidRPr="00C47AC0">
        <w:rPr>
          <w:rFonts w:ascii="Palatino Linotype" w:hAnsi="Palatino Linotype" w:cs="Times New Roman"/>
          <w:bCs/>
        </w:rPr>
        <w:t>deliller</w:t>
      </w:r>
      <w:r w:rsidR="00681B83" w:rsidRPr="00C47AC0">
        <w:rPr>
          <w:rFonts w:ascii="Palatino Linotype" w:hAnsi="Palatino Linotype" w:cs="Times New Roman"/>
          <w:bCs/>
        </w:rPr>
        <w:t>le</w:t>
      </w:r>
      <w:r w:rsidRPr="00C47AC0">
        <w:rPr>
          <w:rFonts w:ascii="Palatino Linotype" w:hAnsi="Palatino Linotype" w:cs="Times New Roman"/>
          <w:bCs/>
        </w:rPr>
        <w:t xml:space="preserve"> </w:t>
      </w:r>
      <w:proofErr w:type="gramStart"/>
      <w:r w:rsidRPr="00C47AC0">
        <w:rPr>
          <w:rFonts w:ascii="Palatino Linotype" w:hAnsi="Palatino Linotype" w:cs="Times New Roman"/>
          <w:bCs/>
        </w:rPr>
        <w:t>mahkum</w:t>
      </w:r>
      <w:proofErr w:type="gramEnd"/>
      <w:r w:rsidRPr="00C47AC0">
        <w:rPr>
          <w:rFonts w:ascii="Palatino Linotype" w:hAnsi="Palatino Linotype" w:cs="Times New Roman"/>
          <w:bCs/>
        </w:rPr>
        <w:t xml:space="preserve"> olmuş ve hakkındaki karar kesinleşmiş olan </w:t>
      </w:r>
      <w:r w:rsidR="00412A09">
        <w:rPr>
          <w:rFonts w:ascii="Palatino Linotype" w:hAnsi="Palatino Linotype" w:cs="Times New Roman"/>
          <w:bCs/>
        </w:rPr>
        <w:t xml:space="preserve">Yasak/Türkiye </w:t>
      </w:r>
      <w:r w:rsidRPr="00C47AC0">
        <w:rPr>
          <w:rFonts w:ascii="Palatino Linotype" w:hAnsi="Palatino Linotype" w:cs="Times New Roman"/>
          <w:bCs/>
        </w:rPr>
        <w:t>başvurusunda temel hak ihlali tespiti yapmıştır.</w:t>
      </w:r>
    </w:p>
    <w:p w14:paraId="1936959D" w14:textId="77777777" w:rsidR="000D5450" w:rsidRDefault="009C3F9F" w:rsidP="000D5450">
      <w:pPr>
        <w:pStyle w:val="ListeParagraf"/>
        <w:numPr>
          <w:ilvl w:val="0"/>
          <w:numId w:val="2"/>
        </w:numPr>
        <w:tabs>
          <w:tab w:val="left" w:pos="3870"/>
        </w:tabs>
        <w:spacing w:line="360" w:lineRule="auto"/>
        <w:ind w:left="630" w:right="-141"/>
        <w:jc w:val="both"/>
        <w:rPr>
          <w:rFonts w:ascii="Palatino Linotype" w:hAnsi="Palatino Linotype" w:cs="Times New Roman"/>
          <w:bCs/>
        </w:rPr>
      </w:pPr>
      <w:r w:rsidRPr="00C47AC0">
        <w:rPr>
          <w:rFonts w:ascii="Palatino Linotype" w:hAnsi="Palatino Linotype" w:cs="Times New Roman"/>
          <w:bCs/>
        </w:rPr>
        <w:t>AİHM kararları</w:t>
      </w:r>
      <w:r w:rsidR="00074124" w:rsidRPr="00C47AC0">
        <w:rPr>
          <w:rFonts w:ascii="Palatino Linotype" w:hAnsi="Palatino Linotype" w:cs="Times New Roman"/>
          <w:bCs/>
        </w:rPr>
        <w:t xml:space="preserve"> AİHS 46 ve AY 90. </w:t>
      </w:r>
      <w:r w:rsidR="00681B83" w:rsidRPr="00C47AC0">
        <w:rPr>
          <w:rFonts w:ascii="Palatino Linotype" w:hAnsi="Palatino Linotype" w:cs="Times New Roman"/>
          <w:bCs/>
        </w:rPr>
        <w:t>m</w:t>
      </w:r>
      <w:r w:rsidR="00074124" w:rsidRPr="00C47AC0">
        <w:rPr>
          <w:rFonts w:ascii="Palatino Linotype" w:hAnsi="Palatino Linotype" w:cs="Times New Roman"/>
          <w:bCs/>
        </w:rPr>
        <w:t>addeler uyarınca Türkiye açısından bağlayıcıdır. Bu hükümler gereğince AİHM kararları (</w:t>
      </w:r>
      <w:r w:rsidR="000B2F4E" w:rsidRPr="00C47AC0">
        <w:rPr>
          <w:rFonts w:ascii="Palatino Linotype" w:hAnsi="Palatino Linotype" w:cs="Times New Roman"/>
          <w:bCs/>
        </w:rPr>
        <w:t>Yalçınkaya</w:t>
      </w:r>
      <w:r w:rsidR="000B2F4E">
        <w:rPr>
          <w:rFonts w:ascii="Palatino Linotype" w:hAnsi="Palatino Linotype" w:cs="Times New Roman"/>
          <w:bCs/>
        </w:rPr>
        <w:t xml:space="preserve">/Yasak </w:t>
      </w:r>
      <w:r w:rsidR="00074124" w:rsidRPr="00C47AC0">
        <w:rPr>
          <w:rFonts w:ascii="Palatino Linotype" w:hAnsi="Palatino Linotype" w:cs="Times New Roman"/>
          <w:bCs/>
        </w:rPr>
        <w:t>kararı gibi olanlar için) kesinleşen ve derdest olan tüm dosyalara uygulanması gerekmektedir.</w:t>
      </w:r>
    </w:p>
    <w:p w14:paraId="73E63B1E" w14:textId="7DB80F79" w:rsidR="004E3A16" w:rsidRPr="000D5450" w:rsidRDefault="009C3F9F" w:rsidP="000D5450">
      <w:pPr>
        <w:pStyle w:val="ListeParagraf"/>
        <w:numPr>
          <w:ilvl w:val="0"/>
          <w:numId w:val="2"/>
        </w:numPr>
        <w:tabs>
          <w:tab w:val="left" w:pos="3870"/>
        </w:tabs>
        <w:spacing w:line="360" w:lineRule="auto"/>
        <w:ind w:left="630" w:right="-141"/>
        <w:jc w:val="both"/>
        <w:rPr>
          <w:rFonts w:ascii="Palatino Linotype" w:hAnsi="Palatino Linotype" w:cs="Times New Roman"/>
          <w:bCs/>
        </w:rPr>
      </w:pPr>
      <w:r w:rsidRPr="000D5450">
        <w:rPr>
          <w:rFonts w:ascii="Palatino Linotype" w:hAnsi="Palatino Linotype"/>
          <w:bCs/>
        </w:rPr>
        <w:t>Mütalaada da anılan AİHM kararlarının hukuki niteliği değerlendirilmiş ve bu kararların “yarı-pilot” (quasi-pilot), diğer bir ifadeyle “madde 46 kararları” olduğu; yapısal veya sistemik sorunları tespit eden bu tür kararlar bakımından bağlayıcılığın aynen geçerli bulunduğu belirtilmiştir. Ayrıca Anayasa m. 90/5 kuralının bir “zımnî ilga kuralı” olduğu ve temel hak ve özgürlüklere ilişkin sözleşme hükümleriyle çatışan kanun hükümlerinin uygulanma kabiliyetini ortadan kaldırdığı ifade edilmiştir (Mütalaa, s. 43-44 ve s. 46).</w:t>
      </w:r>
    </w:p>
    <w:p w14:paraId="1E542210" w14:textId="77777777" w:rsidR="000D5450" w:rsidRDefault="009C6702" w:rsidP="000D5450">
      <w:pPr>
        <w:pStyle w:val="ListeParagraf"/>
        <w:numPr>
          <w:ilvl w:val="0"/>
          <w:numId w:val="2"/>
        </w:numPr>
        <w:tabs>
          <w:tab w:val="left" w:pos="3870"/>
        </w:tabs>
        <w:spacing w:line="360" w:lineRule="auto"/>
        <w:ind w:left="630" w:right="-141"/>
        <w:jc w:val="both"/>
        <w:rPr>
          <w:rFonts w:ascii="Palatino Linotype" w:hAnsi="Palatino Linotype" w:cs="Times New Roman"/>
          <w:bCs/>
        </w:rPr>
      </w:pPr>
      <w:r w:rsidRPr="00412A09">
        <w:rPr>
          <w:rFonts w:ascii="Palatino Linotype" w:hAnsi="Palatino Linotype" w:cs="Times New Roman"/>
          <w:bCs/>
          <w:highlight w:val="yellow"/>
        </w:rPr>
        <w:t>D</w:t>
      </w:r>
      <w:r w:rsidR="00D4338F" w:rsidRPr="00412A09">
        <w:rPr>
          <w:rFonts w:ascii="Palatino Linotype" w:hAnsi="Palatino Linotype" w:cs="Times New Roman"/>
          <w:bCs/>
          <w:highlight w:val="yellow"/>
        </w:rPr>
        <w:t>urumu</w:t>
      </w:r>
      <w:r w:rsidRPr="00412A09">
        <w:rPr>
          <w:rFonts w:ascii="Palatino Linotype" w:hAnsi="Palatino Linotype" w:cs="Times New Roman"/>
          <w:bCs/>
          <w:highlight w:val="yellow"/>
        </w:rPr>
        <w:t>m</w:t>
      </w:r>
      <w:r w:rsidR="00412A09" w:rsidRPr="00412A09">
        <w:rPr>
          <w:rFonts w:ascii="Palatino Linotype" w:hAnsi="Palatino Linotype" w:cs="Times New Roman"/>
          <w:bCs/>
          <w:highlight w:val="yellow"/>
        </w:rPr>
        <w:t>/müvekkilin/vasisi olduğum… durumu</w:t>
      </w:r>
      <w:r w:rsidR="00D4338F" w:rsidRPr="00C47AC0">
        <w:rPr>
          <w:rFonts w:ascii="Palatino Linotype" w:hAnsi="Palatino Linotype" w:cs="Times New Roman"/>
          <w:bCs/>
        </w:rPr>
        <w:t xml:space="preserve"> AİHM kararına konu olan suçlama ile yüzde yüz örtüşmektedir. </w:t>
      </w:r>
      <w:r w:rsidR="00412A09" w:rsidRPr="00D813F5">
        <w:rPr>
          <w:rFonts w:ascii="Palatino Linotype" w:hAnsi="Palatino Linotype" w:cs="Times New Roman"/>
          <w:bCs/>
          <w:highlight w:val="yellow"/>
        </w:rPr>
        <w:t>H</w:t>
      </w:r>
      <w:r w:rsidR="00CD76E1" w:rsidRPr="006C1FA0">
        <w:rPr>
          <w:rFonts w:ascii="Palatino Linotype" w:hAnsi="Palatino Linotype" w:cs="Times New Roman"/>
          <w:bCs/>
          <w:highlight w:val="yellow"/>
        </w:rPr>
        <w:t>akkı</w:t>
      </w:r>
      <w:r w:rsidRPr="006C1FA0">
        <w:rPr>
          <w:rFonts w:ascii="Palatino Linotype" w:hAnsi="Palatino Linotype" w:cs="Times New Roman"/>
          <w:bCs/>
          <w:highlight w:val="yellow"/>
        </w:rPr>
        <w:t>m</w:t>
      </w:r>
      <w:r w:rsidR="00CD76E1" w:rsidRPr="006C1FA0">
        <w:rPr>
          <w:rFonts w:ascii="Palatino Linotype" w:hAnsi="Palatino Linotype" w:cs="Times New Roman"/>
          <w:bCs/>
          <w:highlight w:val="yellow"/>
        </w:rPr>
        <w:t>da</w:t>
      </w:r>
      <w:r w:rsidR="006C1FA0" w:rsidRPr="006C1FA0">
        <w:rPr>
          <w:rFonts w:ascii="Palatino Linotype" w:hAnsi="Palatino Linotype" w:cs="Times New Roman"/>
          <w:bCs/>
          <w:highlight w:val="yellow"/>
        </w:rPr>
        <w:t>/</w:t>
      </w:r>
      <w:r w:rsidR="00282B5C">
        <w:rPr>
          <w:rFonts w:ascii="Palatino Linotype" w:hAnsi="Palatino Linotype" w:cs="Times New Roman"/>
          <w:bCs/>
          <w:highlight w:val="yellow"/>
        </w:rPr>
        <w:t>vasisi olduğum …</w:t>
      </w:r>
      <w:r w:rsidR="006C1FA0" w:rsidRPr="006C1FA0">
        <w:rPr>
          <w:rFonts w:ascii="Palatino Linotype" w:hAnsi="Palatino Linotype" w:cs="Times New Roman"/>
          <w:bCs/>
          <w:highlight w:val="yellow"/>
        </w:rPr>
        <w:t>hakkında</w:t>
      </w:r>
      <w:r w:rsidR="00924F0F" w:rsidRPr="00C47AC0">
        <w:rPr>
          <w:rFonts w:ascii="Palatino Linotype" w:hAnsi="Palatino Linotype" w:cs="Times New Roman"/>
          <w:bCs/>
        </w:rPr>
        <w:t xml:space="preserve"> devam eden dosyada bu karar dikkate</w:t>
      </w:r>
      <w:r w:rsidR="00282B5C">
        <w:rPr>
          <w:rFonts w:ascii="Palatino Linotype" w:hAnsi="Palatino Linotype" w:cs="Times New Roman"/>
          <w:bCs/>
        </w:rPr>
        <w:t xml:space="preserve"> alınarak</w:t>
      </w:r>
      <w:r w:rsidR="00924F0F" w:rsidRPr="00C47AC0">
        <w:rPr>
          <w:rFonts w:ascii="Palatino Linotype" w:hAnsi="Palatino Linotype" w:cs="Times New Roman"/>
          <w:bCs/>
        </w:rPr>
        <w:t xml:space="preserve"> </w:t>
      </w:r>
      <w:r w:rsidR="004E3A16" w:rsidRPr="00282B5C">
        <w:rPr>
          <w:rFonts w:ascii="Palatino Linotype" w:hAnsi="Palatino Linotype" w:cs="Times New Roman"/>
          <w:bCs/>
        </w:rPr>
        <w:t>hak ihlali tespiti yap</w:t>
      </w:r>
      <w:r w:rsidR="00282B5C" w:rsidRPr="00282B5C">
        <w:rPr>
          <w:rFonts w:ascii="Palatino Linotype" w:hAnsi="Palatino Linotype" w:cs="Times New Roman"/>
          <w:bCs/>
        </w:rPr>
        <w:t>ılması</w:t>
      </w:r>
      <w:r w:rsidR="004E3A16" w:rsidRPr="00C47AC0">
        <w:rPr>
          <w:rFonts w:ascii="Palatino Linotype" w:hAnsi="Palatino Linotype" w:cs="Times New Roman"/>
          <w:bCs/>
        </w:rPr>
        <w:t xml:space="preserve"> </w:t>
      </w:r>
      <w:r w:rsidR="00CD76E1" w:rsidRPr="00C47AC0">
        <w:rPr>
          <w:rFonts w:ascii="Palatino Linotype" w:hAnsi="Palatino Linotype" w:cs="Times New Roman"/>
          <w:bCs/>
        </w:rPr>
        <w:t>Anayasanın ve Sözleşme hukukunun üstünlüğünün gereğidir.</w:t>
      </w:r>
      <w:r w:rsidR="00D4338F" w:rsidRPr="00C47AC0">
        <w:rPr>
          <w:rFonts w:ascii="Palatino Linotype" w:hAnsi="Palatino Linotype" w:cs="Times New Roman"/>
          <w:bCs/>
        </w:rPr>
        <w:t xml:space="preserve"> </w:t>
      </w:r>
    </w:p>
    <w:p w14:paraId="7A2249C7" w14:textId="77777777" w:rsidR="000D5450" w:rsidRPr="000D5450" w:rsidRDefault="009C6702" w:rsidP="000D5450">
      <w:pPr>
        <w:pStyle w:val="ListeParagraf"/>
        <w:numPr>
          <w:ilvl w:val="0"/>
          <w:numId w:val="2"/>
        </w:numPr>
        <w:tabs>
          <w:tab w:val="left" w:pos="3870"/>
        </w:tabs>
        <w:spacing w:line="360" w:lineRule="auto"/>
        <w:ind w:left="630" w:right="-141"/>
        <w:jc w:val="both"/>
        <w:rPr>
          <w:rFonts w:ascii="Palatino Linotype" w:hAnsi="Palatino Linotype" w:cs="Times New Roman"/>
          <w:bCs/>
        </w:rPr>
      </w:pPr>
      <w:r w:rsidRPr="000D5450">
        <w:rPr>
          <w:rFonts w:ascii="Palatino Linotype" w:hAnsi="Palatino Linotype"/>
          <w:bCs/>
        </w:rPr>
        <w:t>Mütalaada, kararların tarafı olmayan kişiler dört kategoride ele alınmış; bireysel başvurusu Anayasa Mahkemesi önünde derdest olan kişiler bakımından doğrudan Yüksek Mahkemenizin “objektif etki” içtihadına atıf yapılmıştır. Buna göre kamu gücünü kullanan organlar, ihlalin saptandığı andan itibaren, Mahkemenin benzer davalarda ihlal tespitlerini yinelemesine gerek kalmadan onu telafi etmek için gerekli tedbirleri almakla yükümlüdür; yapısal bir sorun tespit edilmişse kararın objektif etkisinin çok daha kuvvetli olduğu kabul edilmelidir. Aksi hâlde aynı hukuksal durumda bulunan kişilerden yalnızca bir kısmı hukuki korunmadan yararlanabilecek olup, bu da anayasanın üstünlüğü ve hukuk devleti ilkesine aykırı düşecektir (Mütalaa, s. 46-47).</w:t>
      </w:r>
    </w:p>
    <w:p w14:paraId="7BBABD08" w14:textId="77777777" w:rsidR="000D5450" w:rsidRPr="000D5450" w:rsidRDefault="009C6702" w:rsidP="000D5450">
      <w:pPr>
        <w:pStyle w:val="ListeParagraf"/>
        <w:numPr>
          <w:ilvl w:val="0"/>
          <w:numId w:val="2"/>
        </w:numPr>
        <w:tabs>
          <w:tab w:val="left" w:pos="3870"/>
        </w:tabs>
        <w:spacing w:line="360" w:lineRule="auto"/>
        <w:ind w:left="630" w:right="-141"/>
        <w:jc w:val="both"/>
        <w:rPr>
          <w:rFonts w:ascii="Palatino Linotype" w:hAnsi="Palatino Linotype" w:cs="Times New Roman"/>
          <w:bCs/>
        </w:rPr>
      </w:pPr>
      <w:r w:rsidRPr="000D5450">
        <w:rPr>
          <w:rFonts w:ascii="Palatino Linotype" w:hAnsi="Palatino Linotype"/>
          <w:bCs/>
        </w:rPr>
        <w:lastRenderedPageBreak/>
        <w:t>Mütalaada bu noktada belirleyici bir tespit yapılmaktadır: Anayasa Mahkemesi’nin derece mahkemeleri için yaptığı bu belirlemeler, AİHM içtihadı bakımından aynen kendisi için de geçerlidir. Zira AYM’nin kendi ihlal kararları için benimsediği “objektif etki” görüşünün, Anayasa m. 90/5 uyarınca kanunlara göre öncelikle uygulanması gereken AİHM Büyük Daire kararları için de uygulanması hukuki tutarlılığın gereğidir (Mütalaa, s. 46-47 ve s. 40).</w:t>
      </w:r>
    </w:p>
    <w:p w14:paraId="30A6BE2B" w14:textId="0EA5AA5C" w:rsidR="00C61BA4" w:rsidRPr="000D5450" w:rsidRDefault="009C6702" w:rsidP="000D5450">
      <w:pPr>
        <w:pStyle w:val="ListeParagraf"/>
        <w:numPr>
          <w:ilvl w:val="0"/>
          <w:numId w:val="2"/>
        </w:numPr>
        <w:tabs>
          <w:tab w:val="left" w:pos="3870"/>
        </w:tabs>
        <w:spacing w:line="360" w:lineRule="auto"/>
        <w:ind w:left="630" w:right="-141"/>
        <w:jc w:val="both"/>
        <w:rPr>
          <w:rFonts w:ascii="Palatino Linotype" w:hAnsi="Palatino Linotype" w:cs="Times New Roman"/>
          <w:bCs/>
        </w:rPr>
      </w:pPr>
      <w:r w:rsidRPr="000D5450">
        <w:rPr>
          <w:rFonts w:ascii="Palatino Linotype" w:hAnsi="Palatino Linotype"/>
          <w:bCs/>
        </w:rPr>
        <w:t>Mütalaada ayrıca, AİHM’in sistemik ve yapısal sorun saptadığı kararların yalnızca münferit başvuranla sınırlı kalmayan objektif bir etkiye (erga omnes) sahip olduğu; Türk yargısının, henüz münferit bir ihlal kararı almamış ancak aynı hukuki nitelendirme hatasıyla malul olan on binlerce benzer derdest veya kesinleşmiş dosyada da Yalçınkaya ve Yasak standartlarını re’sen uygulamakla yükümlü bulunduğu vurgulanmıştır (Mütalaa, s. 70).</w:t>
      </w:r>
    </w:p>
    <w:p w14:paraId="36D0F775" w14:textId="312F569A" w:rsidR="00784138" w:rsidRPr="001B614A" w:rsidRDefault="00817B89" w:rsidP="00784138">
      <w:pPr>
        <w:tabs>
          <w:tab w:val="left" w:pos="3870"/>
        </w:tabs>
        <w:spacing w:line="360" w:lineRule="auto"/>
        <w:ind w:left="270" w:right="-378"/>
        <w:jc w:val="both"/>
        <w:rPr>
          <w:rFonts w:ascii="Palatino Linotype" w:hAnsi="Palatino Linotype" w:cs="Times New Roman"/>
          <w:bCs/>
          <w:sz w:val="21"/>
          <w:szCs w:val="21"/>
        </w:rPr>
      </w:pPr>
      <w:r>
        <w:rPr>
          <w:rFonts w:ascii="Palatino Linotype" w:hAnsi="Palatino Linotype" w:cs="Times New Roman"/>
          <w:b/>
          <w:sz w:val="21"/>
          <w:szCs w:val="21"/>
          <w:lang w:val="tr"/>
        </w:rPr>
        <w:t>III.</w:t>
      </w:r>
      <w:r w:rsidR="00784138" w:rsidRPr="001B614A">
        <w:rPr>
          <w:rFonts w:ascii="Palatino Linotype" w:hAnsi="Palatino Linotype" w:cs="Times New Roman"/>
          <w:b/>
          <w:sz w:val="21"/>
          <w:szCs w:val="21"/>
          <w:lang w:val="tr"/>
        </w:rPr>
        <w:t xml:space="preserve"> AİHM’in Yasak / Türkiye Davasının Süreci </w:t>
      </w:r>
      <w:r w:rsidR="00784138" w:rsidRPr="001B614A">
        <w:rPr>
          <w:rFonts w:ascii="Palatino Linotype" w:hAnsi="Palatino Linotype" w:cs="Times New Roman"/>
          <w:i/>
          <w:sz w:val="21"/>
          <w:szCs w:val="21"/>
          <w:lang w:val="tr"/>
        </w:rPr>
        <w:t xml:space="preserve">(Büyük </w:t>
      </w:r>
      <w:proofErr w:type="gramStart"/>
      <w:r w:rsidR="00784138" w:rsidRPr="001B614A">
        <w:rPr>
          <w:rFonts w:ascii="Palatino Linotype" w:hAnsi="Palatino Linotype" w:cs="Times New Roman"/>
          <w:i/>
          <w:sz w:val="21"/>
          <w:szCs w:val="21"/>
          <w:lang w:val="tr"/>
        </w:rPr>
        <w:t>Daire -</w:t>
      </w:r>
      <w:proofErr w:type="gramEnd"/>
      <w:r w:rsidR="00784138" w:rsidRPr="001B614A">
        <w:rPr>
          <w:rFonts w:ascii="Palatino Linotype" w:hAnsi="Palatino Linotype" w:cs="Times New Roman"/>
          <w:i/>
          <w:sz w:val="21"/>
          <w:szCs w:val="21"/>
          <w:lang w:val="tr"/>
        </w:rPr>
        <w:t xml:space="preserve"> Başvuru No.17389/20; 5 Eylül 2026)</w:t>
      </w:r>
    </w:p>
    <w:p w14:paraId="09B209CA" w14:textId="77777777" w:rsidR="00784138" w:rsidRPr="001B614A" w:rsidRDefault="00784138" w:rsidP="00784138">
      <w:pPr>
        <w:pStyle w:val="ListeParagraf"/>
        <w:numPr>
          <w:ilvl w:val="0"/>
          <w:numId w:val="2"/>
        </w:numPr>
        <w:tabs>
          <w:tab w:val="left" w:pos="3870"/>
        </w:tabs>
        <w:spacing w:line="360" w:lineRule="auto"/>
        <w:ind w:left="630" w:right="-378"/>
        <w:jc w:val="both"/>
        <w:rPr>
          <w:rFonts w:ascii="Palatino Linotype" w:hAnsi="Palatino Linotype" w:cs="Times New Roman"/>
          <w:bCs/>
          <w:sz w:val="21"/>
          <w:szCs w:val="21"/>
        </w:rPr>
      </w:pPr>
      <w:r w:rsidRPr="001B614A">
        <w:rPr>
          <w:rFonts w:ascii="Palatino Linotype" w:hAnsi="Palatino Linotype"/>
          <w:color w:val="000000"/>
          <w:sz w:val="21"/>
          <w:szCs w:val="21"/>
          <w:highlight w:val="yellow"/>
        </w:rPr>
        <w:t>Müvekkil hakkında/</w:t>
      </w:r>
      <w:r w:rsidRPr="00256E5E">
        <w:rPr>
          <w:rFonts w:ascii="Palatino Linotype" w:hAnsi="Palatino Linotype"/>
          <w:color w:val="000000"/>
          <w:sz w:val="21"/>
          <w:szCs w:val="21"/>
          <w:highlight w:val="yellow"/>
        </w:rPr>
        <w:t>hakkımda/eşim hakkında/vasisi olduğum… hakkında</w:t>
      </w:r>
      <w:r w:rsidRPr="001B614A">
        <w:rPr>
          <w:rFonts w:ascii="Palatino Linotype" w:hAnsi="Palatino Linotype"/>
          <w:color w:val="000000"/>
          <w:sz w:val="21"/>
          <w:szCs w:val="21"/>
        </w:rPr>
        <w:t xml:space="preserve"> "silahlı terör örgütü üyeliği" (TCK </w:t>
      </w:r>
      <w:proofErr w:type="spellStart"/>
      <w:r w:rsidRPr="001B614A">
        <w:rPr>
          <w:rFonts w:ascii="Palatino Linotype" w:hAnsi="Palatino Linotype"/>
          <w:color w:val="000000"/>
          <w:sz w:val="21"/>
          <w:szCs w:val="21"/>
        </w:rPr>
        <w:t>md.</w:t>
      </w:r>
      <w:proofErr w:type="spellEnd"/>
      <w:r w:rsidRPr="001B614A">
        <w:rPr>
          <w:rFonts w:ascii="Palatino Linotype" w:hAnsi="Palatino Linotype"/>
          <w:color w:val="000000"/>
          <w:sz w:val="21"/>
          <w:szCs w:val="21"/>
        </w:rPr>
        <w:t xml:space="preserve"> 314/2) suçlamasıyla verilen mahkumiyete gerekçe yapılan hususlar, esasen 15 Temmuz 2016 tarihi öncesinde gerçekleştirildiği iddia edilen ve o dönem itibarıyla tamamen yasal olan veya yasal bir görünüm arz eden, devletin denetimi altındaki rutin faaliyetlere dayanmaktadır. AİHM Büyük Dairesi'nin 5 Mayıs 2026 tarihinde verdiği</w:t>
      </w:r>
      <w:r w:rsidRPr="001B614A">
        <w:rPr>
          <w:rStyle w:val="apple-converted-space"/>
          <w:rFonts w:ascii="Palatino Linotype" w:eastAsiaTheme="majorEastAsia" w:hAnsi="Palatino Linotype"/>
          <w:color w:val="000000"/>
          <w:sz w:val="21"/>
          <w:szCs w:val="21"/>
        </w:rPr>
        <w:t> </w:t>
      </w:r>
      <w:r w:rsidRPr="001B614A">
        <w:rPr>
          <w:rFonts w:ascii="Palatino Linotype" w:hAnsi="Palatino Linotype"/>
          <w:i/>
          <w:iCs/>
          <w:color w:val="000000"/>
          <w:sz w:val="21"/>
          <w:szCs w:val="21"/>
        </w:rPr>
        <w:t>Yasak v. Türkiye</w:t>
      </w:r>
      <w:r w:rsidRPr="001B614A">
        <w:rPr>
          <w:rStyle w:val="apple-converted-space"/>
          <w:rFonts w:ascii="Palatino Linotype" w:eastAsiaTheme="majorEastAsia" w:hAnsi="Palatino Linotype"/>
          <w:color w:val="000000"/>
          <w:sz w:val="21"/>
          <w:szCs w:val="21"/>
        </w:rPr>
        <w:t> </w:t>
      </w:r>
      <w:r w:rsidRPr="001B614A">
        <w:rPr>
          <w:rFonts w:ascii="Palatino Linotype" w:hAnsi="Palatino Linotype"/>
          <w:color w:val="000000"/>
          <w:sz w:val="21"/>
          <w:szCs w:val="21"/>
        </w:rPr>
        <w:t>kararı, bu nitelikteki dosyalarda cezai sorumluluğun tespiti için gerekli olan "manevi unsur" (</w:t>
      </w:r>
      <w:proofErr w:type="spellStart"/>
      <w:r w:rsidRPr="001B614A">
        <w:rPr>
          <w:rFonts w:ascii="Palatino Linotype" w:hAnsi="Palatino Linotype"/>
          <w:color w:val="000000"/>
          <w:sz w:val="21"/>
          <w:szCs w:val="21"/>
        </w:rPr>
        <w:t>mens</w:t>
      </w:r>
      <w:proofErr w:type="spellEnd"/>
      <w:r w:rsidRPr="001B614A">
        <w:rPr>
          <w:rFonts w:ascii="Palatino Linotype" w:hAnsi="Palatino Linotype"/>
          <w:color w:val="000000"/>
          <w:sz w:val="21"/>
          <w:szCs w:val="21"/>
        </w:rPr>
        <w:t xml:space="preserve"> </w:t>
      </w:r>
      <w:proofErr w:type="spellStart"/>
      <w:r w:rsidRPr="001B614A">
        <w:rPr>
          <w:rFonts w:ascii="Palatino Linotype" w:hAnsi="Palatino Linotype"/>
          <w:color w:val="000000"/>
          <w:sz w:val="21"/>
          <w:szCs w:val="21"/>
        </w:rPr>
        <w:t>rea</w:t>
      </w:r>
      <w:proofErr w:type="spellEnd"/>
      <w:r w:rsidRPr="001B614A">
        <w:rPr>
          <w:rFonts w:ascii="Palatino Linotype" w:hAnsi="Palatino Linotype"/>
          <w:color w:val="000000"/>
          <w:sz w:val="21"/>
          <w:szCs w:val="21"/>
        </w:rPr>
        <w:t xml:space="preserve"> / suç kastı) şartını çok net sınırlarla çizmiş ve bu unsurun varlığının somut olarak tespit edilmemesi halinde verilecek mahkûmiyetlerin veya yürütülecek cezai süreçlerin Avrupa İnsan Hakları Sözleşmesi'nin (AİHS) 7. maddesini açıkça ihlal edeceğini hüküm altına almıştır. </w:t>
      </w:r>
      <w:r>
        <w:rPr>
          <w:rFonts w:ascii="Palatino Linotype" w:hAnsi="Palatino Linotype"/>
          <w:color w:val="000000"/>
          <w:sz w:val="21"/>
          <w:szCs w:val="21"/>
        </w:rPr>
        <w:t xml:space="preserve">Başvuruya konu dosyada </w:t>
      </w:r>
      <w:proofErr w:type="gramStart"/>
      <w:r>
        <w:rPr>
          <w:rFonts w:ascii="Palatino Linotype" w:hAnsi="Palatino Linotype"/>
          <w:color w:val="000000"/>
          <w:sz w:val="21"/>
          <w:szCs w:val="21"/>
        </w:rPr>
        <w:t>da</w:t>
      </w:r>
      <w:r w:rsidRPr="001B614A">
        <w:rPr>
          <w:rFonts w:ascii="Palatino Linotype" w:hAnsi="Palatino Linotype"/>
          <w:color w:val="000000"/>
          <w:sz w:val="21"/>
          <w:szCs w:val="21"/>
        </w:rPr>
        <w:t>,</w:t>
      </w:r>
      <w:proofErr w:type="gramEnd"/>
      <w:r w:rsidRPr="001B614A">
        <w:rPr>
          <w:rFonts w:ascii="Palatino Linotype" w:hAnsi="Palatino Linotype"/>
          <w:color w:val="000000"/>
          <w:sz w:val="21"/>
          <w:szCs w:val="21"/>
        </w:rPr>
        <w:t xml:space="preserve"> atılı suçun maddi ve manevi unsurlarının oluşmadığı, bilhassa bu emsal karar ışığında tartışmasız biçimde ortaya çıkmıştır.</w:t>
      </w:r>
    </w:p>
    <w:p w14:paraId="0E2E4C66" w14:textId="77777777" w:rsidR="00784138" w:rsidRPr="001B614A" w:rsidRDefault="00784138" w:rsidP="00784138">
      <w:pPr>
        <w:pStyle w:val="ListeParagraf"/>
        <w:numPr>
          <w:ilvl w:val="0"/>
          <w:numId w:val="2"/>
        </w:numPr>
        <w:tabs>
          <w:tab w:val="left" w:pos="3870"/>
        </w:tabs>
        <w:spacing w:line="360" w:lineRule="auto"/>
        <w:ind w:left="630" w:right="-378"/>
        <w:jc w:val="both"/>
        <w:rPr>
          <w:rFonts w:ascii="Palatino Linotype" w:hAnsi="Palatino Linotype" w:cs="Times New Roman"/>
          <w:bCs/>
          <w:sz w:val="21"/>
          <w:szCs w:val="21"/>
        </w:rPr>
      </w:pPr>
      <w:r w:rsidRPr="001B614A">
        <w:rPr>
          <w:rFonts w:ascii="Palatino Linotype" w:hAnsi="Palatino Linotype"/>
          <w:color w:val="000000"/>
          <w:sz w:val="21"/>
          <w:szCs w:val="21"/>
        </w:rPr>
        <w:t>AİHM Büyük Dairesi,</w:t>
      </w:r>
      <w:r w:rsidRPr="001B614A">
        <w:rPr>
          <w:rStyle w:val="apple-converted-space"/>
          <w:rFonts w:ascii="Palatino Linotype" w:eastAsiaTheme="majorEastAsia" w:hAnsi="Palatino Linotype"/>
          <w:color w:val="000000"/>
          <w:sz w:val="21"/>
          <w:szCs w:val="21"/>
        </w:rPr>
        <w:t> </w:t>
      </w:r>
      <w:r w:rsidRPr="001B614A">
        <w:rPr>
          <w:rFonts w:ascii="Palatino Linotype" w:hAnsi="Palatino Linotype"/>
          <w:i/>
          <w:iCs/>
          <w:color w:val="000000"/>
          <w:sz w:val="21"/>
          <w:szCs w:val="21"/>
        </w:rPr>
        <w:t>Yasak</w:t>
      </w:r>
      <w:r w:rsidRPr="001B614A">
        <w:rPr>
          <w:rStyle w:val="apple-converted-space"/>
          <w:rFonts w:ascii="Palatino Linotype" w:eastAsiaTheme="majorEastAsia" w:hAnsi="Palatino Linotype"/>
          <w:color w:val="000000"/>
          <w:sz w:val="21"/>
          <w:szCs w:val="21"/>
        </w:rPr>
        <w:t> </w:t>
      </w:r>
      <w:r w:rsidRPr="001B614A">
        <w:rPr>
          <w:rFonts w:ascii="Palatino Linotype" w:hAnsi="Palatino Linotype"/>
          <w:color w:val="000000"/>
          <w:sz w:val="21"/>
          <w:szCs w:val="21"/>
        </w:rPr>
        <w:t>kararında hem maddi hem de manevi unsurların somut bir biçimde incelenmeksizin ihlal kararı verilen</w:t>
      </w:r>
      <w:r w:rsidRPr="001B614A">
        <w:rPr>
          <w:rStyle w:val="apple-converted-space"/>
          <w:rFonts w:ascii="Palatino Linotype" w:eastAsiaTheme="majorEastAsia" w:hAnsi="Palatino Linotype"/>
          <w:color w:val="000000"/>
          <w:sz w:val="21"/>
          <w:szCs w:val="21"/>
        </w:rPr>
        <w:t> </w:t>
      </w:r>
      <w:r w:rsidRPr="001B614A">
        <w:rPr>
          <w:rFonts w:ascii="Palatino Linotype" w:hAnsi="Palatino Linotype"/>
          <w:i/>
          <w:iCs/>
          <w:color w:val="000000"/>
          <w:sz w:val="21"/>
          <w:szCs w:val="21"/>
        </w:rPr>
        <w:t>Yalçınkaya</w:t>
      </w:r>
      <w:r w:rsidRPr="001B614A">
        <w:rPr>
          <w:rStyle w:val="apple-converted-space"/>
          <w:rFonts w:ascii="Palatino Linotype" w:eastAsiaTheme="majorEastAsia" w:hAnsi="Palatino Linotype"/>
          <w:color w:val="000000"/>
          <w:sz w:val="21"/>
          <w:szCs w:val="21"/>
        </w:rPr>
        <w:t> </w:t>
      </w:r>
      <w:r w:rsidRPr="001B614A">
        <w:rPr>
          <w:rFonts w:ascii="Palatino Linotype" w:hAnsi="Palatino Linotype"/>
          <w:color w:val="000000"/>
          <w:sz w:val="21"/>
          <w:szCs w:val="21"/>
        </w:rPr>
        <w:t>kararından farklı ve daha spesifik bir inceleme yapmıştır.</w:t>
      </w:r>
      <w:r w:rsidRPr="001B614A">
        <w:rPr>
          <w:rStyle w:val="apple-converted-space"/>
          <w:rFonts w:ascii="Palatino Linotype" w:eastAsiaTheme="majorEastAsia" w:hAnsi="Palatino Linotype"/>
          <w:color w:val="000000"/>
          <w:sz w:val="21"/>
          <w:szCs w:val="21"/>
        </w:rPr>
        <w:t> </w:t>
      </w:r>
      <w:r w:rsidRPr="001B614A">
        <w:rPr>
          <w:rFonts w:ascii="Palatino Linotype" w:hAnsi="Palatino Linotype"/>
          <w:i/>
          <w:iCs/>
          <w:color w:val="000000"/>
          <w:sz w:val="21"/>
          <w:szCs w:val="21"/>
        </w:rPr>
        <w:t>Yalçınkaya</w:t>
      </w:r>
      <w:r w:rsidRPr="001B614A">
        <w:rPr>
          <w:rStyle w:val="apple-converted-space"/>
          <w:rFonts w:ascii="Palatino Linotype" w:eastAsiaTheme="majorEastAsia" w:hAnsi="Palatino Linotype"/>
          <w:color w:val="000000"/>
          <w:sz w:val="21"/>
          <w:szCs w:val="21"/>
        </w:rPr>
        <w:t> </w:t>
      </w:r>
      <w:r w:rsidRPr="001B614A">
        <w:rPr>
          <w:rFonts w:ascii="Palatino Linotype" w:hAnsi="Palatino Linotype"/>
          <w:color w:val="000000"/>
          <w:sz w:val="21"/>
          <w:szCs w:val="21"/>
        </w:rPr>
        <w:t>kararında salt ByLock kullanımından otomatik mahkûmiyet verilmesi ihlal sebebi sayılmışken,</w:t>
      </w:r>
      <w:r w:rsidRPr="001B614A">
        <w:rPr>
          <w:rStyle w:val="apple-converted-space"/>
          <w:rFonts w:ascii="Palatino Linotype" w:eastAsiaTheme="majorEastAsia" w:hAnsi="Palatino Linotype"/>
          <w:color w:val="000000"/>
          <w:sz w:val="21"/>
          <w:szCs w:val="21"/>
        </w:rPr>
        <w:t> </w:t>
      </w:r>
      <w:r w:rsidRPr="001B614A">
        <w:rPr>
          <w:rFonts w:ascii="Palatino Linotype" w:hAnsi="Palatino Linotype"/>
          <w:i/>
          <w:iCs/>
          <w:color w:val="000000"/>
          <w:sz w:val="21"/>
          <w:szCs w:val="21"/>
        </w:rPr>
        <w:t>Yasak</w:t>
      </w:r>
      <w:r w:rsidRPr="001B614A">
        <w:rPr>
          <w:rStyle w:val="apple-converted-space"/>
          <w:rFonts w:ascii="Palatino Linotype" w:eastAsiaTheme="majorEastAsia" w:hAnsi="Palatino Linotype"/>
          <w:color w:val="000000"/>
          <w:sz w:val="21"/>
          <w:szCs w:val="21"/>
        </w:rPr>
        <w:t> </w:t>
      </w:r>
      <w:r w:rsidRPr="001B614A">
        <w:rPr>
          <w:rFonts w:ascii="Palatino Linotype" w:hAnsi="Palatino Linotype"/>
          <w:color w:val="000000"/>
          <w:sz w:val="21"/>
          <w:szCs w:val="21"/>
        </w:rPr>
        <w:t>dosyasında çok daha geniş bir delil yelpazesi temelinde aynı suçtan mahkûmiyet kurulmuş olmasına rağmen, konunun yine</w:t>
      </w:r>
      <w:r w:rsidRPr="001B614A">
        <w:rPr>
          <w:rStyle w:val="apple-converted-space"/>
          <w:rFonts w:ascii="Palatino Linotype" w:eastAsiaTheme="majorEastAsia" w:hAnsi="Palatino Linotype"/>
          <w:color w:val="000000"/>
          <w:sz w:val="21"/>
          <w:szCs w:val="21"/>
        </w:rPr>
        <w:t> </w:t>
      </w:r>
      <w:r w:rsidRPr="001B614A">
        <w:rPr>
          <w:rFonts w:ascii="Palatino Linotype" w:hAnsi="Palatino Linotype"/>
          <w:i/>
          <w:iCs/>
          <w:color w:val="000000"/>
          <w:sz w:val="21"/>
          <w:szCs w:val="21"/>
        </w:rPr>
        <w:t>Yalçınkaya</w:t>
      </w:r>
      <w:r w:rsidRPr="001B614A">
        <w:rPr>
          <w:rFonts w:ascii="Palatino Linotype" w:hAnsi="Palatino Linotype"/>
          <w:color w:val="000000"/>
          <w:sz w:val="21"/>
          <w:szCs w:val="21"/>
        </w:rPr>
        <w:t xml:space="preserve">’daki aynı yapısal sorunu gündeme getirdiği belirtilmiştir (§§ 201-202). AİHM, bu kararda ulusal mahkemelerin suçun maddi ve manevi unsurlarını bireyselleştirme yaparak ortaya koyup </w:t>
      </w:r>
      <w:r w:rsidRPr="001B614A">
        <w:rPr>
          <w:rFonts w:ascii="Palatino Linotype" w:hAnsi="Palatino Linotype"/>
          <w:color w:val="000000"/>
          <w:sz w:val="21"/>
          <w:szCs w:val="21"/>
        </w:rPr>
        <w:lastRenderedPageBreak/>
        <w:t>koymadıklarını inceleyeceğini belirtmiş ve devamında manevi unsur (kasıt) yokluğu bakımından çok kapsamlı bir değerlendirme yaparak ihlal olduğu sonucuna varmıştır (§§ 200-201). Bu durum, eylemleri ne denli çeşitli olursa olsun, kastın yokluğu halinde suçun oluşmayacağının en net göstergesidir.</w:t>
      </w:r>
    </w:p>
    <w:p w14:paraId="21359982" w14:textId="77777777" w:rsidR="00784138" w:rsidRPr="001B614A" w:rsidRDefault="00784138" w:rsidP="00784138">
      <w:pPr>
        <w:pStyle w:val="ListeParagraf"/>
        <w:numPr>
          <w:ilvl w:val="0"/>
          <w:numId w:val="2"/>
        </w:numPr>
        <w:tabs>
          <w:tab w:val="left" w:pos="3870"/>
        </w:tabs>
        <w:spacing w:line="360" w:lineRule="auto"/>
        <w:ind w:left="630" w:right="-378"/>
        <w:jc w:val="both"/>
        <w:rPr>
          <w:rFonts w:ascii="Palatino Linotype" w:hAnsi="Palatino Linotype" w:cs="Times New Roman"/>
          <w:bCs/>
          <w:sz w:val="21"/>
          <w:szCs w:val="21"/>
        </w:rPr>
      </w:pPr>
      <w:r w:rsidRPr="001B614A">
        <w:rPr>
          <w:rFonts w:ascii="Palatino Linotype" w:hAnsi="Palatino Linotype"/>
          <w:color w:val="000000"/>
          <w:sz w:val="21"/>
          <w:szCs w:val="21"/>
        </w:rPr>
        <w:t>Mahkeme, söz konusu kararda eylemlerin zamansal yönü (15 Temmuz öncesi olması) ve türü (örneğin eğitim alanında veya yasal zeminde olması) bakımından manevi unsurun titizlikle değerlendirilmesini özellikle önemsemiş ve bu unsurun değerlendirmesinin somut delillerle yapılmamış olmasını doğrudan 7. maddenin ihlaline dayanak yapmıştır. Kararda kolektif suçluluk ya da suç ortaklığı (aidiyet/iltisak temelli cezalandırma) yaklaşımı açıkça ve kesin bir dille reddedilmiş, cezai sorumluluğun tamamen bireysel olarak ve "suç kastıyla" birlikte tespitinin zorunlu olduğu kabul edilmiştir (§§ 202-203). Mahkeme, örtülü olarak da olsa, bu tür dosyalarda yerel mahkemelerin kolektif suçluluk yaklaşımıyla mahkûmiyet verdiklerini kayda geçirmiş ve bu hukuka aykırı pratiği mahkûm etmiştir.</w:t>
      </w:r>
    </w:p>
    <w:p w14:paraId="31FE1816" w14:textId="77777777" w:rsidR="000D5450" w:rsidRPr="000D5450" w:rsidRDefault="00784138" w:rsidP="000D5450">
      <w:pPr>
        <w:pStyle w:val="ListeParagraf"/>
        <w:numPr>
          <w:ilvl w:val="0"/>
          <w:numId w:val="2"/>
        </w:numPr>
        <w:tabs>
          <w:tab w:val="left" w:pos="3870"/>
        </w:tabs>
        <w:spacing w:line="360" w:lineRule="auto"/>
        <w:ind w:left="630" w:right="-378"/>
        <w:jc w:val="both"/>
        <w:rPr>
          <w:rFonts w:ascii="Palatino Linotype" w:hAnsi="Palatino Linotype" w:cs="Times New Roman"/>
          <w:bCs/>
          <w:sz w:val="21"/>
          <w:szCs w:val="21"/>
        </w:rPr>
      </w:pPr>
      <w:r w:rsidRPr="001B614A">
        <w:rPr>
          <w:rFonts w:ascii="Palatino Linotype" w:hAnsi="Palatino Linotype"/>
          <w:color w:val="000000"/>
          <w:sz w:val="21"/>
          <w:szCs w:val="21"/>
        </w:rPr>
        <w:t xml:space="preserve">Kararda bilhassa vurgulanan bir diğer önemli husus, TCK'nın 314. maddesinde düzenlenen suçun mahiyetidir. Mahkemeye göre, bu suç sıradan veya suç faaliyetlerinde bulunan herhangi bir yapıya üyeliği değil, doğrudan doğruya "şiddete" başvurmakta olan bir silahlı terör örgütü üyeliğini ilgilendirmektedir. Bu nedenle sanığın, suç tarihinde örgütün amaçları ve "şiddet içeren yöntemlerinden" haberdar olduğunu somut olarak göstermek, cezalandırmanın vazgeçilmez bir ön koşuludur. Yargıtay tarafından geliştirilen kasıt içtihadı da kişinin bilerek ve isteyerek hareket ettiğinin, yani bizzat şiddete başvuran böyle bir terör örgütünün parçası olmayı arzuladığının ortaya konulmasını gerektirmektedir. AİHM'e göre, bir eylemi sadece örgütle temas kurmaktan ya da açıkça suç işleme kastı olmaksızın örgüte salt üye olmaktan ayıran </w:t>
      </w:r>
      <w:proofErr w:type="gramStart"/>
      <w:r w:rsidRPr="001B614A">
        <w:rPr>
          <w:rFonts w:ascii="Palatino Linotype" w:hAnsi="Palatino Linotype"/>
          <w:color w:val="000000"/>
          <w:sz w:val="21"/>
          <w:szCs w:val="21"/>
        </w:rPr>
        <w:t>yegane</w:t>
      </w:r>
      <w:proofErr w:type="gramEnd"/>
      <w:r w:rsidRPr="001B614A">
        <w:rPr>
          <w:rFonts w:ascii="Palatino Linotype" w:hAnsi="Palatino Linotype"/>
          <w:color w:val="000000"/>
          <w:sz w:val="21"/>
          <w:szCs w:val="21"/>
        </w:rPr>
        <w:t xml:space="preserve"> husus budur (§ 203). Yani Mahkeme, salt yapı üyeliğinin değil, ancak amaçları ve şiddet içeren yöntemlerinden haberdar olunduğu kanıtlanabilen kişilerin terör örgütü üyesi olarak cezalandırılabileceğini belirtmektedir.</w:t>
      </w:r>
    </w:p>
    <w:p w14:paraId="07DA416E" w14:textId="0CE11562" w:rsidR="00784138" w:rsidRPr="000D5450" w:rsidRDefault="00784138" w:rsidP="000D5450">
      <w:pPr>
        <w:pStyle w:val="ListeParagraf"/>
        <w:numPr>
          <w:ilvl w:val="0"/>
          <w:numId w:val="2"/>
        </w:numPr>
        <w:tabs>
          <w:tab w:val="left" w:pos="3870"/>
        </w:tabs>
        <w:spacing w:line="360" w:lineRule="auto"/>
        <w:ind w:left="630" w:right="-378"/>
        <w:jc w:val="both"/>
        <w:rPr>
          <w:rFonts w:ascii="Palatino Linotype" w:hAnsi="Palatino Linotype" w:cs="Times New Roman"/>
          <w:bCs/>
          <w:sz w:val="21"/>
          <w:szCs w:val="21"/>
        </w:rPr>
      </w:pPr>
      <w:r w:rsidRPr="000D5450">
        <w:rPr>
          <w:rFonts w:ascii="Palatino Linotype" w:hAnsi="Palatino Linotype"/>
          <w:bCs/>
        </w:rPr>
        <w:t>Mütalaada da aynı doğrultuda, örgüt üyeliği suçunun ancak doğrudan kastla işlenebileceği, olası kastla işlenemeyeceği ve bu suçun “amaç suç” niteliği taşıdığı; mahkûmiyet için kişinin ya intisap edilen örgütün faaliyeti çerçevesinde bir suç işlemesi ya da örgüte bu özelliğini bilerek ve isteyerek yardım etmesi gerektiği belirtilmiştir. Mütalaanın ifadesiyle: “TCK ve TMK düzenlemeleri, bu fiiller olmadan örgüt üyeliğinden mahkûmiyete asla izin vermemektedir.” (Mütalaa, s. 3-4).</w:t>
      </w:r>
    </w:p>
    <w:p w14:paraId="1DD5BE14" w14:textId="77777777" w:rsidR="000D5450" w:rsidRPr="000D5450" w:rsidRDefault="00784138" w:rsidP="000D5450">
      <w:pPr>
        <w:pStyle w:val="ListeParagraf"/>
        <w:numPr>
          <w:ilvl w:val="0"/>
          <w:numId w:val="2"/>
        </w:numPr>
        <w:tabs>
          <w:tab w:val="left" w:pos="3870"/>
        </w:tabs>
        <w:spacing w:line="360" w:lineRule="auto"/>
        <w:ind w:left="630" w:right="-378"/>
        <w:jc w:val="both"/>
        <w:rPr>
          <w:rFonts w:ascii="Palatino Linotype" w:hAnsi="Palatino Linotype" w:cs="Times New Roman"/>
          <w:bCs/>
          <w:sz w:val="21"/>
          <w:szCs w:val="21"/>
        </w:rPr>
      </w:pPr>
      <w:r w:rsidRPr="001B614A">
        <w:rPr>
          <w:rFonts w:ascii="Palatino Linotype" w:hAnsi="Palatino Linotype"/>
          <w:color w:val="000000"/>
          <w:sz w:val="21"/>
          <w:szCs w:val="21"/>
        </w:rPr>
        <w:t xml:space="preserve">AİHM, kasıt unsurunun nasıl tespit edileceğine ve çıkarım yapılacağına dair ulusal mahkemelerin uygulamasını incelemiş ve izlenen yöntemi son derece sorunlu bulmuştur. </w:t>
      </w:r>
      <w:r w:rsidRPr="001B614A">
        <w:rPr>
          <w:rFonts w:ascii="Palatino Linotype" w:hAnsi="Palatino Linotype"/>
          <w:color w:val="000000"/>
          <w:sz w:val="21"/>
          <w:szCs w:val="21"/>
        </w:rPr>
        <w:lastRenderedPageBreak/>
        <w:t>Mahkemeye göre bu tespit, varsayımlarla değil bireysel olarak her kişi özelinde yapılmalıdır. Toplumun her kesiminde yer edinmiş Cemaat/Yapı yargılamalarında bu zorunluluk bilhassa elzemdir. Zira salt Cemaat mensubiyetinin veya temasının doğrudan terör örgütü üyeliği olarak cezalandırılmaması için bu ayrımın yapılması şarttır. Başvuranın atfedilen fiillerinin gerçekleştiği zaman ve fiilin kendi bağlamından hareketle manevi unsur çıkarımı büyük bir titizlikle yapılmak zorundadır (§ 204). Müvekkilin dosyasında da atılı yasal eylemlerden suç kastı çıkarılması, AİHM'in aradığı bu titizlikten tamamen yoksundur.</w:t>
      </w:r>
    </w:p>
    <w:p w14:paraId="1DB18F67" w14:textId="5120046F" w:rsidR="000D5450" w:rsidRPr="000D5450" w:rsidRDefault="00784138" w:rsidP="000D5450">
      <w:pPr>
        <w:pStyle w:val="ListeParagraf"/>
        <w:numPr>
          <w:ilvl w:val="0"/>
          <w:numId w:val="2"/>
        </w:numPr>
        <w:tabs>
          <w:tab w:val="left" w:pos="3870"/>
        </w:tabs>
        <w:spacing w:line="360" w:lineRule="auto"/>
        <w:ind w:left="630" w:right="-378"/>
        <w:jc w:val="both"/>
        <w:rPr>
          <w:rFonts w:ascii="Palatino Linotype" w:hAnsi="Palatino Linotype" w:cs="Times New Roman"/>
          <w:bCs/>
          <w:sz w:val="21"/>
          <w:szCs w:val="21"/>
        </w:rPr>
      </w:pPr>
      <w:r w:rsidRPr="000D5450">
        <w:rPr>
          <w:rFonts w:ascii="Palatino Linotype" w:hAnsi="Palatino Linotype"/>
          <w:bCs/>
        </w:rPr>
        <w:t xml:space="preserve">Mütalaada </w:t>
      </w:r>
      <w:proofErr w:type="gramStart"/>
      <w:r w:rsidRPr="000D5450">
        <w:rPr>
          <w:rFonts w:ascii="Palatino Linotype" w:hAnsi="Palatino Linotype"/>
          <w:bCs/>
        </w:rPr>
        <w:t>da,</w:t>
      </w:r>
      <w:proofErr w:type="gramEnd"/>
      <w:r w:rsidRPr="000D5450">
        <w:rPr>
          <w:rFonts w:ascii="Palatino Linotype" w:hAnsi="Palatino Linotype"/>
          <w:bCs/>
        </w:rPr>
        <w:t xml:space="preserve"> “bir oluşumun çekirdeğini oluşturan kişiler suç işlemek amacıyla hareket etmekle birlikte, bu oluşumun içinde yer alan ve fakat bu amaçtan habersiz olan kişilerin, suç işlemek amacıyla kurulmuş bir örgüte üye olmaktan sorumlu tutulamayacakları” açıkça ifade edilmiştir (Mütalaa, s. 7).</w:t>
      </w:r>
    </w:p>
    <w:p w14:paraId="14901BEC" w14:textId="780CCA15" w:rsidR="00784138" w:rsidRPr="000D5450" w:rsidRDefault="00784138" w:rsidP="000D5450">
      <w:pPr>
        <w:pStyle w:val="ListeParagraf"/>
        <w:numPr>
          <w:ilvl w:val="0"/>
          <w:numId w:val="2"/>
        </w:numPr>
        <w:tabs>
          <w:tab w:val="left" w:pos="3870"/>
        </w:tabs>
        <w:spacing w:line="360" w:lineRule="auto"/>
        <w:ind w:left="630" w:right="-378"/>
        <w:jc w:val="both"/>
        <w:rPr>
          <w:rFonts w:ascii="Palatino Linotype" w:hAnsi="Palatino Linotype" w:cs="Times New Roman"/>
          <w:bCs/>
          <w:sz w:val="21"/>
          <w:szCs w:val="21"/>
        </w:rPr>
      </w:pPr>
      <w:r w:rsidRPr="000D5450">
        <w:rPr>
          <w:rFonts w:ascii="Palatino Linotype" w:hAnsi="Palatino Linotype"/>
          <w:bCs/>
        </w:rPr>
        <w:t>Bununla bağlantılı olarak mütalaada, ceza sorumluluğunun ancak kanunda tanımlanan statüler bakımından doğabileceği; kurucu, yönetici, üye, örgüt adına suç işlemek, örgüte yardım etmek ve propagandasını yapmak dışında bir ilişki biçiminin yaptırım uygulanmasını gerektirmeyeceği; “sempatizan, radikal, köktenci, irtibatlı” gibi terimlerin ise sorumluluk doğuracak bir gerekçelendirmeye esas alınamayacağı belirtilmiştir. Bu, suçta ve cezada kanunilik ilkesinin doğal bir sonucudur (Mütalaa, s. 66).</w:t>
      </w:r>
    </w:p>
    <w:p w14:paraId="619FE1DB" w14:textId="77777777" w:rsidR="000D5450" w:rsidRPr="000D5450" w:rsidRDefault="00784138" w:rsidP="000D5450">
      <w:pPr>
        <w:pStyle w:val="ListeParagraf"/>
        <w:numPr>
          <w:ilvl w:val="0"/>
          <w:numId w:val="2"/>
        </w:numPr>
        <w:tabs>
          <w:tab w:val="left" w:pos="3870"/>
        </w:tabs>
        <w:spacing w:line="360" w:lineRule="auto"/>
        <w:ind w:left="630" w:right="-378"/>
        <w:jc w:val="both"/>
        <w:rPr>
          <w:rFonts w:ascii="Palatino Linotype" w:hAnsi="Palatino Linotype" w:cs="Times New Roman"/>
          <w:bCs/>
          <w:sz w:val="21"/>
          <w:szCs w:val="21"/>
        </w:rPr>
      </w:pPr>
      <w:r w:rsidRPr="001B614A">
        <w:rPr>
          <w:rFonts w:ascii="Palatino Linotype" w:hAnsi="Palatino Linotype"/>
          <w:color w:val="000000"/>
          <w:sz w:val="21"/>
          <w:szCs w:val="21"/>
        </w:rPr>
        <w:t>Büyük Daire, kararında çok önemli bir "zamansal" değerlendirme yapmıştır. Başvurucuya atfedilen eylemlerin ne zaman gerçekleştirildiği dahi tam belirlenmeden, iddialar üzerine mahkûmiyet kurulması eleştirilmiştir. İlgili yapının önce idari makamlar tarafından, sonra da mahkemeler tarafından 15 Temmuz 2016 sonrası terör örgütü olarak tanındığı gerçeği karşısında AİHM, ulusal makamların ve mahkemelerin, başvuranın söz konusu yapı içinde bulunmasının "masum bir katılımla mı" yoksa bilinçli bir "terörist projeye katılma kastıyla mı" olduğunu değerlendirmek zorunda olduğunu açıkça ifade etmiştir. 2014 yılına veya 15 Temmuz öncesine kadar gerçekleştirilen eylemlerin kasıt unsurunu nasıl oluşturduğu, varsayımlarla değil maddi gerçeklikle açıklanmalıdır (§ 205).</w:t>
      </w:r>
    </w:p>
    <w:p w14:paraId="0FEB3D6F" w14:textId="77777777" w:rsidR="000D5450" w:rsidRPr="000D5450" w:rsidRDefault="00784138" w:rsidP="000D5450">
      <w:pPr>
        <w:pStyle w:val="ListeParagraf"/>
        <w:numPr>
          <w:ilvl w:val="0"/>
          <w:numId w:val="2"/>
        </w:numPr>
        <w:tabs>
          <w:tab w:val="left" w:pos="3870"/>
        </w:tabs>
        <w:spacing w:line="360" w:lineRule="auto"/>
        <w:ind w:left="630" w:right="-378"/>
        <w:jc w:val="both"/>
        <w:rPr>
          <w:rFonts w:ascii="Palatino Linotype" w:hAnsi="Palatino Linotype" w:cs="Times New Roman"/>
          <w:bCs/>
          <w:sz w:val="21"/>
          <w:szCs w:val="21"/>
        </w:rPr>
      </w:pPr>
      <w:r w:rsidRPr="000D5450">
        <w:rPr>
          <w:rFonts w:ascii="Palatino Linotype" w:hAnsi="Palatino Linotype"/>
          <w:bCs/>
        </w:rPr>
        <w:t xml:space="preserve">Mütalaada </w:t>
      </w:r>
      <w:proofErr w:type="gramStart"/>
      <w:r w:rsidRPr="000D5450">
        <w:rPr>
          <w:rFonts w:ascii="Palatino Linotype" w:hAnsi="Palatino Linotype"/>
          <w:bCs/>
        </w:rPr>
        <w:t>da,</w:t>
      </w:r>
      <w:proofErr w:type="gramEnd"/>
      <w:r w:rsidRPr="000D5450">
        <w:rPr>
          <w:rFonts w:ascii="Palatino Linotype" w:hAnsi="Palatino Linotype"/>
          <w:bCs/>
        </w:rPr>
        <w:t xml:space="preserve"> bir örgütsel yapının suç örgütüne evrilmesinin bir maddi vakıa sorunu olduğu; bir yapının Millî Güvenlik Kurulu kararlarıyla suç örgütüne evrildiğini kabul etmenin “yargı faaliyeti bakımından hiçbir öneminin bulunmadığı” önemle vurgulanmıştır (Mütalaa, s. 4-5). AİHM Büyük Dairesi de ulusal yargıda adeta birer otomatik suç karinesi olarak kurgulanan “milat” tarihlerinin ceza hukuku dogmatiği açısından hiçbir kurucu değer taşımadığını açıkça saptamıştır (Mütalaa, s. 48-49).</w:t>
      </w:r>
    </w:p>
    <w:p w14:paraId="4FA34111" w14:textId="4EA08551" w:rsidR="00784138" w:rsidRPr="000D5450" w:rsidRDefault="00784138" w:rsidP="000D5450">
      <w:pPr>
        <w:pStyle w:val="ListeParagraf"/>
        <w:numPr>
          <w:ilvl w:val="0"/>
          <w:numId w:val="2"/>
        </w:numPr>
        <w:tabs>
          <w:tab w:val="left" w:pos="3870"/>
        </w:tabs>
        <w:spacing w:line="360" w:lineRule="auto"/>
        <w:ind w:left="630" w:right="-378"/>
        <w:jc w:val="both"/>
        <w:rPr>
          <w:rFonts w:ascii="Palatino Linotype" w:hAnsi="Palatino Linotype" w:cs="Times New Roman"/>
          <w:bCs/>
          <w:sz w:val="21"/>
          <w:szCs w:val="21"/>
        </w:rPr>
      </w:pPr>
      <w:r w:rsidRPr="000D5450">
        <w:rPr>
          <w:rFonts w:ascii="Palatino Linotype" w:hAnsi="Palatino Linotype"/>
          <w:bCs/>
        </w:rPr>
        <w:lastRenderedPageBreak/>
        <w:t>Mütalaada, 15 Temmuz 2016 öncesinde herhangi somut bir suçun icrasına iştirak etmemiş olmak kaydıyla, sırf hayrî mülahazalarla çeşitli derneklere, vakıflara veya sosyal etkinliklere maddi veya manevi yardımda bulunan, bu kurumlarda kurucu, yönetici veya üye olarak yer alan kişilerin salt bu sebeple terör örgütü üyesi olarak sorumlu tutulmasının “hukuken mümkün değil” olduğu sonucuna varılmıştır (Mütalaa, s. 9 ve s. 66).</w:t>
      </w:r>
    </w:p>
    <w:p w14:paraId="389F7D87" w14:textId="77777777" w:rsidR="00784138" w:rsidRPr="001B614A" w:rsidRDefault="00784138" w:rsidP="00784138">
      <w:pPr>
        <w:pStyle w:val="ListeParagraf"/>
        <w:numPr>
          <w:ilvl w:val="0"/>
          <w:numId w:val="2"/>
        </w:numPr>
        <w:tabs>
          <w:tab w:val="left" w:pos="3870"/>
        </w:tabs>
        <w:spacing w:line="360" w:lineRule="auto"/>
        <w:ind w:left="630" w:right="-378"/>
        <w:jc w:val="both"/>
        <w:rPr>
          <w:rFonts w:ascii="Palatino Linotype" w:hAnsi="Palatino Linotype" w:cs="Times New Roman"/>
          <w:bCs/>
          <w:sz w:val="21"/>
          <w:szCs w:val="21"/>
        </w:rPr>
      </w:pPr>
      <w:r w:rsidRPr="001B614A">
        <w:rPr>
          <w:rFonts w:ascii="Palatino Linotype" w:hAnsi="Palatino Linotype"/>
          <w:color w:val="000000"/>
          <w:sz w:val="21"/>
          <w:szCs w:val="21"/>
        </w:rPr>
        <w:t xml:space="preserve">Mahkeme, kişilerin 17/25 Aralık sürecinden sonra da bağlarını sürdürmesini ulusal mahkemelerin bir faktör olarak ele almasını ikincillik ilkesi gereği ulusal takdir marjında görse </w:t>
      </w:r>
      <w:proofErr w:type="gramStart"/>
      <w:r w:rsidRPr="001B614A">
        <w:rPr>
          <w:rFonts w:ascii="Palatino Linotype" w:hAnsi="Palatino Linotype"/>
          <w:color w:val="000000"/>
          <w:sz w:val="21"/>
          <w:szCs w:val="21"/>
        </w:rPr>
        <w:t>de,</w:t>
      </w:r>
      <w:proofErr w:type="gramEnd"/>
      <w:r w:rsidRPr="001B614A">
        <w:rPr>
          <w:rFonts w:ascii="Palatino Linotype" w:hAnsi="Palatino Linotype"/>
          <w:color w:val="000000"/>
          <w:sz w:val="21"/>
          <w:szCs w:val="21"/>
        </w:rPr>
        <w:t xml:space="preserve"> bu durumun kişilere karşı gelişigüzel bir silaha dönüştürülemeyeceğini hükme bağlamıştır. Ulusal mahkemeler bu bağlantıyı sürdüren herkes için otomatik suçlu muamelesi yapamaz; mensubiyetin devam ettiği zamana ve kişinin icra ettiği faaliyetlerin bağlamına bakıp kasıt unsurunun gerçekten var olup olmadığını somut olarak incelemek zorundadır (§ 206). Hele ki iddia edilen olguların şiddet eylemleriyle doğrudan hiçbir bağlantısı yoksa buna çok daha özel bir dikkat gösterilmelidir. Müvekkile atfedilen eylemlerin tamamı hukuka uygun eylemlerdir ve bu eylemlerin sırf belirli bir tarihten sonra yapıldığı varsayımıyla terör kastına yorulması </w:t>
      </w:r>
      <w:proofErr w:type="spellStart"/>
      <w:r w:rsidRPr="001B614A">
        <w:rPr>
          <w:rFonts w:ascii="Palatino Linotype" w:hAnsi="Palatino Linotype"/>
          <w:color w:val="000000"/>
          <w:sz w:val="21"/>
          <w:szCs w:val="21"/>
        </w:rPr>
        <w:t>AİHS’e</w:t>
      </w:r>
      <w:proofErr w:type="spellEnd"/>
      <w:r w:rsidRPr="001B614A">
        <w:rPr>
          <w:rFonts w:ascii="Palatino Linotype" w:hAnsi="Palatino Linotype"/>
          <w:color w:val="000000"/>
          <w:sz w:val="21"/>
          <w:szCs w:val="21"/>
        </w:rPr>
        <w:t xml:space="preserve"> açıkça aykırıdır.</w:t>
      </w:r>
    </w:p>
    <w:p w14:paraId="599F70B2" w14:textId="77777777" w:rsidR="00784138" w:rsidRPr="001B614A" w:rsidRDefault="00784138" w:rsidP="00784138">
      <w:pPr>
        <w:pStyle w:val="ListeParagraf"/>
        <w:numPr>
          <w:ilvl w:val="0"/>
          <w:numId w:val="2"/>
        </w:numPr>
        <w:tabs>
          <w:tab w:val="left" w:pos="3870"/>
        </w:tabs>
        <w:spacing w:line="360" w:lineRule="auto"/>
        <w:ind w:left="630" w:right="-378"/>
        <w:jc w:val="both"/>
        <w:rPr>
          <w:rFonts w:ascii="Palatino Linotype" w:hAnsi="Palatino Linotype" w:cs="Times New Roman"/>
          <w:bCs/>
          <w:sz w:val="21"/>
          <w:szCs w:val="21"/>
        </w:rPr>
      </w:pPr>
      <w:r w:rsidRPr="001B614A">
        <w:rPr>
          <w:rFonts w:ascii="Palatino Linotype" w:hAnsi="Palatino Linotype"/>
          <w:color w:val="000000"/>
          <w:sz w:val="21"/>
          <w:szCs w:val="21"/>
        </w:rPr>
        <w:t>Mahkeme, suç veya terör örgütlerine üyelikle ilgili davalarda kişinin belirli bir süre devam eden davranışlarının bir bütün olarak değerlendirilip kasıt çıkarımı yapılmasını teorik olarak kabul edilebilir bulsa da bunun mutlak surette 7. maddeye uygun yapılması gerektiğini belirtmektedir (§ 207). İtirafın az olduğu dosyalarda yargı makamlarının varsayımsal örgüt çıkarımı yapmasının yaygın olduğu kabul edilmekle birlikte, somut dosyalarda zamansal durumun dikkate alınmaması ve bağlamsal analizin yapılmaması doğrudan hak ihlali yaratmaktadır.</w:t>
      </w:r>
    </w:p>
    <w:p w14:paraId="54B32F89" w14:textId="24BB9EC7" w:rsidR="00784138" w:rsidRPr="001B614A" w:rsidRDefault="00784138" w:rsidP="00784138">
      <w:pPr>
        <w:pStyle w:val="ListeParagraf"/>
        <w:numPr>
          <w:ilvl w:val="0"/>
          <w:numId w:val="2"/>
        </w:numPr>
        <w:tabs>
          <w:tab w:val="left" w:pos="3870"/>
        </w:tabs>
        <w:spacing w:line="360" w:lineRule="auto"/>
        <w:ind w:left="630" w:right="-378"/>
        <w:jc w:val="both"/>
        <w:rPr>
          <w:rFonts w:ascii="Palatino Linotype" w:hAnsi="Palatino Linotype" w:cs="Times New Roman"/>
          <w:bCs/>
          <w:sz w:val="21"/>
          <w:szCs w:val="21"/>
        </w:rPr>
      </w:pPr>
      <w:r w:rsidRPr="001B614A">
        <w:rPr>
          <w:rFonts w:ascii="Palatino Linotype" w:hAnsi="Palatino Linotype"/>
          <w:color w:val="000000"/>
          <w:sz w:val="21"/>
          <w:szCs w:val="21"/>
        </w:rPr>
        <w:t xml:space="preserve">AİHM'in kararda "bağlamsal analiz" ile neyi kastettiği de detaylandırılmıştır. Söz konusu yapının uzun yıllar boyunca toplumun değişik alanlarına, özellikle eğitim, sağlık ve finans alanlarına derinlemesine yerleştiği, yasal olarak ve devletin denetiminde faaliyet gösterdiği vurgulanmıştır. Dolayısıyla toplumun geniş bir kesimini oluşturan çok sayıda kişinin, bu yapının (iddia edilen) gerçek amaçlarından veya gizli niyetlerinden hiçbir şekilde haberdar olmadan </w:t>
      </w:r>
      <w:r w:rsidR="003D5844">
        <w:rPr>
          <w:rFonts w:ascii="Palatino Linotype" w:hAnsi="Palatino Linotype"/>
          <w:color w:val="000000"/>
        </w:rPr>
        <w:t>yapının</w:t>
      </w:r>
      <w:r w:rsidRPr="001B614A">
        <w:rPr>
          <w:rFonts w:ascii="Palatino Linotype" w:hAnsi="Palatino Linotype"/>
          <w:color w:val="000000"/>
          <w:sz w:val="21"/>
          <w:szCs w:val="21"/>
        </w:rPr>
        <w:t xml:space="preserve"> görünür ve yasal yapılarıyla temas kurmuş, faaliyet sürdürmüş olması son derece olağandır. Hal böyleyken, terör örgütü üyeliği suçunun en zorunlu unsuru olan "kasıt" unsurunun tespitinin önemi bir kat daha artmaktadır (§ 208). Müvekkilin rutin yaşam çizgisi </w:t>
      </w:r>
      <w:r w:rsidRPr="001B614A">
        <w:rPr>
          <w:rFonts w:ascii="Palatino Linotype" w:hAnsi="Palatino Linotype"/>
          <w:color w:val="000000"/>
          <w:sz w:val="21"/>
          <w:szCs w:val="21"/>
        </w:rPr>
        <w:lastRenderedPageBreak/>
        <w:t>içerisindeki faaliyetlerinin de bu bağlamsal gerçeklikten kopuk değerlendirilmesi hukuken mümkün değildir.</w:t>
      </w:r>
    </w:p>
    <w:p w14:paraId="7933708F" w14:textId="710E0706" w:rsidR="00784138" w:rsidRPr="001B614A" w:rsidRDefault="00784138" w:rsidP="00784138">
      <w:pPr>
        <w:pStyle w:val="ListeParagraf"/>
        <w:numPr>
          <w:ilvl w:val="0"/>
          <w:numId w:val="2"/>
        </w:numPr>
        <w:tabs>
          <w:tab w:val="left" w:pos="3870"/>
        </w:tabs>
        <w:spacing w:line="360" w:lineRule="auto"/>
        <w:ind w:left="630" w:right="-378"/>
        <w:jc w:val="both"/>
        <w:rPr>
          <w:rFonts w:ascii="Palatino Linotype" w:hAnsi="Palatino Linotype" w:cs="Times New Roman"/>
          <w:bCs/>
          <w:sz w:val="21"/>
          <w:szCs w:val="21"/>
        </w:rPr>
      </w:pPr>
      <w:r w:rsidRPr="001B614A">
        <w:rPr>
          <w:rFonts w:ascii="Palatino Linotype" w:hAnsi="Palatino Linotype"/>
          <w:color w:val="000000"/>
          <w:sz w:val="21"/>
          <w:szCs w:val="21"/>
        </w:rPr>
        <w:t xml:space="preserve">AİHM, yargılama makamlarının "kişinin bir görev üstlendiği veya şiddet kullanımını öngörebilecek durumda olduğu" şeklindeki niyet okuyucu yaklaşımını açıkça ve kesin bir dille reddetmiştir. Mahkeme burada çok temel bir ilke ortaya koymuştur: </w:t>
      </w:r>
      <w:r w:rsidRPr="001B614A">
        <w:rPr>
          <w:rFonts w:ascii="Palatino Linotype" w:hAnsi="Palatino Linotype"/>
          <w:b/>
          <w:bCs/>
          <w:color w:val="000000"/>
          <w:sz w:val="21"/>
          <w:szCs w:val="21"/>
        </w:rPr>
        <w:t xml:space="preserve">Ulusal mahkemelerin, kişinin </w:t>
      </w:r>
      <w:r w:rsidR="003D5844" w:rsidRPr="003D5844">
        <w:rPr>
          <w:rFonts w:ascii="Palatino Linotype" w:hAnsi="Palatino Linotype"/>
          <w:b/>
          <w:bCs/>
          <w:color w:val="000000"/>
        </w:rPr>
        <w:t>yapının</w:t>
      </w:r>
      <w:r w:rsidRPr="001B614A">
        <w:rPr>
          <w:rFonts w:ascii="Palatino Linotype" w:hAnsi="Palatino Linotype"/>
          <w:b/>
          <w:bCs/>
          <w:color w:val="000000"/>
          <w:sz w:val="21"/>
          <w:szCs w:val="21"/>
        </w:rPr>
        <w:t xml:space="preserve"> merkezi veya stratejik bileşenleri arasında fiili bir bağlantısı olduğunu ileri sürmeleri veya ortaya koymaları dahi cezalandırma için yeterli değildir.</w:t>
      </w:r>
      <w:r w:rsidRPr="001B614A">
        <w:rPr>
          <w:rFonts w:ascii="Palatino Linotype" w:hAnsi="Palatino Linotype"/>
          <w:color w:val="000000"/>
          <w:sz w:val="21"/>
          <w:szCs w:val="21"/>
        </w:rPr>
        <w:t xml:space="preserve"> Aynı zamanda bu bağlantının niteliğini ortaya koymalı; </w:t>
      </w:r>
      <w:r w:rsidRPr="001B614A">
        <w:rPr>
          <w:rFonts w:ascii="Palatino Linotype" w:hAnsi="Palatino Linotype"/>
          <w:b/>
          <w:bCs/>
          <w:color w:val="000000"/>
          <w:sz w:val="21"/>
          <w:szCs w:val="21"/>
        </w:rPr>
        <w:t>tespit edilen bu niteliğin ise kişinin kasta sahip olduğunun (şiddet amacını bildiğinin ve benimsediğ</w:t>
      </w:r>
      <w:r w:rsidRPr="001B614A">
        <w:rPr>
          <w:rFonts w:ascii="Palatino Linotype" w:hAnsi="Palatino Linotype"/>
          <w:color w:val="000000"/>
          <w:sz w:val="21"/>
          <w:szCs w:val="21"/>
        </w:rPr>
        <w:t>inin) meşru bir biçimde çıkarılmasını sağlayacak ağırlıkta olup olmadığını tespit etmeleri gerekir. Yani kişinin eyleminin bir "terörist projeye" katılma kastı ve bilinciyle olduğu şüpheye mahal bırakmayacak şekilde ispatlanmalıdır.</w:t>
      </w:r>
    </w:p>
    <w:p w14:paraId="45721D54" w14:textId="269D3E1A" w:rsidR="00784138" w:rsidRPr="001B614A" w:rsidRDefault="00784138" w:rsidP="00784138">
      <w:pPr>
        <w:pStyle w:val="ListeParagraf"/>
        <w:numPr>
          <w:ilvl w:val="0"/>
          <w:numId w:val="2"/>
        </w:numPr>
        <w:tabs>
          <w:tab w:val="left" w:pos="3870"/>
        </w:tabs>
        <w:spacing w:line="360" w:lineRule="auto"/>
        <w:ind w:left="630" w:right="-378"/>
        <w:jc w:val="both"/>
        <w:rPr>
          <w:rFonts w:ascii="Palatino Linotype" w:hAnsi="Palatino Linotype" w:cs="Times New Roman"/>
          <w:bCs/>
          <w:sz w:val="21"/>
          <w:szCs w:val="21"/>
        </w:rPr>
      </w:pPr>
      <w:r w:rsidRPr="001B614A">
        <w:rPr>
          <w:rFonts w:ascii="Palatino Linotype" w:hAnsi="Palatino Linotype"/>
          <w:color w:val="000000"/>
          <w:sz w:val="21"/>
          <w:szCs w:val="21"/>
        </w:rPr>
        <w:t xml:space="preserve">AİHM, kararının 209. paragrafında sadece yerel mahkemelerin eksikliğini göstermekle yetinmemiş, ne yapılması gerektiğini de pozitif bir hukuk kuralı olarak tarif etmiştir. Büyük Daire, makamların bu bileşenlerle yalnızca bir bağlantının varlığını değil, </w:t>
      </w:r>
      <w:r w:rsidRPr="001B614A">
        <w:rPr>
          <w:rFonts w:ascii="Palatino Linotype" w:hAnsi="Palatino Linotype"/>
          <w:b/>
          <w:bCs/>
          <w:color w:val="000000"/>
          <w:sz w:val="21"/>
          <w:szCs w:val="21"/>
        </w:rPr>
        <w:t>bu bağlantının somut içeriğini ve suç kastını ortaya koyup koymadığını araştırması gerektiğini açıkça emretmektedir.</w:t>
      </w:r>
      <w:r w:rsidRPr="001B614A">
        <w:rPr>
          <w:rFonts w:ascii="Palatino Linotype" w:hAnsi="Palatino Linotype"/>
          <w:color w:val="000000"/>
          <w:sz w:val="21"/>
          <w:szCs w:val="21"/>
        </w:rPr>
        <w:t xml:space="preserve"> Buna göre yargılama makamları, kişinin </w:t>
      </w:r>
      <w:r w:rsidR="003D5844">
        <w:rPr>
          <w:rFonts w:ascii="Palatino Linotype" w:hAnsi="Palatino Linotype"/>
          <w:color w:val="000000"/>
        </w:rPr>
        <w:t>yapının</w:t>
      </w:r>
      <w:r w:rsidR="003D5844" w:rsidRPr="001B614A">
        <w:rPr>
          <w:rFonts w:ascii="Palatino Linotype" w:hAnsi="Palatino Linotype"/>
          <w:color w:val="000000"/>
          <w:sz w:val="21"/>
          <w:szCs w:val="21"/>
        </w:rPr>
        <w:t xml:space="preserve"> </w:t>
      </w:r>
      <w:r w:rsidRPr="001B614A">
        <w:rPr>
          <w:rFonts w:ascii="Palatino Linotype" w:hAnsi="Palatino Linotype"/>
          <w:color w:val="000000"/>
          <w:sz w:val="21"/>
          <w:szCs w:val="21"/>
        </w:rPr>
        <w:t xml:space="preserve">merkezi veya stratejik yapılarıyla "gerçek, işlevsel ve hiyerarşik bir bağının" bulunup bulunmadığını, bu bağın kapsamını ve niteliğini, ayrıca kişinin </w:t>
      </w:r>
      <w:r w:rsidR="003D5844">
        <w:rPr>
          <w:rFonts w:ascii="Palatino Linotype" w:hAnsi="Palatino Linotype"/>
          <w:color w:val="000000"/>
          <w:sz w:val="21"/>
          <w:szCs w:val="21"/>
        </w:rPr>
        <w:t>yapının iddia edilen</w:t>
      </w:r>
      <w:r w:rsidRPr="001B614A">
        <w:rPr>
          <w:rFonts w:ascii="Palatino Linotype" w:hAnsi="Palatino Linotype"/>
          <w:color w:val="000000"/>
          <w:sz w:val="21"/>
          <w:szCs w:val="21"/>
        </w:rPr>
        <w:t xml:space="preserve"> şiddet içeren amaçlarını "bilerek ve isteyerek hareket edip etmediğini" somut delillerle ispat etmek zorundadır. Daha da önemlisi, sorumluluk, sonradan </w:t>
      </w:r>
      <w:r w:rsidR="003D5844">
        <w:rPr>
          <w:rFonts w:ascii="Palatino Linotype" w:hAnsi="Palatino Linotype"/>
          <w:color w:val="000000"/>
          <w:sz w:val="21"/>
          <w:szCs w:val="21"/>
        </w:rPr>
        <w:t>yapıya</w:t>
      </w:r>
      <w:r w:rsidRPr="001B614A">
        <w:rPr>
          <w:rFonts w:ascii="Palatino Linotype" w:hAnsi="Palatino Linotype"/>
          <w:color w:val="000000"/>
          <w:sz w:val="21"/>
          <w:szCs w:val="21"/>
        </w:rPr>
        <w:t xml:space="preserve"> atfedilen şiddet veya terör niteliği üzerinden değil, </w:t>
      </w:r>
      <w:r w:rsidRPr="001B614A">
        <w:rPr>
          <w:rFonts w:ascii="Palatino Linotype" w:hAnsi="Palatino Linotype"/>
          <w:b/>
          <w:bCs/>
          <w:color w:val="000000"/>
          <w:sz w:val="21"/>
          <w:szCs w:val="21"/>
        </w:rPr>
        <w:t xml:space="preserve">yalnızca fiillerin işlendiği o dönemdeki bilgi, kast ve bağlam üzerinden değerlendirilebilir. </w:t>
      </w:r>
      <w:r w:rsidR="003D5844">
        <w:rPr>
          <w:rFonts w:ascii="Palatino Linotype" w:hAnsi="Palatino Linotype"/>
          <w:color w:val="000000"/>
        </w:rPr>
        <w:t>Y</w:t>
      </w:r>
      <w:r w:rsidR="003D5844">
        <w:rPr>
          <w:rFonts w:ascii="Palatino Linotype" w:hAnsi="Palatino Linotype"/>
          <w:color w:val="000000"/>
        </w:rPr>
        <w:t>apı</w:t>
      </w:r>
      <w:r w:rsidR="003D5844">
        <w:rPr>
          <w:rFonts w:ascii="Palatino Linotype" w:hAnsi="Palatino Linotype"/>
          <w:color w:val="000000"/>
        </w:rPr>
        <w:t>ya</w:t>
      </w:r>
      <w:r w:rsidRPr="001B614A">
        <w:rPr>
          <w:rFonts w:ascii="Palatino Linotype" w:hAnsi="Palatino Linotype"/>
          <w:color w:val="000000"/>
          <w:sz w:val="21"/>
          <w:szCs w:val="21"/>
        </w:rPr>
        <w:t xml:space="preserve"> henüz hiçbir şiddet eyleminin atfedilmediği ve devletin tüm kurumlarıyla bu yapının yasal yüzüyle temas halinde olduğu bir dönemde, kişinin şiddet amaçlarını bildiği somut olarak gösterilmeden cezai yollara başvurulması 7. maddenin açık ihlalidir (§ 209).</w:t>
      </w:r>
    </w:p>
    <w:p w14:paraId="45DBF143" w14:textId="77777777" w:rsidR="00784138" w:rsidRPr="001B614A" w:rsidRDefault="00784138" w:rsidP="00784138">
      <w:pPr>
        <w:pStyle w:val="ListeParagraf"/>
        <w:numPr>
          <w:ilvl w:val="0"/>
          <w:numId w:val="2"/>
        </w:numPr>
        <w:tabs>
          <w:tab w:val="left" w:pos="3870"/>
        </w:tabs>
        <w:spacing w:line="360" w:lineRule="auto"/>
        <w:ind w:left="630" w:right="-378"/>
        <w:jc w:val="both"/>
        <w:rPr>
          <w:rFonts w:ascii="Palatino Linotype" w:hAnsi="Palatino Linotype" w:cs="Times New Roman"/>
          <w:bCs/>
          <w:sz w:val="21"/>
          <w:szCs w:val="21"/>
        </w:rPr>
      </w:pPr>
      <w:r w:rsidRPr="001B614A">
        <w:rPr>
          <w:rFonts w:ascii="Palatino Linotype" w:hAnsi="Palatino Linotype"/>
          <w:color w:val="000000"/>
          <w:sz w:val="21"/>
          <w:szCs w:val="21"/>
        </w:rPr>
        <w:t>Kararda Yargıtay'ın söz konusu yapıya atfettiği 7 katmanlı hiyerarşik yapının muğlaklığına da özel olarak değinilmiştir. Büyük Daire, bu katmanların hukuki bir öngörülebilirlik sunmaktan ne kadar uzak olduğunu tartışmış ve ulusal makamların bir kişinin eylemlerinin bu katmanlardan hangisine girdiğini ve bu durumun kişinin kastına nasıl etki ettiğini netleştirmediklerini tespit etmiştir (§ 210). Atıf yapılan bu katmanlı yapının muğlak tasvirlerinin varsayımsal cezalandırmalara dayanak yapılması, AİHM tarafından doğrudan 7. madde aleyhine yorumlanmıştır.</w:t>
      </w:r>
    </w:p>
    <w:p w14:paraId="21C377B3" w14:textId="6ED07A6C" w:rsidR="00784138" w:rsidRPr="001B614A" w:rsidRDefault="00784138" w:rsidP="00784138">
      <w:pPr>
        <w:pStyle w:val="ListeParagraf"/>
        <w:numPr>
          <w:ilvl w:val="0"/>
          <w:numId w:val="2"/>
        </w:numPr>
        <w:tabs>
          <w:tab w:val="left" w:pos="3870"/>
        </w:tabs>
        <w:spacing w:line="360" w:lineRule="auto"/>
        <w:ind w:left="630" w:right="-378"/>
        <w:jc w:val="both"/>
        <w:rPr>
          <w:rFonts w:ascii="Palatino Linotype" w:hAnsi="Palatino Linotype" w:cs="Times New Roman"/>
          <w:bCs/>
          <w:sz w:val="21"/>
          <w:szCs w:val="21"/>
        </w:rPr>
      </w:pPr>
      <w:r w:rsidRPr="001B614A">
        <w:rPr>
          <w:rFonts w:ascii="Palatino Linotype" w:hAnsi="Palatino Linotype"/>
          <w:color w:val="000000"/>
          <w:sz w:val="21"/>
          <w:szCs w:val="21"/>
        </w:rPr>
        <w:lastRenderedPageBreak/>
        <w:t xml:space="preserve">AİHM, benzer davalarda kasta dair çıkarım yapmak isteyen ulusal yargı organlarına yol göstererek standardı belirlemiştir: Kasıt çıkarımı ancak ve ancak davanın "somut olgularıyla sıkı sıkıya bağlı kalınarak" ve "bireyselleştirilmiş bir analize dayanarak" yapılırsa 7. maddeye uygun olabilir. İlgili dönemde büyük ölçüde "dini/sosyal bir grup" olarak algılanan bir yapıya mensup olma olgusu, tek başına, kişinin mahkûmiyetine dayanak teşkil eden fiilleri gerçekleştirirken suç için gerekli kasıt unsuruna sahip olduğu sonucuna asla yol açamaz. </w:t>
      </w:r>
      <w:r w:rsidRPr="001B614A">
        <w:rPr>
          <w:rFonts w:ascii="Palatino Linotype" w:hAnsi="Palatino Linotype"/>
          <w:b/>
          <w:bCs/>
          <w:color w:val="000000"/>
          <w:sz w:val="21"/>
          <w:szCs w:val="21"/>
        </w:rPr>
        <w:t xml:space="preserve">Mahkeme, her ne düzeyde olursa olsun veya hangi görevi yaparsa yapsın "Cemaat/Yapı üyesi eşittir terör örgütü üyesi" şeklindeki toptancı anlayışı kökten reddetmiştir. Dosyadaki var olan (ve aslen yasal olan) delilleri alt alta sıralayıp, bu delillerin kişinin </w:t>
      </w:r>
      <w:r w:rsidR="003D5844">
        <w:rPr>
          <w:rFonts w:ascii="Palatino Linotype" w:hAnsi="Palatino Linotype"/>
          <w:b/>
          <w:bCs/>
          <w:color w:val="000000"/>
          <w:sz w:val="21"/>
          <w:szCs w:val="21"/>
        </w:rPr>
        <w:t>yapının iddia edilen</w:t>
      </w:r>
      <w:r w:rsidR="00A40994">
        <w:rPr>
          <w:rFonts w:ascii="Palatino Linotype" w:hAnsi="Palatino Linotype"/>
          <w:b/>
          <w:bCs/>
          <w:color w:val="000000"/>
          <w:sz w:val="21"/>
          <w:szCs w:val="21"/>
        </w:rPr>
        <w:t xml:space="preserve"> nihai amaçlarından</w:t>
      </w:r>
      <w:r w:rsidRPr="001B614A">
        <w:rPr>
          <w:rFonts w:ascii="Palatino Linotype" w:hAnsi="Palatino Linotype"/>
          <w:b/>
          <w:bCs/>
          <w:color w:val="000000"/>
          <w:sz w:val="21"/>
          <w:szCs w:val="21"/>
        </w:rPr>
        <w:t xml:space="preserve"> gerçekten haberdar olduğunu ve bu bilgiyle </w:t>
      </w:r>
      <w:r w:rsidR="00A40994" w:rsidRPr="00A40994">
        <w:rPr>
          <w:rFonts w:ascii="Palatino Linotype" w:hAnsi="Palatino Linotype"/>
          <w:b/>
          <w:bCs/>
          <w:color w:val="000000"/>
        </w:rPr>
        <w:t>yapı</w:t>
      </w:r>
      <w:r w:rsidR="00A40994" w:rsidRPr="00A40994">
        <w:rPr>
          <w:rFonts w:ascii="Palatino Linotype" w:hAnsi="Palatino Linotype"/>
          <w:b/>
          <w:bCs/>
          <w:color w:val="000000"/>
        </w:rPr>
        <w:t>ya</w:t>
      </w:r>
      <w:r w:rsidRPr="001B614A">
        <w:rPr>
          <w:rFonts w:ascii="Palatino Linotype" w:hAnsi="Palatino Linotype"/>
          <w:b/>
          <w:bCs/>
          <w:color w:val="000000"/>
          <w:sz w:val="21"/>
          <w:szCs w:val="21"/>
        </w:rPr>
        <w:t xml:space="preserve"> katıldığını açıklamaya çalışmaksızın "kastın varlığına" hükmedilmesi</w:t>
      </w:r>
      <w:r w:rsidRPr="001B614A">
        <w:rPr>
          <w:rFonts w:ascii="Palatino Linotype" w:hAnsi="Palatino Linotype"/>
          <w:color w:val="000000"/>
          <w:sz w:val="21"/>
          <w:szCs w:val="21"/>
        </w:rPr>
        <w:t xml:space="preserve"> kabul edilemez (§ 211).</w:t>
      </w:r>
    </w:p>
    <w:p w14:paraId="62D3D821" w14:textId="6BC27FF2" w:rsidR="00784138" w:rsidRPr="001B614A" w:rsidRDefault="00784138" w:rsidP="00784138">
      <w:pPr>
        <w:pStyle w:val="ListeParagraf"/>
        <w:numPr>
          <w:ilvl w:val="0"/>
          <w:numId w:val="2"/>
        </w:numPr>
        <w:tabs>
          <w:tab w:val="left" w:pos="3870"/>
        </w:tabs>
        <w:spacing w:line="360" w:lineRule="auto"/>
        <w:ind w:left="630" w:right="-378"/>
        <w:jc w:val="both"/>
        <w:rPr>
          <w:rFonts w:ascii="Palatino Linotype" w:hAnsi="Palatino Linotype" w:cs="Times New Roman"/>
          <w:bCs/>
          <w:sz w:val="21"/>
          <w:szCs w:val="21"/>
        </w:rPr>
      </w:pPr>
      <w:r w:rsidRPr="001B614A">
        <w:rPr>
          <w:rFonts w:ascii="Palatino Linotype" w:hAnsi="Palatino Linotype"/>
          <w:color w:val="000000"/>
          <w:sz w:val="21"/>
          <w:szCs w:val="21"/>
        </w:rPr>
        <w:t xml:space="preserve">Mahkemenin nihai sonucuna göre; ulusal makamlar ve mahkemeler, başvurucuların </w:t>
      </w:r>
      <w:r w:rsidR="00A40994">
        <w:rPr>
          <w:rFonts w:ascii="Palatino Linotype" w:hAnsi="Palatino Linotype"/>
          <w:color w:val="000000"/>
        </w:rPr>
        <w:t>yapının</w:t>
      </w:r>
      <w:r w:rsidR="00A40994" w:rsidRPr="001B614A">
        <w:rPr>
          <w:rFonts w:ascii="Palatino Linotype" w:hAnsi="Palatino Linotype"/>
          <w:color w:val="000000"/>
          <w:sz w:val="21"/>
          <w:szCs w:val="21"/>
        </w:rPr>
        <w:t xml:space="preserve"> </w:t>
      </w:r>
      <w:r w:rsidRPr="001B614A">
        <w:rPr>
          <w:rFonts w:ascii="Palatino Linotype" w:hAnsi="Palatino Linotype"/>
          <w:color w:val="000000"/>
          <w:sz w:val="21"/>
          <w:szCs w:val="21"/>
        </w:rPr>
        <w:t>terör örgütü olarak tanımlanmasından çok önce iç hukukta sahip olduğu yasal statü etrafında belirli eylemlerde bulunmalarının, onların "</w:t>
      </w:r>
      <w:r w:rsidR="00A40994">
        <w:rPr>
          <w:rFonts w:ascii="Palatino Linotype" w:hAnsi="Palatino Linotype"/>
          <w:color w:val="000000"/>
        </w:rPr>
        <w:t>yapının</w:t>
      </w:r>
      <w:r w:rsidRPr="001B614A">
        <w:rPr>
          <w:rFonts w:ascii="Palatino Linotype" w:hAnsi="Palatino Linotype"/>
          <w:color w:val="000000"/>
          <w:sz w:val="21"/>
          <w:szCs w:val="21"/>
        </w:rPr>
        <w:t xml:space="preserve"> niteliği ve </w:t>
      </w:r>
      <w:r w:rsidR="00A40994">
        <w:rPr>
          <w:rFonts w:ascii="Palatino Linotype" w:hAnsi="Palatino Linotype"/>
          <w:color w:val="000000"/>
          <w:sz w:val="21"/>
          <w:szCs w:val="21"/>
        </w:rPr>
        <w:t xml:space="preserve">iddia edilen </w:t>
      </w:r>
      <w:r w:rsidRPr="001B614A">
        <w:rPr>
          <w:rFonts w:ascii="Palatino Linotype" w:hAnsi="Palatino Linotype"/>
          <w:color w:val="000000"/>
          <w:sz w:val="21"/>
          <w:szCs w:val="21"/>
        </w:rPr>
        <w:t xml:space="preserve">amaçlarından haberdar oldukları", "bu </w:t>
      </w:r>
      <w:r w:rsidR="00A40994">
        <w:rPr>
          <w:rFonts w:ascii="Palatino Linotype" w:hAnsi="Palatino Linotype"/>
          <w:color w:val="000000"/>
        </w:rPr>
        <w:t>yapının</w:t>
      </w:r>
      <w:r w:rsidR="00A40994" w:rsidRPr="001B614A">
        <w:rPr>
          <w:rFonts w:ascii="Palatino Linotype" w:hAnsi="Palatino Linotype"/>
          <w:color w:val="000000"/>
          <w:sz w:val="21"/>
          <w:szCs w:val="21"/>
        </w:rPr>
        <w:t xml:space="preserve"> </w:t>
      </w:r>
      <w:r w:rsidRPr="001B614A">
        <w:rPr>
          <w:rFonts w:ascii="Palatino Linotype" w:hAnsi="Palatino Linotype"/>
          <w:color w:val="000000"/>
          <w:sz w:val="21"/>
          <w:szCs w:val="21"/>
        </w:rPr>
        <w:t xml:space="preserve">bir parçası olmayı amaçladıkları" ve </w:t>
      </w:r>
      <w:r w:rsidR="00A40994">
        <w:rPr>
          <w:rFonts w:ascii="Palatino Linotype" w:hAnsi="Palatino Linotype"/>
          <w:color w:val="000000"/>
        </w:rPr>
        <w:t>yapının</w:t>
      </w:r>
      <w:r w:rsidR="00A40994">
        <w:rPr>
          <w:rFonts w:ascii="Palatino Linotype" w:hAnsi="Palatino Linotype"/>
          <w:color w:val="000000"/>
        </w:rPr>
        <w:t xml:space="preserve"> iddia edilen</w:t>
      </w:r>
      <w:r w:rsidRPr="001B614A">
        <w:rPr>
          <w:rFonts w:ascii="Palatino Linotype" w:hAnsi="Palatino Linotype"/>
          <w:color w:val="000000"/>
          <w:sz w:val="21"/>
          <w:szCs w:val="21"/>
        </w:rPr>
        <w:t xml:space="preserve"> amaçlarına "aktif, sürekli bir şekilde katkıda bulundukları" sonucuna nasıl yol açtığını hukuken açıklayamamışlardır. Bu durum doğrudan doğruya, cezai sorumluluk atfı için zorunlu olan manevi unsur tespit edilmeden kişinin cezalandırılmama hakkını garanti eden Sözleşmenin 7. maddesinin ihlalidir (§ 212-213).</w:t>
      </w:r>
    </w:p>
    <w:p w14:paraId="74175C7A" w14:textId="77777777" w:rsidR="00784138" w:rsidRPr="001B614A" w:rsidRDefault="00784138" w:rsidP="00784138">
      <w:pPr>
        <w:pStyle w:val="ListeParagraf"/>
        <w:numPr>
          <w:ilvl w:val="0"/>
          <w:numId w:val="2"/>
        </w:numPr>
        <w:tabs>
          <w:tab w:val="left" w:pos="3870"/>
        </w:tabs>
        <w:spacing w:line="360" w:lineRule="auto"/>
        <w:ind w:left="630" w:right="-378"/>
        <w:jc w:val="both"/>
        <w:rPr>
          <w:rFonts w:ascii="Palatino Linotype" w:hAnsi="Palatino Linotype" w:cs="Times New Roman"/>
          <w:bCs/>
          <w:sz w:val="21"/>
          <w:szCs w:val="21"/>
        </w:rPr>
      </w:pPr>
      <w:r w:rsidRPr="001B614A">
        <w:rPr>
          <w:rFonts w:ascii="Palatino Linotype" w:hAnsi="Palatino Linotype"/>
          <w:color w:val="000000"/>
          <w:sz w:val="21"/>
          <w:szCs w:val="21"/>
        </w:rPr>
        <w:t>AİHM'in</w:t>
      </w:r>
      <w:r w:rsidRPr="001B614A">
        <w:rPr>
          <w:rStyle w:val="apple-converted-space"/>
          <w:rFonts w:ascii="Palatino Linotype" w:eastAsiaTheme="majorEastAsia" w:hAnsi="Palatino Linotype"/>
          <w:color w:val="000000"/>
          <w:sz w:val="21"/>
          <w:szCs w:val="21"/>
        </w:rPr>
        <w:t> </w:t>
      </w:r>
      <w:r w:rsidRPr="001B614A">
        <w:rPr>
          <w:rFonts w:ascii="Palatino Linotype" w:hAnsi="Palatino Linotype"/>
          <w:i/>
          <w:iCs/>
          <w:color w:val="000000"/>
          <w:sz w:val="21"/>
          <w:szCs w:val="21"/>
        </w:rPr>
        <w:t>Yasak</w:t>
      </w:r>
      <w:r w:rsidRPr="001B614A">
        <w:rPr>
          <w:rStyle w:val="apple-converted-space"/>
          <w:rFonts w:ascii="Palatino Linotype" w:eastAsiaTheme="majorEastAsia" w:hAnsi="Palatino Linotype"/>
          <w:color w:val="000000"/>
          <w:sz w:val="21"/>
          <w:szCs w:val="21"/>
        </w:rPr>
        <w:t> </w:t>
      </w:r>
      <w:r w:rsidRPr="001B614A">
        <w:rPr>
          <w:rFonts w:ascii="Palatino Linotype" w:hAnsi="Palatino Linotype"/>
          <w:color w:val="000000"/>
          <w:sz w:val="21"/>
          <w:szCs w:val="21"/>
        </w:rPr>
        <w:t>kararı, özellikle 15 Temmuz darbe girişimi öncesi döneme dayalı isnatlarla yürütülen tüm soruşturma ve kovuşturmalar bakımından çok önemli bir kırılma noktası ve bağlayıcı bir içtihat niteliğindedir. Büyük Daire bu kararla, belirleyici hukuki meselenin kişinin bir yapıyla fiziki veya yasal bağlantısının bulunup bulunmadığı değil; bu bağlantının suçun manevi unsurunu somut olarak ortaya koyup koymadığı olduğunu kesinleştirmiştir. İlgili dönemde büyük ölçüde dini, sosyal ve sivil bir yapı olarak algılanan bir oluşumla yasal zeminlerde kurulan bağların, tek başına TCK 314 anlamında "silahlı terör örgütü üyeliği" suçuna dayanak oluşturamayacağı net bir şekilde tescillenmiştir.</w:t>
      </w:r>
    </w:p>
    <w:p w14:paraId="3F43A324" w14:textId="77777777" w:rsidR="00784138" w:rsidRPr="001B614A" w:rsidRDefault="00784138" w:rsidP="00784138">
      <w:pPr>
        <w:pStyle w:val="ListeParagraf"/>
        <w:numPr>
          <w:ilvl w:val="0"/>
          <w:numId w:val="2"/>
        </w:numPr>
        <w:tabs>
          <w:tab w:val="left" w:pos="3870"/>
        </w:tabs>
        <w:spacing w:line="360" w:lineRule="auto"/>
        <w:ind w:left="630" w:right="-378"/>
        <w:jc w:val="both"/>
        <w:rPr>
          <w:rFonts w:ascii="Palatino Linotype" w:hAnsi="Palatino Linotype" w:cs="Times New Roman"/>
          <w:bCs/>
          <w:sz w:val="21"/>
          <w:szCs w:val="21"/>
        </w:rPr>
      </w:pPr>
      <w:r w:rsidRPr="001B614A">
        <w:rPr>
          <w:rFonts w:ascii="Palatino Linotype" w:hAnsi="Palatino Linotype"/>
          <w:color w:val="000000"/>
          <w:sz w:val="21"/>
          <w:szCs w:val="21"/>
        </w:rPr>
        <w:t xml:space="preserve">Artık AİHM'in bağlayıcı standardına göre; 15 Temmuz öncesi döneme ilişkin atılı bir fiilin suça vücut verdiğinin </w:t>
      </w:r>
      <w:proofErr w:type="spellStart"/>
      <w:r w:rsidRPr="001B614A">
        <w:rPr>
          <w:rFonts w:ascii="Palatino Linotype" w:hAnsi="Palatino Linotype"/>
          <w:color w:val="000000"/>
          <w:sz w:val="21"/>
          <w:szCs w:val="21"/>
        </w:rPr>
        <w:t>AİHS’e</w:t>
      </w:r>
      <w:proofErr w:type="spellEnd"/>
      <w:r w:rsidRPr="001B614A">
        <w:rPr>
          <w:rFonts w:ascii="Palatino Linotype" w:hAnsi="Palatino Linotype"/>
          <w:color w:val="000000"/>
          <w:sz w:val="21"/>
          <w:szCs w:val="21"/>
        </w:rPr>
        <w:t xml:space="preserve"> uygun kabul edilebilmesi için, </w:t>
      </w:r>
      <w:r w:rsidRPr="001B614A">
        <w:rPr>
          <w:rFonts w:ascii="Palatino Linotype" w:hAnsi="Palatino Linotype"/>
          <w:b/>
          <w:bCs/>
          <w:color w:val="000000"/>
          <w:sz w:val="21"/>
          <w:szCs w:val="21"/>
        </w:rPr>
        <w:t>kişinin tam da o dönemde söz konusu yapının şiddet içeren iddia edilen amaçlarını "bildiğinin" hiçbir şüpheye yer bırakmayacak şekilde somut delillerle ortaya konulması gerekmektedir.</w:t>
      </w:r>
      <w:r w:rsidRPr="001B614A">
        <w:rPr>
          <w:rFonts w:ascii="Palatino Linotype" w:hAnsi="Palatino Linotype"/>
          <w:color w:val="000000"/>
          <w:sz w:val="21"/>
          <w:szCs w:val="21"/>
        </w:rPr>
        <w:t xml:space="preserve"> Dahası, bu bilgiye rağmen yapıyla bağın "bilerek ve isteyerek" sürdüğü ve bu bağın salt sosyal ya da mesleki bir </w:t>
      </w:r>
      <w:r w:rsidRPr="001B614A">
        <w:rPr>
          <w:rFonts w:ascii="Palatino Linotype" w:hAnsi="Palatino Linotype"/>
          <w:color w:val="000000"/>
          <w:sz w:val="21"/>
          <w:szCs w:val="21"/>
        </w:rPr>
        <w:lastRenderedPageBreak/>
        <w:t xml:space="preserve">ilişki olmanın ötesinde, doğrudan bu yapının iddia edilen suç teşkil eden amaçlarına "bilinçli bir bağlılık ve katkı" gösterecek nitelikte olduğu kanıtlanmak zorundadır. Bu unsurlar varsayımla, genellemeyle, aidiyet kavramıyla veya yasal faaliyetlerin birikimiyle değil, </w:t>
      </w:r>
      <w:r w:rsidRPr="001B614A">
        <w:rPr>
          <w:rFonts w:ascii="Palatino Linotype" w:hAnsi="Palatino Linotype"/>
          <w:b/>
          <w:bCs/>
          <w:color w:val="000000"/>
          <w:sz w:val="21"/>
          <w:szCs w:val="21"/>
        </w:rPr>
        <w:t xml:space="preserve">bireyselleştirilmiş somut delillerle </w:t>
      </w:r>
      <w:r w:rsidRPr="001B614A">
        <w:rPr>
          <w:rFonts w:ascii="Palatino Linotype" w:hAnsi="Palatino Linotype"/>
          <w:color w:val="000000"/>
          <w:sz w:val="21"/>
          <w:szCs w:val="21"/>
        </w:rPr>
        <w:t>ortaya konulmadıkça yürütülecek hiçbir cezai süreç Anayasa'nın 90. maddesi delaletiyle AİHS 7. maddeyle bağdaşmayacaktır.</w:t>
      </w:r>
    </w:p>
    <w:p w14:paraId="20D6686F" w14:textId="77777777" w:rsidR="00784138" w:rsidRPr="001B614A" w:rsidRDefault="00784138" w:rsidP="00784138">
      <w:pPr>
        <w:pStyle w:val="ListeParagraf"/>
        <w:numPr>
          <w:ilvl w:val="0"/>
          <w:numId w:val="2"/>
        </w:numPr>
        <w:tabs>
          <w:tab w:val="left" w:pos="3870"/>
        </w:tabs>
        <w:spacing w:line="360" w:lineRule="auto"/>
        <w:ind w:left="630" w:right="-378"/>
        <w:jc w:val="both"/>
        <w:rPr>
          <w:rFonts w:ascii="Palatino Linotype" w:hAnsi="Palatino Linotype" w:cs="Times New Roman"/>
          <w:bCs/>
          <w:sz w:val="21"/>
          <w:szCs w:val="21"/>
        </w:rPr>
      </w:pPr>
      <w:r w:rsidRPr="001B614A">
        <w:rPr>
          <w:rFonts w:ascii="Palatino Linotype" w:hAnsi="Palatino Linotype"/>
          <w:color w:val="000000"/>
          <w:sz w:val="21"/>
          <w:szCs w:val="21"/>
          <w:highlight w:val="yellow"/>
        </w:rPr>
        <w:t>Müvekkil hakkında/hakkımda/eşim/vasisi olduğum … hakkında</w:t>
      </w:r>
      <w:r w:rsidRPr="001B614A">
        <w:rPr>
          <w:rFonts w:ascii="Palatino Linotype" w:hAnsi="Palatino Linotype"/>
          <w:color w:val="000000"/>
          <w:sz w:val="21"/>
          <w:szCs w:val="21"/>
        </w:rPr>
        <w:t xml:space="preserve"> yürütülen yargılamada bu bağlayıcı kararlar ekseninde temel mesele, </w:t>
      </w:r>
      <w:r w:rsidRPr="001B614A">
        <w:rPr>
          <w:rFonts w:ascii="Palatino Linotype" w:hAnsi="Palatino Linotype"/>
          <w:color w:val="000000"/>
          <w:sz w:val="21"/>
          <w:szCs w:val="21"/>
          <w:highlight w:val="yellow"/>
        </w:rPr>
        <w:t>müvekkilin fiillerinin/fiillerimin/eşimin fiillerinin/ vasisi olduğum… fiillerinin</w:t>
      </w:r>
      <w:r w:rsidRPr="001B614A">
        <w:rPr>
          <w:rFonts w:ascii="Palatino Linotype" w:hAnsi="Palatino Linotype"/>
          <w:color w:val="000000"/>
          <w:sz w:val="21"/>
          <w:szCs w:val="21"/>
        </w:rPr>
        <w:t xml:space="preserve"> suç olup olmadığının tartışılmasından ziyade, bu eylemlerin "suç kastını" gösterip göstermediğidir. </w:t>
      </w:r>
      <w:r w:rsidRPr="001B614A">
        <w:rPr>
          <w:rFonts w:ascii="Palatino Linotype" w:hAnsi="Palatino Linotype"/>
          <w:color w:val="000000"/>
          <w:sz w:val="21"/>
          <w:szCs w:val="21"/>
          <w:highlight w:val="yellow"/>
        </w:rPr>
        <w:t xml:space="preserve">Müvekkil/eşim/vasisi </w:t>
      </w:r>
      <w:proofErr w:type="gramStart"/>
      <w:r w:rsidRPr="001B614A">
        <w:rPr>
          <w:rFonts w:ascii="Palatino Linotype" w:hAnsi="Palatino Linotype"/>
          <w:color w:val="000000"/>
          <w:sz w:val="21"/>
          <w:szCs w:val="21"/>
          <w:highlight w:val="yellow"/>
        </w:rPr>
        <w:t>olduğum..</w:t>
      </w:r>
      <w:proofErr w:type="gramEnd"/>
      <w:r w:rsidRPr="001B614A">
        <w:rPr>
          <w:rFonts w:ascii="Palatino Linotype" w:hAnsi="Palatino Linotype"/>
          <w:color w:val="000000"/>
          <w:sz w:val="21"/>
          <w:szCs w:val="21"/>
        </w:rPr>
        <w:t xml:space="preserve"> </w:t>
      </w:r>
      <w:proofErr w:type="gramStart"/>
      <w:r w:rsidRPr="001B614A">
        <w:rPr>
          <w:rFonts w:ascii="Palatino Linotype" w:hAnsi="Palatino Linotype"/>
          <w:color w:val="000000"/>
          <w:sz w:val="21"/>
          <w:szCs w:val="21"/>
        </w:rPr>
        <w:t>söz</w:t>
      </w:r>
      <w:proofErr w:type="gramEnd"/>
      <w:r w:rsidRPr="001B614A">
        <w:rPr>
          <w:rFonts w:ascii="Palatino Linotype" w:hAnsi="Palatino Linotype"/>
          <w:color w:val="000000"/>
          <w:sz w:val="21"/>
          <w:szCs w:val="21"/>
        </w:rPr>
        <w:t xml:space="preserve"> konusu yapının sonradan ilan edilen şiddet amaçlarını hiçbir zaman bilmemiş, hissetmemiş ve bu amaçlara yönelik en ufak bir suç iradesi taşımamıştır. Fiillerin </w:t>
      </w:r>
      <w:r w:rsidRPr="001B614A">
        <w:rPr>
          <w:rFonts w:ascii="Palatino Linotype" w:hAnsi="Palatino Linotype"/>
          <w:color w:val="000000"/>
          <w:sz w:val="21"/>
          <w:szCs w:val="21"/>
          <w:highlight w:val="yellow"/>
        </w:rPr>
        <w:t>(dernek/sendika üyeliği, banka hesabı kullanımı, eğitim kurumu faaliyetleri, dini sohbetler vb. yasal faaliyetlerin)</w:t>
      </w:r>
      <w:r w:rsidRPr="001B614A">
        <w:rPr>
          <w:rFonts w:ascii="Palatino Linotype" w:hAnsi="Palatino Linotype"/>
          <w:color w:val="000000"/>
          <w:sz w:val="21"/>
          <w:szCs w:val="21"/>
        </w:rPr>
        <w:t xml:space="preserve"> işlendiği o dönemde, yapının bir terör örgütü niteliğinde olduğunun vatandaşlar tarafından öngörülebilmesi imkansızdır. Kurulan temas, hukuki çerçevede işlevsel, hiyerarşik veya şiddet amaçlı stratejik bir nitelik taşımamaktadır.</w:t>
      </w:r>
    </w:p>
    <w:p w14:paraId="5C712152" w14:textId="77777777" w:rsidR="00784138" w:rsidRPr="001B614A" w:rsidRDefault="00784138" w:rsidP="00784138">
      <w:pPr>
        <w:pStyle w:val="ListeParagraf"/>
        <w:numPr>
          <w:ilvl w:val="0"/>
          <w:numId w:val="2"/>
        </w:numPr>
        <w:tabs>
          <w:tab w:val="left" w:pos="3870"/>
        </w:tabs>
        <w:spacing w:line="360" w:lineRule="auto"/>
        <w:ind w:left="630" w:right="-378"/>
        <w:jc w:val="both"/>
        <w:rPr>
          <w:rFonts w:ascii="Palatino Linotype" w:hAnsi="Palatino Linotype" w:cs="Times New Roman"/>
          <w:bCs/>
          <w:sz w:val="21"/>
          <w:szCs w:val="21"/>
        </w:rPr>
      </w:pPr>
      <w:r w:rsidRPr="00D813F5">
        <w:rPr>
          <w:rFonts w:ascii="Palatino Linotype" w:hAnsi="Palatino Linotype"/>
          <w:color w:val="000000"/>
          <w:sz w:val="21"/>
          <w:szCs w:val="21"/>
        </w:rPr>
        <w:t>Yalçınkaya</w:t>
      </w:r>
      <w:r w:rsidRPr="00D813F5">
        <w:rPr>
          <w:rStyle w:val="apple-converted-space"/>
          <w:rFonts w:ascii="Palatino Linotype" w:eastAsiaTheme="majorEastAsia" w:hAnsi="Palatino Linotype"/>
          <w:color w:val="000000"/>
          <w:sz w:val="21"/>
          <w:szCs w:val="21"/>
        </w:rPr>
        <w:t> </w:t>
      </w:r>
      <w:r w:rsidRPr="00D813F5">
        <w:rPr>
          <w:rFonts w:ascii="Palatino Linotype" w:hAnsi="Palatino Linotype"/>
          <w:color w:val="000000"/>
          <w:sz w:val="21"/>
          <w:szCs w:val="21"/>
        </w:rPr>
        <w:t>ve</w:t>
      </w:r>
      <w:r w:rsidRPr="00D813F5">
        <w:rPr>
          <w:rStyle w:val="apple-converted-space"/>
          <w:rFonts w:ascii="Palatino Linotype" w:eastAsiaTheme="majorEastAsia" w:hAnsi="Palatino Linotype"/>
          <w:color w:val="000000"/>
          <w:sz w:val="21"/>
          <w:szCs w:val="21"/>
        </w:rPr>
        <w:t> </w:t>
      </w:r>
      <w:r w:rsidRPr="00D813F5">
        <w:rPr>
          <w:rFonts w:ascii="Palatino Linotype" w:hAnsi="Palatino Linotype"/>
          <w:color w:val="000000"/>
          <w:sz w:val="21"/>
          <w:szCs w:val="21"/>
        </w:rPr>
        <w:t>Yasak</w:t>
      </w:r>
      <w:r w:rsidRPr="001B614A">
        <w:rPr>
          <w:rStyle w:val="apple-converted-space"/>
          <w:rFonts w:ascii="Palatino Linotype" w:eastAsiaTheme="majorEastAsia" w:hAnsi="Palatino Linotype"/>
          <w:color w:val="000000"/>
          <w:sz w:val="21"/>
          <w:szCs w:val="21"/>
        </w:rPr>
        <w:t> </w:t>
      </w:r>
      <w:r w:rsidRPr="001B614A">
        <w:rPr>
          <w:rFonts w:ascii="Palatino Linotype" w:hAnsi="Palatino Linotype"/>
          <w:color w:val="000000"/>
          <w:sz w:val="21"/>
          <w:szCs w:val="21"/>
        </w:rPr>
        <w:t>Büyük Daire kararları birbirinden bağımsız kararlar değil, yargı sistemimizdeki aynı yapısal sorunun birbirini tamamlayan iki farklı görünümüne aittir ve birlikte uygulanmak zorundadır.</w:t>
      </w:r>
      <w:r w:rsidRPr="001B614A">
        <w:rPr>
          <w:rStyle w:val="apple-converted-space"/>
          <w:rFonts w:ascii="Palatino Linotype" w:eastAsiaTheme="majorEastAsia" w:hAnsi="Palatino Linotype"/>
          <w:color w:val="000000"/>
          <w:sz w:val="21"/>
          <w:szCs w:val="21"/>
        </w:rPr>
        <w:t> </w:t>
      </w:r>
      <w:r w:rsidRPr="001B614A">
        <w:rPr>
          <w:rFonts w:ascii="Palatino Linotype" w:hAnsi="Palatino Linotype"/>
          <w:i/>
          <w:iCs/>
          <w:color w:val="000000"/>
          <w:sz w:val="21"/>
          <w:szCs w:val="21"/>
        </w:rPr>
        <w:t>Yalçınkaya</w:t>
      </w:r>
      <w:r w:rsidRPr="001B614A">
        <w:rPr>
          <w:rStyle w:val="apple-converted-space"/>
          <w:rFonts w:ascii="Palatino Linotype" w:eastAsiaTheme="majorEastAsia" w:hAnsi="Palatino Linotype"/>
          <w:color w:val="000000"/>
          <w:sz w:val="21"/>
          <w:szCs w:val="21"/>
        </w:rPr>
        <w:t> </w:t>
      </w:r>
      <w:r w:rsidRPr="001B614A">
        <w:rPr>
          <w:rFonts w:ascii="Palatino Linotype" w:hAnsi="Palatino Linotype"/>
          <w:color w:val="000000"/>
          <w:sz w:val="21"/>
          <w:szCs w:val="21"/>
        </w:rPr>
        <w:t>kararı otomatik mahkûmiyet, öngörülebilirlik, kanunilik ve delillerin bireyselleştirilmeden kullanılmasının hukuka aykırılığını tespit etmişken;</w:t>
      </w:r>
      <w:r w:rsidRPr="001B614A">
        <w:rPr>
          <w:rStyle w:val="apple-converted-space"/>
          <w:rFonts w:ascii="Palatino Linotype" w:eastAsiaTheme="majorEastAsia" w:hAnsi="Palatino Linotype"/>
          <w:color w:val="000000"/>
          <w:sz w:val="21"/>
          <w:szCs w:val="21"/>
        </w:rPr>
        <w:t> </w:t>
      </w:r>
      <w:r w:rsidRPr="001B614A">
        <w:rPr>
          <w:rFonts w:ascii="Palatino Linotype" w:hAnsi="Palatino Linotype"/>
          <w:i/>
          <w:iCs/>
          <w:color w:val="000000"/>
          <w:sz w:val="21"/>
          <w:szCs w:val="21"/>
        </w:rPr>
        <w:t>Yasak</w:t>
      </w:r>
      <w:r w:rsidRPr="001B614A">
        <w:rPr>
          <w:rStyle w:val="apple-converted-space"/>
          <w:rFonts w:ascii="Palatino Linotype" w:eastAsiaTheme="majorEastAsia" w:hAnsi="Palatino Linotype"/>
          <w:color w:val="000000"/>
          <w:sz w:val="21"/>
          <w:szCs w:val="21"/>
        </w:rPr>
        <w:t> </w:t>
      </w:r>
      <w:r w:rsidRPr="001B614A">
        <w:rPr>
          <w:rFonts w:ascii="Palatino Linotype" w:hAnsi="Palatino Linotype"/>
          <w:color w:val="000000"/>
          <w:sz w:val="21"/>
          <w:szCs w:val="21"/>
        </w:rPr>
        <w:t>kararı sorunu daha da temele indirerek kişinin yapının şiddet içeren amaçlarını bilip bilmediğinin (manevi unsurun) mutlaka bireysel olarak ispat edilmesi gerektiğini şart koşmuştur. 15 Temmuz öncesi yasal veya görünür faaliyetlerin, sonradan geriye yürütülerek terör örgütü deliline dönüştürülmesi ve kişinin terör kastı ispatlanmadan cezalandırma yoluna gidilmesi evrensel hukuka aykırıdır.</w:t>
      </w:r>
    </w:p>
    <w:p w14:paraId="56D2ECFE" w14:textId="3F87E715" w:rsidR="000D5450" w:rsidRPr="000D5450" w:rsidRDefault="00784138" w:rsidP="000D5450">
      <w:pPr>
        <w:pStyle w:val="ListeParagraf"/>
        <w:numPr>
          <w:ilvl w:val="0"/>
          <w:numId w:val="2"/>
        </w:numPr>
        <w:tabs>
          <w:tab w:val="left" w:pos="3870"/>
        </w:tabs>
        <w:spacing w:line="360" w:lineRule="auto"/>
        <w:ind w:left="630" w:right="-378"/>
        <w:jc w:val="both"/>
        <w:rPr>
          <w:rFonts w:ascii="Palatino Linotype" w:hAnsi="Palatino Linotype" w:cs="Times New Roman"/>
          <w:bCs/>
          <w:sz w:val="21"/>
          <w:szCs w:val="21"/>
        </w:rPr>
      </w:pPr>
      <w:r w:rsidRPr="001B614A">
        <w:rPr>
          <w:rFonts w:ascii="Palatino Linotype" w:hAnsi="Palatino Linotype"/>
          <w:color w:val="000000"/>
          <w:sz w:val="21"/>
          <w:szCs w:val="21"/>
        </w:rPr>
        <w:t xml:space="preserve">Tüm bu hukuki ve fiili gerçekler muvacehesinde; işbu başvuruya konu dosyaya yansıyan, esasen devletin izni ve bilgisi dahilinde gerçekleşen rutin, sosyal, yasal ve sivil nitelikteki eylemlerden hareketle TCK </w:t>
      </w:r>
      <w:proofErr w:type="spellStart"/>
      <w:r w:rsidRPr="001B614A">
        <w:rPr>
          <w:rFonts w:ascii="Palatino Linotype" w:hAnsi="Palatino Linotype"/>
          <w:color w:val="000000"/>
          <w:sz w:val="21"/>
          <w:szCs w:val="21"/>
        </w:rPr>
        <w:t>md.</w:t>
      </w:r>
      <w:proofErr w:type="spellEnd"/>
      <w:r w:rsidRPr="001B614A">
        <w:rPr>
          <w:rFonts w:ascii="Palatino Linotype" w:hAnsi="Palatino Linotype"/>
          <w:color w:val="000000"/>
          <w:sz w:val="21"/>
          <w:szCs w:val="21"/>
        </w:rPr>
        <w:t xml:space="preserve"> 314/2 anlamında "silahlı terör örgütüne üye olma" kastı çıkarılamaz. Failin fiili işlediği sıradaki kastı, sonradan yaşanan olaylara ve yapının sonradan kazandığı terör örgütü statüsüne bakılarak geriye dönük olarak var sayılamaz. </w:t>
      </w:r>
      <w:r w:rsidRPr="001B614A">
        <w:rPr>
          <w:rFonts w:ascii="Palatino Linotype" w:hAnsi="Palatino Linotype"/>
          <w:color w:val="000000"/>
          <w:sz w:val="21"/>
          <w:szCs w:val="21"/>
          <w:highlight w:val="yellow"/>
        </w:rPr>
        <w:t>Müvekkilin/</w:t>
      </w:r>
      <w:r>
        <w:rPr>
          <w:rFonts w:ascii="Palatino Linotype" w:hAnsi="Palatino Linotype"/>
          <w:color w:val="000000"/>
          <w:sz w:val="21"/>
          <w:szCs w:val="21"/>
          <w:highlight w:val="yellow"/>
        </w:rPr>
        <w:t>eşimin</w:t>
      </w:r>
      <w:r w:rsidRPr="001B614A">
        <w:rPr>
          <w:rFonts w:ascii="Palatino Linotype" w:hAnsi="Palatino Linotype"/>
          <w:color w:val="000000"/>
          <w:sz w:val="21"/>
          <w:szCs w:val="21"/>
          <w:highlight w:val="yellow"/>
        </w:rPr>
        <w:t>/benim</w:t>
      </w:r>
      <w:r>
        <w:rPr>
          <w:rFonts w:ascii="Palatino Linotype" w:hAnsi="Palatino Linotype"/>
          <w:color w:val="000000"/>
          <w:sz w:val="21"/>
          <w:szCs w:val="21"/>
          <w:highlight w:val="yellow"/>
        </w:rPr>
        <w:t>/vasisi olduğum</w:t>
      </w:r>
      <w:r w:rsidRPr="001B614A">
        <w:rPr>
          <w:rFonts w:ascii="Palatino Linotype" w:hAnsi="Palatino Linotype"/>
          <w:color w:val="000000"/>
          <w:sz w:val="21"/>
          <w:szCs w:val="21"/>
          <w:highlight w:val="yellow"/>
        </w:rPr>
        <w:t xml:space="preserve"> …</w:t>
      </w:r>
      <w:r w:rsidRPr="001B614A">
        <w:rPr>
          <w:rFonts w:ascii="Palatino Linotype" w:hAnsi="Palatino Linotype"/>
          <w:color w:val="000000"/>
          <w:sz w:val="21"/>
          <w:szCs w:val="21"/>
        </w:rPr>
        <w:t xml:space="preserve"> hiçbir şiddet eylemine </w:t>
      </w:r>
      <w:r w:rsidRPr="003D1D6A">
        <w:rPr>
          <w:rFonts w:ascii="Palatino Linotype" w:hAnsi="Palatino Linotype"/>
          <w:color w:val="000000"/>
          <w:sz w:val="21"/>
          <w:szCs w:val="21"/>
          <w:highlight w:val="yellow"/>
        </w:rPr>
        <w:t>karışmadığı/karışmadığım</w:t>
      </w:r>
      <w:r w:rsidRPr="001B614A">
        <w:rPr>
          <w:rFonts w:ascii="Palatino Linotype" w:hAnsi="Palatino Linotype"/>
          <w:color w:val="000000"/>
          <w:sz w:val="21"/>
          <w:szCs w:val="21"/>
        </w:rPr>
        <w:t xml:space="preserve">, </w:t>
      </w:r>
      <w:r w:rsidR="00A40994">
        <w:rPr>
          <w:rFonts w:ascii="Palatino Linotype" w:hAnsi="Palatino Linotype"/>
          <w:color w:val="000000"/>
        </w:rPr>
        <w:t>yapının</w:t>
      </w:r>
      <w:r w:rsidRPr="001B614A">
        <w:rPr>
          <w:rFonts w:ascii="Palatino Linotype" w:hAnsi="Palatino Linotype"/>
          <w:color w:val="000000"/>
          <w:sz w:val="21"/>
          <w:szCs w:val="21"/>
        </w:rPr>
        <w:t xml:space="preserve"> stratejik veya merkezi yapısıyla hiyerarşik bir </w:t>
      </w:r>
      <w:r w:rsidRPr="003D1D6A">
        <w:rPr>
          <w:rFonts w:ascii="Palatino Linotype" w:hAnsi="Palatino Linotype"/>
          <w:color w:val="000000"/>
          <w:sz w:val="21"/>
          <w:szCs w:val="21"/>
          <w:highlight w:val="yellow"/>
        </w:rPr>
        <w:t>bağının/bağımın</w:t>
      </w:r>
      <w:r w:rsidRPr="001B614A">
        <w:rPr>
          <w:rFonts w:ascii="Palatino Linotype" w:hAnsi="Palatino Linotype"/>
          <w:color w:val="000000"/>
          <w:sz w:val="21"/>
          <w:szCs w:val="21"/>
        </w:rPr>
        <w:t xml:space="preserve"> bulunmadığı ve suç işleme kastıyla hareket </w:t>
      </w:r>
      <w:r w:rsidRPr="003D1D6A">
        <w:rPr>
          <w:rFonts w:ascii="Palatino Linotype" w:hAnsi="Palatino Linotype"/>
          <w:color w:val="000000"/>
          <w:sz w:val="21"/>
          <w:szCs w:val="21"/>
          <w:highlight w:val="yellow"/>
        </w:rPr>
        <w:t>etmediği/etmediğim</w:t>
      </w:r>
      <w:r w:rsidRPr="001B614A">
        <w:rPr>
          <w:rFonts w:ascii="Palatino Linotype" w:hAnsi="Palatino Linotype"/>
          <w:color w:val="000000"/>
          <w:sz w:val="21"/>
          <w:szCs w:val="21"/>
        </w:rPr>
        <w:t xml:space="preserve"> açıkça ortadadır. </w:t>
      </w:r>
    </w:p>
    <w:p w14:paraId="0B49FC61" w14:textId="0F05498B" w:rsidR="000D5450" w:rsidRPr="000D5450" w:rsidRDefault="00784138" w:rsidP="000D5450">
      <w:pPr>
        <w:pStyle w:val="ListeParagraf"/>
        <w:numPr>
          <w:ilvl w:val="0"/>
          <w:numId w:val="2"/>
        </w:numPr>
        <w:tabs>
          <w:tab w:val="left" w:pos="3870"/>
        </w:tabs>
        <w:spacing w:line="360" w:lineRule="auto"/>
        <w:ind w:left="630" w:right="-378"/>
        <w:jc w:val="both"/>
        <w:rPr>
          <w:rFonts w:ascii="Palatino Linotype" w:hAnsi="Palatino Linotype" w:cs="Times New Roman"/>
          <w:bCs/>
          <w:sz w:val="21"/>
          <w:szCs w:val="21"/>
        </w:rPr>
      </w:pPr>
      <w:r w:rsidRPr="000D5450">
        <w:rPr>
          <w:rFonts w:ascii="Palatino Linotype" w:hAnsi="Palatino Linotype"/>
          <w:bCs/>
        </w:rPr>
        <w:lastRenderedPageBreak/>
        <w:t>Mütalaada, izlenmesi gereken yöntemin tümevarım olduğu; bir yapının suç veya terör örgütü vasfını taşıyıp taşımadığının faaliyeti çerçevesinde işlenen somut suçlardan hareketle belirlenmesi gerektiği; buna karşılık uygulamada tümdengelim yönteminin izlendiği tespit edilmiş ve bu yanlış yöntemin sonucu açık bir dille ifade edilmiştir: örgütten hareketle somut birtakım suçların işlendiği yargısına varılması hâlinde, “insanlığın çok acı tecrübelerle kurtulmaya çalıştığı itham sistemine geri dönülmüş” olacaktır (Mütalaa, s. 2-3).</w:t>
      </w:r>
    </w:p>
    <w:p w14:paraId="494D1B96" w14:textId="674A7CAB" w:rsidR="00784138" w:rsidRPr="000D5450" w:rsidRDefault="00784138" w:rsidP="000D5450">
      <w:pPr>
        <w:pStyle w:val="ListeParagraf"/>
        <w:numPr>
          <w:ilvl w:val="0"/>
          <w:numId w:val="2"/>
        </w:numPr>
        <w:tabs>
          <w:tab w:val="left" w:pos="3870"/>
        </w:tabs>
        <w:spacing w:line="360" w:lineRule="auto"/>
        <w:ind w:left="630" w:right="-378"/>
        <w:jc w:val="both"/>
        <w:rPr>
          <w:rFonts w:ascii="Palatino Linotype" w:hAnsi="Palatino Linotype" w:cs="Times New Roman"/>
          <w:bCs/>
          <w:sz w:val="21"/>
          <w:szCs w:val="21"/>
        </w:rPr>
      </w:pPr>
      <w:r w:rsidRPr="000D5450">
        <w:rPr>
          <w:rFonts w:ascii="Palatino Linotype" w:hAnsi="Palatino Linotype"/>
          <w:bCs/>
        </w:rPr>
        <w:t xml:space="preserve">Mütalaada ayrıca, failin </w:t>
      </w:r>
      <w:r w:rsidR="00A40994">
        <w:rPr>
          <w:rFonts w:ascii="Palatino Linotype" w:hAnsi="Palatino Linotype"/>
          <w:color w:val="000000"/>
        </w:rPr>
        <w:t>yapının</w:t>
      </w:r>
      <w:r w:rsidR="00A40994">
        <w:rPr>
          <w:rFonts w:ascii="Palatino Linotype" w:hAnsi="Palatino Linotype"/>
          <w:color w:val="000000"/>
        </w:rPr>
        <w:t xml:space="preserve"> iddia edilen</w:t>
      </w:r>
      <w:r w:rsidRPr="000D5450">
        <w:rPr>
          <w:rFonts w:ascii="Palatino Linotype" w:hAnsi="Palatino Linotype"/>
          <w:bCs/>
        </w:rPr>
        <w:t xml:space="preserve"> nihai cebir ve şiddet içeren amacını bildiği ve benimsediği bağımsız olgularla kanıtlanmadıkça, bu nitelikteki kriterlerin “kitlesel bir kümeleme mantığıyla ‘tamamlayıcı delil’ adı altında” cezalandırmaya gerekçe yapılmasının, AİHS m. 7’nin ihlaliyle malul olan toptancı yaklaşımın farklı bir kılıf altında yeniden üretilmesinden ibaret olduğu; ByLock ile diğer deliller arasında hukuki nitelik ve ispat gücü bakımından bir fark bulunmadığı vurgulanmıştır (Mütalaa, s. 50).</w:t>
      </w:r>
    </w:p>
    <w:p w14:paraId="6985BCB1" w14:textId="00B2F806" w:rsidR="00784138" w:rsidRPr="001B614A" w:rsidRDefault="00784138" w:rsidP="00784138">
      <w:pPr>
        <w:tabs>
          <w:tab w:val="left" w:pos="3870"/>
        </w:tabs>
        <w:spacing w:line="360" w:lineRule="auto"/>
        <w:ind w:right="-378"/>
        <w:jc w:val="both"/>
        <w:rPr>
          <w:rFonts w:ascii="Palatino Linotype" w:hAnsi="Palatino Linotype" w:cs="Times New Roman"/>
          <w:b/>
          <w:sz w:val="21"/>
          <w:szCs w:val="21"/>
          <w:lang w:val="tr"/>
        </w:rPr>
      </w:pPr>
      <w:r>
        <w:rPr>
          <w:rFonts w:ascii="Palatino Linotype" w:hAnsi="Palatino Linotype" w:cs="Times New Roman"/>
          <w:b/>
          <w:sz w:val="21"/>
          <w:szCs w:val="21"/>
          <w:lang w:val="tr"/>
        </w:rPr>
        <w:t xml:space="preserve">     </w:t>
      </w:r>
      <w:r w:rsidR="00817B89">
        <w:rPr>
          <w:rFonts w:ascii="Palatino Linotype" w:hAnsi="Palatino Linotype" w:cs="Times New Roman"/>
          <w:b/>
          <w:sz w:val="21"/>
          <w:szCs w:val="21"/>
          <w:lang w:val="tr"/>
        </w:rPr>
        <w:t>IV</w:t>
      </w:r>
      <w:r w:rsidRPr="001B614A">
        <w:rPr>
          <w:rFonts w:ascii="Palatino Linotype" w:hAnsi="Palatino Linotype" w:cs="Times New Roman"/>
          <w:b/>
          <w:sz w:val="21"/>
          <w:szCs w:val="21"/>
          <w:lang w:val="tr"/>
        </w:rPr>
        <w:t>. Sonuç</w:t>
      </w:r>
    </w:p>
    <w:p w14:paraId="4AA4B222" w14:textId="77777777" w:rsidR="00784138" w:rsidRPr="00784138" w:rsidRDefault="00784138" w:rsidP="00784138">
      <w:pPr>
        <w:pStyle w:val="ListeParagraf"/>
        <w:numPr>
          <w:ilvl w:val="0"/>
          <w:numId w:val="2"/>
        </w:numPr>
        <w:tabs>
          <w:tab w:val="left" w:pos="3870"/>
        </w:tabs>
        <w:spacing w:line="360" w:lineRule="auto"/>
        <w:ind w:left="630" w:right="-378"/>
        <w:jc w:val="both"/>
        <w:rPr>
          <w:rFonts w:ascii="Palatino Linotype" w:hAnsi="Palatino Linotype" w:cs="Times New Roman"/>
          <w:sz w:val="21"/>
          <w:szCs w:val="21"/>
        </w:rPr>
      </w:pPr>
      <w:r w:rsidRPr="001B614A">
        <w:rPr>
          <w:rFonts w:ascii="Palatino Linotype" w:hAnsi="Palatino Linotype" w:cs="Times New Roman"/>
          <w:sz w:val="21"/>
          <w:szCs w:val="21"/>
        </w:rPr>
        <w:t xml:space="preserve">AİHM ve AYM’ye yapılan bireysel başvuru sonucunda verilen kararlar ile bireysel başvurunun doğası gereği bu kararların gerekçeleri, yasama, yürütme, yargı ve Türkiye örneğinde gerçek kişiler açısından bağlayıcıdır ve bu bağlayıcılık, somut olay temelinde yapılan incelemenin genel hukuk düzeni açısından etki göstermesine neden olmaktadır. Kamu organları, bir şikâyetçiyle aynı durumda olan kişilerle olan ilişkisini, bu olaya ilişkin bireysel başvurunun sonuçlarını görmezlikten gelerek kuramaz. Yasama, yürütme veya yargı bünyesinde yer alan bir kamusal güç, bireysel başvuruya konu olan eylem veya eylemsizliğin </w:t>
      </w:r>
      <w:r w:rsidRPr="00784138">
        <w:rPr>
          <w:rFonts w:ascii="Palatino Linotype" w:hAnsi="Palatino Linotype" w:cs="Times New Roman"/>
          <w:sz w:val="21"/>
          <w:szCs w:val="21"/>
        </w:rPr>
        <w:t>tekrarı halinde, bu eylem ve eylemsizliğin anayasaya aykırı sonuçları olacağını görebilir. Bu nedenle, ihlalden kaçınmak ve AYM/AİHM kararına uygun biçimde Anayasa ve Sözleşmeyi dikkate almalıdır.</w:t>
      </w:r>
    </w:p>
    <w:p w14:paraId="6C3F5642" w14:textId="77777777" w:rsidR="000D5450" w:rsidRDefault="00784138" w:rsidP="000D5450">
      <w:pPr>
        <w:pStyle w:val="ListeParagraf"/>
        <w:numPr>
          <w:ilvl w:val="0"/>
          <w:numId w:val="2"/>
        </w:numPr>
        <w:tabs>
          <w:tab w:val="left" w:pos="3870"/>
        </w:tabs>
        <w:spacing w:line="360" w:lineRule="auto"/>
        <w:ind w:left="630" w:right="-378"/>
        <w:jc w:val="both"/>
        <w:rPr>
          <w:rFonts w:ascii="Palatino Linotype" w:hAnsi="Palatino Linotype" w:cs="Times New Roman"/>
          <w:sz w:val="21"/>
          <w:szCs w:val="21"/>
        </w:rPr>
      </w:pPr>
      <w:r w:rsidRPr="00784138">
        <w:rPr>
          <w:rFonts w:ascii="Palatino Linotype" w:hAnsi="Palatino Linotype" w:cs="Times New Roman"/>
          <w:sz w:val="21"/>
          <w:szCs w:val="21"/>
        </w:rPr>
        <w:t xml:space="preserve">Yukarıda izah edildiği üzere hem AYM hem de AİHM </w:t>
      </w:r>
      <w:r w:rsidRPr="00784138">
        <w:rPr>
          <w:rFonts w:ascii="Palatino Linotype" w:hAnsi="Palatino Linotype" w:cs="Times New Roman"/>
          <w:b/>
          <w:bCs/>
          <w:sz w:val="21"/>
          <w:szCs w:val="21"/>
        </w:rPr>
        <w:t>mahkeme kararının objektif etkisinin</w:t>
      </w:r>
      <w:r w:rsidRPr="00784138">
        <w:rPr>
          <w:rFonts w:ascii="Palatino Linotype" w:hAnsi="Palatino Linotype" w:cs="Times New Roman"/>
          <w:sz w:val="21"/>
          <w:szCs w:val="21"/>
        </w:rPr>
        <w:t xml:space="preserve"> olduğunu, benzer davalara ve işlemlere uygulanması gerektiğini açıkça ortaya koymuşlardır. Mahkemenin objektif işlevi, Anayasa’nın ve Sözleşme’nin temel hak ve özgürlükleri düzenleyen hükümlerini yorumlamak ve bunların uygulanmasını gözetmektir. Dolayısıyla </w:t>
      </w:r>
      <w:r w:rsidRPr="00784138">
        <w:rPr>
          <w:rFonts w:ascii="Palatino Linotype" w:hAnsi="Palatino Linotype" w:cs="Times New Roman"/>
          <w:bCs/>
          <w:sz w:val="21"/>
          <w:szCs w:val="21"/>
        </w:rPr>
        <w:t xml:space="preserve">AYM/AİHM’in bir bireysel başvuruda verdiği ihlâl kararı benzer diğer olaylar açısından da bağlayıcıdır ve kamu otoriteleri ve mahkemelerce dikkate alınmalıdır. Bu nedenle bireysel başvurudan beklenen faydanın sağlanabilmesi için bireysel başvurunun objektif işlevi ön </w:t>
      </w:r>
      <w:r w:rsidRPr="00784138">
        <w:rPr>
          <w:rFonts w:ascii="Palatino Linotype" w:hAnsi="Palatino Linotype" w:cs="Times New Roman"/>
          <w:bCs/>
          <w:sz w:val="21"/>
          <w:szCs w:val="21"/>
        </w:rPr>
        <w:lastRenderedPageBreak/>
        <w:t>plana çıkarılmalı ve bireysel başvuru kararlarının genel (</w:t>
      </w:r>
      <w:proofErr w:type="spellStart"/>
      <w:r w:rsidRPr="00784138">
        <w:rPr>
          <w:rFonts w:ascii="Palatino Linotype" w:hAnsi="Palatino Linotype" w:cs="Times New Roman"/>
          <w:bCs/>
          <w:i/>
          <w:iCs/>
          <w:sz w:val="21"/>
          <w:szCs w:val="21"/>
        </w:rPr>
        <w:t>erga</w:t>
      </w:r>
      <w:proofErr w:type="spellEnd"/>
      <w:r w:rsidRPr="00784138">
        <w:rPr>
          <w:rFonts w:ascii="Palatino Linotype" w:hAnsi="Palatino Linotype" w:cs="Times New Roman"/>
          <w:bCs/>
          <w:i/>
          <w:iCs/>
          <w:sz w:val="21"/>
          <w:szCs w:val="21"/>
        </w:rPr>
        <w:t xml:space="preserve"> </w:t>
      </w:r>
      <w:proofErr w:type="spellStart"/>
      <w:r w:rsidRPr="00784138">
        <w:rPr>
          <w:rFonts w:ascii="Palatino Linotype" w:hAnsi="Palatino Linotype" w:cs="Times New Roman"/>
          <w:bCs/>
          <w:i/>
          <w:iCs/>
          <w:sz w:val="21"/>
          <w:szCs w:val="21"/>
        </w:rPr>
        <w:t>omnes</w:t>
      </w:r>
      <w:proofErr w:type="spellEnd"/>
      <w:r w:rsidRPr="00784138">
        <w:rPr>
          <w:rFonts w:ascii="Palatino Linotype" w:hAnsi="Palatino Linotype" w:cs="Times New Roman"/>
          <w:bCs/>
          <w:sz w:val="21"/>
          <w:szCs w:val="21"/>
        </w:rPr>
        <w:t xml:space="preserve">) bağlayıcılığı hayata geçirilmelidir. Yani AYM/AİHM bir konuda ihlâl kararı verdikten sonra kamu idareleri uygulamalarını, diğer mahkemeler de kararlarını AYM/AİHM kararı ile uyumlu hale getirmelidir. Esasen bu, AİHM/AYM’nin de belirttiği gibi, bireysel başvuru yolunun ve AYM/AİHM’in yetkisinin </w:t>
      </w:r>
      <w:r w:rsidRPr="00784138">
        <w:rPr>
          <w:rFonts w:ascii="Palatino Linotype" w:hAnsi="Palatino Linotype" w:cs="Times New Roman"/>
          <w:bCs/>
          <w:i/>
          <w:iCs/>
          <w:sz w:val="21"/>
          <w:szCs w:val="21"/>
        </w:rPr>
        <w:t>“ikincilliği”</w:t>
      </w:r>
      <w:r w:rsidRPr="00784138">
        <w:rPr>
          <w:rFonts w:ascii="Palatino Linotype" w:hAnsi="Palatino Linotype" w:cs="Times New Roman"/>
          <w:bCs/>
          <w:sz w:val="21"/>
          <w:szCs w:val="21"/>
        </w:rPr>
        <w:t xml:space="preserve"> ilkesinin de gereğidir. Bu nedenle zaten Anayasa Mahkemesine ve dolayısıyla AİHM’e başvurmadan önce diğer hukuk yollarının tüketilmesi koşulu getirilmiştir. Temel hak ve özgürlüklerin öncelikle kamu makamları ve derece mahkemeleri tarafından korunması gerekir.</w:t>
      </w:r>
      <w:r w:rsidRPr="00784138">
        <w:rPr>
          <w:rFonts w:ascii="Palatino Linotype" w:hAnsi="Palatino Linotype" w:cs="Times New Roman"/>
          <w:sz w:val="21"/>
          <w:szCs w:val="21"/>
        </w:rPr>
        <w:t xml:space="preserve"> </w:t>
      </w:r>
    </w:p>
    <w:p w14:paraId="749C3A59" w14:textId="77777777" w:rsidR="000D5450" w:rsidRPr="000D5450" w:rsidRDefault="00784138" w:rsidP="000D5450">
      <w:pPr>
        <w:pStyle w:val="ListeParagraf"/>
        <w:numPr>
          <w:ilvl w:val="0"/>
          <w:numId w:val="2"/>
        </w:numPr>
        <w:tabs>
          <w:tab w:val="left" w:pos="3870"/>
        </w:tabs>
        <w:spacing w:line="360" w:lineRule="auto"/>
        <w:ind w:left="630" w:right="-378"/>
        <w:jc w:val="both"/>
        <w:rPr>
          <w:rFonts w:ascii="Palatino Linotype" w:hAnsi="Palatino Linotype" w:cs="Times New Roman"/>
          <w:bCs/>
          <w:sz w:val="21"/>
          <w:szCs w:val="21"/>
        </w:rPr>
      </w:pPr>
      <w:r w:rsidRPr="000D5450">
        <w:rPr>
          <w:rFonts w:ascii="Palatino Linotype" w:hAnsi="Palatino Linotype"/>
          <w:bCs/>
        </w:rPr>
        <w:t>Mütalaada, bu kararların icrasında yargı erki içinde öncelikli sorumluluğun Anayasa Mahkemesinde olduğu belirtilmiştir. Mütalaaya göre Anayasa Mahkemesinin ByLock konusundaki içtihadı ile maddi ve manevi unsurun bireyselleştirilerek somutlaştırılmadığı başvurularla ilgili içtihadı AİHM içtihadı ile uyumsuzdur ve bu uyumsuzluğun giderilmesi bir ilke kararı gerektirmektedir. İhlallerin niceliksel yığılması ve sorunun yapısal niteliği dikkate alındığında ise bu ilke kararı bir pilot karar usulünün uygulanmasını gerektirir (Mütalaa, s. 61).</w:t>
      </w:r>
    </w:p>
    <w:p w14:paraId="68FBCE4C" w14:textId="77777777" w:rsidR="000D5450" w:rsidRPr="000D5450" w:rsidRDefault="00784138" w:rsidP="000D5450">
      <w:pPr>
        <w:pStyle w:val="ListeParagraf"/>
        <w:numPr>
          <w:ilvl w:val="0"/>
          <w:numId w:val="2"/>
        </w:numPr>
        <w:tabs>
          <w:tab w:val="left" w:pos="3870"/>
        </w:tabs>
        <w:spacing w:line="360" w:lineRule="auto"/>
        <w:ind w:left="630" w:right="-378"/>
        <w:jc w:val="both"/>
        <w:rPr>
          <w:rFonts w:ascii="Palatino Linotype" w:hAnsi="Palatino Linotype" w:cs="Times New Roman"/>
          <w:bCs/>
          <w:sz w:val="21"/>
          <w:szCs w:val="21"/>
        </w:rPr>
      </w:pPr>
      <w:r w:rsidRPr="000D5450">
        <w:rPr>
          <w:rFonts w:ascii="Palatino Linotype" w:hAnsi="Palatino Linotype"/>
          <w:bCs/>
        </w:rPr>
        <w:t>Mütalaada, Anayasa Mahkemesinin müstakbel kararında Yüksel Yalçınkaya grubu kararlarının Ali Bayram İskender kararında ele alınmayan kesitlerini, özellikle de suçta ve cezada kanunilik ilkesi boyutunu mutlaka ele alması gerektiği; aksi durumun “kısır bir döngüye” neden olacağı ve Anayasa Mahkemesinin öncü işlevine uygun düşmeyeceği vurgulanmıştır (Mütalaa, s. 61).</w:t>
      </w:r>
    </w:p>
    <w:p w14:paraId="0F8C14ED" w14:textId="4E568A13" w:rsidR="00784138" w:rsidRPr="000D5450" w:rsidRDefault="00784138" w:rsidP="000D5450">
      <w:pPr>
        <w:pStyle w:val="ListeParagraf"/>
        <w:numPr>
          <w:ilvl w:val="0"/>
          <w:numId w:val="2"/>
        </w:numPr>
        <w:tabs>
          <w:tab w:val="left" w:pos="3870"/>
        </w:tabs>
        <w:spacing w:line="360" w:lineRule="auto"/>
        <w:ind w:left="630" w:right="-378"/>
        <w:jc w:val="both"/>
        <w:rPr>
          <w:rFonts w:ascii="Palatino Linotype" w:hAnsi="Palatino Linotype" w:cs="Times New Roman"/>
          <w:bCs/>
          <w:sz w:val="21"/>
          <w:szCs w:val="21"/>
        </w:rPr>
      </w:pPr>
      <w:r w:rsidRPr="000D5450">
        <w:rPr>
          <w:rFonts w:ascii="Palatino Linotype" w:hAnsi="Palatino Linotype"/>
          <w:bCs/>
        </w:rPr>
        <w:t>Mütalaada, Anayasa Mahkemesinin Ali Bayram İskender kararında başvurucunun banka hesabı ve 2014 sonrası işlemlerinin, sendika üyeliğinin ve çocuklarının kapatılan okulda öğrenim görmesinin karşı oy yazısına rağmen belirleyici sayılmadığı; Mahkemenin bu yolla sadece anılan delillerle mahkûmiyet kurulamayacağını zımnen kabul etmiş olduğu tespit edilmiştir (Mütalaa, s. 55-56). Aynı şekilde Sabri Yılmaz ve Esra Saraç Arslan kararlarında bilirkişi incelemesi yapılmamasının silahların eşitliği ilkesini ihlal ettiği sonucuna varılmıştır (Mütalaa, s. 53-54).</w:t>
      </w:r>
    </w:p>
    <w:p w14:paraId="1D136065" w14:textId="77777777" w:rsidR="00784138" w:rsidRPr="00784138" w:rsidRDefault="00784138" w:rsidP="00784138">
      <w:pPr>
        <w:pStyle w:val="ListeParagraf"/>
        <w:numPr>
          <w:ilvl w:val="0"/>
          <w:numId w:val="2"/>
        </w:numPr>
        <w:tabs>
          <w:tab w:val="left" w:pos="3870"/>
        </w:tabs>
        <w:spacing w:line="360" w:lineRule="auto"/>
        <w:ind w:left="630" w:right="-378"/>
        <w:jc w:val="both"/>
        <w:rPr>
          <w:rFonts w:ascii="Palatino Linotype" w:hAnsi="Palatino Linotype" w:cs="Times New Roman"/>
          <w:sz w:val="21"/>
          <w:szCs w:val="21"/>
        </w:rPr>
      </w:pPr>
      <w:r w:rsidRPr="00784138">
        <w:rPr>
          <w:rFonts w:ascii="Palatino Linotype" w:hAnsi="Palatino Linotype" w:cs="Times New Roman"/>
          <w:sz w:val="21"/>
          <w:szCs w:val="21"/>
        </w:rPr>
        <w:t>Anayasa’nın 138. maddesi genel olarak yargı kararlarının, 153. maddesi ise özel olarak Anayasa Mahkemesi kararlarının bağlayıcılığını açık ve kesin bir dille düzenlemektedir. Buna göre, “</w:t>
      </w:r>
      <w:r w:rsidRPr="00784138">
        <w:rPr>
          <w:rFonts w:ascii="Palatino Linotype" w:hAnsi="Palatino Linotype" w:cs="Times New Roman"/>
          <w:i/>
          <w:iCs/>
          <w:sz w:val="21"/>
          <w:szCs w:val="21"/>
        </w:rPr>
        <w:t>yasama ve yürütme organları ile idare, mahkeme kararlarına uymak zorundadır</w:t>
      </w:r>
      <w:r w:rsidRPr="00784138">
        <w:rPr>
          <w:rFonts w:ascii="Palatino Linotype" w:hAnsi="Palatino Linotype" w:cs="Times New Roman"/>
          <w:sz w:val="21"/>
          <w:szCs w:val="21"/>
        </w:rPr>
        <w:t>” (m. 138) ve Anayasa Mahkemesinin kararları “</w:t>
      </w:r>
      <w:r w:rsidRPr="00784138">
        <w:rPr>
          <w:rFonts w:ascii="Palatino Linotype" w:hAnsi="Palatino Linotype" w:cs="Times New Roman"/>
          <w:i/>
          <w:iCs/>
          <w:sz w:val="21"/>
          <w:szCs w:val="21"/>
        </w:rPr>
        <w:t>yasama, yürütme ve yargı organlarını, idare makamlarını, gerçek ve tüzelkişileri bağlar</w:t>
      </w:r>
      <w:r w:rsidRPr="00784138">
        <w:rPr>
          <w:rFonts w:ascii="Palatino Linotype" w:hAnsi="Palatino Linotype" w:cs="Times New Roman"/>
          <w:sz w:val="21"/>
          <w:szCs w:val="21"/>
        </w:rPr>
        <w:t>” (m.153).</w:t>
      </w:r>
      <w:r w:rsidRPr="00784138">
        <w:rPr>
          <w:rFonts w:ascii="Palatino Linotype" w:hAnsi="Palatino Linotype" w:cs="Times New Roman"/>
          <w:color w:val="323232"/>
          <w:sz w:val="21"/>
          <w:szCs w:val="21"/>
          <w:shd w:val="clear" w:color="auto" w:fill="FFFFFF"/>
        </w:rPr>
        <w:t xml:space="preserve"> </w:t>
      </w:r>
      <w:r w:rsidRPr="00784138">
        <w:rPr>
          <w:rFonts w:ascii="Palatino Linotype" w:hAnsi="Palatino Linotype" w:cs="Times New Roman"/>
          <w:sz w:val="21"/>
          <w:szCs w:val="21"/>
        </w:rPr>
        <w:t xml:space="preserve">Anayasa Mahkemesi kararlarında vurgulandığı üzere, </w:t>
      </w:r>
      <w:r w:rsidRPr="00784138">
        <w:rPr>
          <w:rFonts w:ascii="Palatino Linotype" w:hAnsi="Palatino Linotype" w:cs="Times New Roman"/>
          <w:sz w:val="21"/>
          <w:szCs w:val="21"/>
        </w:rPr>
        <w:lastRenderedPageBreak/>
        <w:t>Anayasa'nın 153. maddesinin son fıkrasında Anayasa Mahkemesi kararlarına uyma ve bu kararları değiştirmeksizin yerine getirme hususunda yargı dâhil hiçbir kuruma herhangi bir takdir yetkisi tanınmamış veya bu konuda bir istisnaya yer verilmemiştir (</w:t>
      </w:r>
      <w:proofErr w:type="spellStart"/>
      <w:r w:rsidRPr="00784138">
        <w:rPr>
          <w:rFonts w:ascii="Palatino Linotype" w:hAnsi="Palatino Linotype" w:cs="Times New Roman"/>
          <w:sz w:val="21"/>
          <w:szCs w:val="21"/>
        </w:rPr>
        <w:t>Aym</w:t>
      </w:r>
      <w:proofErr w:type="spellEnd"/>
      <w:r w:rsidRPr="00784138">
        <w:rPr>
          <w:rFonts w:ascii="Palatino Linotype" w:hAnsi="Palatino Linotype" w:cs="Times New Roman"/>
          <w:sz w:val="21"/>
          <w:szCs w:val="21"/>
        </w:rPr>
        <w:t>:</w:t>
      </w:r>
      <w:r w:rsidRPr="00784138">
        <w:rPr>
          <w:rFonts w:ascii="Palatino Linotype" w:hAnsi="Palatino Linotype" w:cs="Times New Roman"/>
          <w:i/>
          <w:iCs/>
          <w:color w:val="323232"/>
          <w:sz w:val="21"/>
          <w:szCs w:val="21"/>
          <w:shd w:val="clear" w:color="auto" w:fill="FFFFFF"/>
        </w:rPr>
        <w:t xml:space="preserve"> </w:t>
      </w:r>
      <w:r w:rsidRPr="00784138">
        <w:rPr>
          <w:rFonts w:ascii="Palatino Linotype" w:hAnsi="Palatino Linotype" w:cs="Times New Roman"/>
          <w:i/>
          <w:iCs/>
          <w:sz w:val="21"/>
          <w:szCs w:val="21"/>
        </w:rPr>
        <w:t>Şahin Alpay (2)</w:t>
      </w:r>
      <w:r w:rsidRPr="00784138">
        <w:rPr>
          <w:rFonts w:ascii="Palatino Linotype" w:hAnsi="Palatino Linotype" w:cs="Times New Roman"/>
          <w:sz w:val="21"/>
          <w:szCs w:val="21"/>
        </w:rPr>
        <w:t> [GK], B. No: 2018/3007, 15/3/2018, § 63; </w:t>
      </w:r>
      <w:r w:rsidRPr="00784138">
        <w:rPr>
          <w:rFonts w:ascii="Palatino Linotype" w:hAnsi="Palatino Linotype" w:cs="Times New Roman"/>
          <w:i/>
          <w:iCs/>
          <w:sz w:val="21"/>
          <w:szCs w:val="21"/>
        </w:rPr>
        <w:t>Kadri Enis Berberoğlu (3)</w:t>
      </w:r>
      <w:r w:rsidRPr="00784138">
        <w:rPr>
          <w:rFonts w:ascii="Palatino Linotype" w:hAnsi="Palatino Linotype" w:cs="Times New Roman"/>
          <w:sz w:val="21"/>
          <w:szCs w:val="21"/>
        </w:rPr>
        <w:t>, § 102).</w:t>
      </w:r>
    </w:p>
    <w:p w14:paraId="0B65C887" w14:textId="77777777" w:rsidR="00784138" w:rsidRPr="00784138" w:rsidRDefault="00784138" w:rsidP="00784138">
      <w:pPr>
        <w:pStyle w:val="ListeParagraf"/>
        <w:numPr>
          <w:ilvl w:val="0"/>
          <w:numId w:val="2"/>
        </w:numPr>
        <w:tabs>
          <w:tab w:val="left" w:pos="3870"/>
        </w:tabs>
        <w:spacing w:line="360" w:lineRule="auto"/>
        <w:ind w:left="630" w:right="-378"/>
        <w:jc w:val="both"/>
        <w:rPr>
          <w:rFonts w:ascii="Palatino Linotype" w:hAnsi="Palatino Linotype" w:cs="Times New Roman"/>
          <w:sz w:val="21"/>
          <w:szCs w:val="21"/>
        </w:rPr>
      </w:pPr>
      <w:r w:rsidRPr="00784138">
        <w:rPr>
          <w:rFonts w:ascii="Palatino Linotype" w:hAnsi="Palatino Linotype" w:cs="Times New Roman"/>
          <w:sz w:val="21"/>
          <w:szCs w:val="21"/>
        </w:rPr>
        <w:t xml:space="preserve">AİHM kararları, </w:t>
      </w:r>
      <w:proofErr w:type="spellStart"/>
      <w:r w:rsidRPr="00784138">
        <w:rPr>
          <w:rFonts w:ascii="Palatino Linotype" w:hAnsi="Palatino Linotype" w:cs="Times New Roman"/>
          <w:sz w:val="21"/>
          <w:szCs w:val="21"/>
        </w:rPr>
        <w:t>AİHS’e</w:t>
      </w:r>
      <w:proofErr w:type="spellEnd"/>
      <w:r w:rsidRPr="00784138">
        <w:rPr>
          <w:rFonts w:ascii="Palatino Linotype" w:hAnsi="Palatino Linotype" w:cs="Times New Roman"/>
          <w:sz w:val="21"/>
          <w:szCs w:val="21"/>
        </w:rPr>
        <w:t xml:space="preserve"> taraf Devletler açısından bağlayıcıdır. Sözleşmesi’nin 46. maddesinin 1. fıkrasına göre, Sözleşmeci Taraflar, taraf oldukları davalarda Mahkemenin kesinleşmiş kararlarına uymayı taahhüt ederler. </w:t>
      </w:r>
      <w:r w:rsidRPr="00784138">
        <w:rPr>
          <w:rFonts w:ascii="Palatino Linotype" w:hAnsi="Palatino Linotype" w:cs="Times New Roman"/>
          <w:b/>
          <w:bCs/>
          <w:sz w:val="21"/>
          <w:szCs w:val="21"/>
        </w:rPr>
        <w:t>AİHS’in 46. maddesi gereğince Türkiye bu karara uymak zorundadır. Bunun için bir kanuni düzenlemeye gerek yoktur. Yargı kurumları doğrudan bu içtihada uymakla mükellef olup bugüne kadar da bunun birçok örneği olmuştur.</w:t>
      </w:r>
    </w:p>
    <w:p w14:paraId="5ACAA19B" w14:textId="77777777" w:rsidR="00784138" w:rsidRPr="00784138" w:rsidRDefault="00784138" w:rsidP="00784138">
      <w:pPr>
        <w:pStyle w:val="ListeParagraf"/>
        <w:numPr>
          <w:ilvl w:val="0"/>
          <w:numId w:val="2"/>
        </w:numPr>
        <w:tabs>
          <w:tab w:val="left" w:pos="3870"/>
        </w:tabs>
        <w:spacing w:line="360" w:lineRule="auto"/>
        <w:ind w:left="630" w:right="-378"/>
        <w:jc w:val="both"/>
        <w:rPr>
          <w:rFonts w:ascii="Palatino Linotype" w:hAnsi="Palatino Linotype" w:cs="Times New Roman"/>
          <w:b/>
          <w:bCs/>
          <w:sz w:val="21"/>
          <w:szCs w:val="21"/>
        </w:rPr>
      </w:pPr>
      <w:r w:rsidRPr="00784138">
        <w:rPr>
          <w:rFonts w:ascii="Palatino Linotype" w:hAnsi="Palatino Linotype" w:cs="Times New Roman"/>
          <w:sz w:val="21"/>
          <w:szCs w:val="21"/>
        </w:rPr>
        <w:t xml:space="preserve">İlgili Devlet ihlali sona erdirmek ve mümkün olduğunca ihlal öncesi durumu yeniden sağlayacak şekilde ihlalin sonuçlarını giderme yükümlülüğü altındadır. Türkiye Cumhuriyeti </w:t>
      </w:r>
      <w:proofErr w:type="spellStart"/>
      <w:r w:rsidRPr="00784138">
        <w:rPr>
          <w:rFonts w:ascii="Palatino Linotype" w:hAnsi="Palatino Linotype" w:cs="Times New Roman"/>
          <w:sz w:val="21"/>
          <w:szCs w:val="21"/>
        </w:rPr>
        <w:t>AİHS’e</w:t>
      </w:r>
      <w:proofErr w:type="spellEnd"/>
      <w:r w:rsidRPr="00784138">
        <w:rPr>
          <w:rFonts w:ascii="Palatino Linotype" w:hAnsi="Palatino Linotype" w:cs="Times New Roman"/>
          <w:sz w:val="21"/>
          <w:szCs w:val="21"/>
        </w:rPr>
        <w:t xml:space="preserve"> taraf bir devlettir. </w:t>
      </w:r>
      <w:proofErr w:type="spellStart"/>
      <w:r w:rsidRPr="00784138">
        <w:rPr>
          <w:rFonts w:ascii="Palatino Linotype" w:hAnsi="Palatino Linotype" w:cs="Times New Roman"/>
          <w:sz w:val="21"/>
          <w:szCs w:val="21"/>
        </w:rPr>
        <w:t>AİHS’e</w:t>
      </w:r>
      <w:proofErr w:type="spellEnd"/>
      <w:r w:rsidRPr="00784138">
        <w:rPr>
          <w:rFonts w:ascii="Palatino Linotype" w:hAnsi="Palatino Linotype" w:cs="Times New Roman"/>
          <w:sz w:val="21"/>
          <w:szCs w:val="21"/>
        </w:rPr>
        <w:t xml:space="preserve"> taraf devlet olmak, AİHM’in zorunlu yargı yetkisini tanımayı ve bu yargı yetkisinin kullanılması sonucu verilen ihlal kararlarının gerektirdiği ihlal giderici tedbirleri almayı gerektirmektedir. AİHM kararlarının ihlal giderici önlemler gerektirmesi devlet sorumluluğu hukukunun temel ilkelerinin insan hakları hukuku alanında uygulanmasının doğal bir sonucudur. Devlet sorumluluğu hukukunun temel ilkeleri uluslararası hukukun tüm alanlarında geçerlidir ve AİHM bu ilkeler doğrultusunda karar vermekte, insan hakları kararlarının uygulanmasını takip eden ve Türkiye’nin de temsil edildiği Avrupa Konseyi Bakanlar Komitesi kararlarının uygulanmasını bu ilkeler doğrultusunda denetlemektedir. Buna göre, uluslararası hukukta bir kuralın ihlal edilmesi demek, adaletin bozulduğu anlamına gelmektedir. Bu adaletin tesis edilmesi için bu ihlalin devam ediyorsa sonlandırılması, mümkünse ortadan kaldırılması, bütünüyle ortadan kaldırılması mümkün değilse de zararın tazmin edilmesi gerekmektedir. Bir başka deyişle, </w:t>
      </w:r>
      <w:r w:rsidRPr="00784138">
        <w:rPr>
          <w:rFonts w:ascii="Palatino Linotype" w:hAnsi="Palatino Linotype" w:cs="Times New Roman"/>
          <w:b/>
          <w:bCs/>
          <w:sz w:val="21"/>
          <w:szCs w:val="21"/>
        </w:rPr>
        <w:t>AİHM’in kararının anlamı, uluslararası hukuka aykırılığın ulusal hukuk tarafından ortadan kaldırılması gerekliliğinin saptanmasıdır. Bu saptamanın ardından ihlali giderme ödevi ulusal mercilerindir.</w:t>
      </w:r>
    </w:p>
    <w:p w14:paraId="2619251E" w14:textId="77777777" w:rsidR="000D5450" w:rsidRDefault="00784138" w:rsidP="000D5450">
      <w:pPr>
        <w:pStyle w:val="ListeParagraf"/>
        <w:numPr>
          <w:ilvl w:val="0"/>
          <w:numId w:val="2"/>
        </w:numPr>
        <w:tabs>
          <w:tab w:val="left" w:pos="3870"/>
        </w:tabs>
        <w:spacing w:line="360" w:lineRule="auto"/>
        <w:ind w:left="630" w:right="-378"/>
        <w:jc w:val="both"/>
        <w:rPr>
          <w:rFonts w:ascii="Palatino Linotype" w:hAnsi="Palatino Linotype" w:cs="Times New Roman"/>
          <w:sz w:val="21"/>
          <w:szCs w:val="21"/>
        </w:rPr>
      </w:pPr>
      <w:r w:rsidRPr="00784138">
        <w:rPr>
          <w:rFonts w:ascii="Palatino Linotype" w:hAnsi="Palatino Linotype" w:cs="Times New Roman"/>
          <w:sz w:val="21"/>
          <w:szCs w:val="21"/>
        </w:rPr>
        <w:t>Türkiye’de de Yasama, Yürütme ve Yargı Anayasanın 90. ve Sözleşme’nin 46. maddeleri gereği tespit edilen ihlali gidermekle yükümlüdürler.</w:t>
      </w:r>
    </w:p>
    <w:p w14:paraId="74555353" w14:textId="77777777" w:rsidR="000D5450" w:rsidRPr="000D5450" w:rsidRDefault="00784138" w:rsidP="000D5450">
      <w:pPr>
        <w:pStyle w:val="ListeParagraf"/>
        <w:numPr>
          <w:ilvl w:val="0"/>
          <w:numId w:val="2"/>
        </w:numPr>
        <w:tabs>
          <w:tab w:val="left" w:pos="3870"/>
        </w:tabs>
        <w:spacing w:line="360" w:lineRule="auto"/>
        <w:ind w:left="630" w:right="-378"/>
        <w:jc w:val="both"/>
        <w:rPr>
          <w:rFonts w:ascii="Palatino Linotype" w:hAnsi="Palatino Linotype" w:cs="Times New Roman"/>
          <w:bCs/>
          <w:sz w:val="21"/>
          <w:szCs w:val="21"/>
        </w:rPr>
      </w:pPr>
      <w:r w:rsidRPr="000D5450">
        <w:rPr>
          <w:rFonts w:ascii="Palatino Linotype" w:hAnsi="Palatino Linotype"/>
          <w:bCs/>
        </w:rPr>
        <w:t xml:space="preserve">Mütalaada bu yükümlülüğün niteliği de açıklanmıştır: bir devletin AİHM kararını icra etmemesi, yalnızca geçmişte tespit edilmiş bir ihlalin sonuçlarını ortadan kaldırmamak anlamına gelmez; aynı zamanda Sözleşme’nin 46. maddesi bakımından yeni ve bağımsız bir ihlal doğurur. Bu bağlamda ihlal, statik bir tespit olmaktan çıkar ve dinamik bir nitelik </w:t>
      </w:r>
      <w:r w:rsidRPr="000D5450">
        <w:rPr>
          <w:rFonts w:ascii="Palatino Linotype" w:hAnsi="Palatino Linotype"/>
          <w:bCs/>
        </w:rPr>
        <w:lastRenderedPageBreak/>
        <w:t>kazanır; karar uygulanmadıkça ihlal sürer (Mütalaa, s. 62). Kararların icrası yalnızca tazminatla sınırlı olmayıp, ihlalin sonuçlarını ortadan kaldıracak bireysel önlemleri ve benzer ihlallerin tekrarını önleyecek genel önlemleri de içermektedir (Mütalaa, s. 63).</w:t>
      </w:r>
    </w:p>
    <w:p w14:paraId="32E641AA" w14:textId="028CF310" w:rsidR="00784138" w:rsidRPr="000D5450" w:rsidRDefault="00784138" w:rsidP="000D5450">
      <w:pPr>
        <w:pStyle w:val="ListeParagraf"/>
        <w:numPr>
          <w:ilvl w:val="0"/>
          <w:numId w:val="2"/>
        </w:numPr>
        <w:tabs>
          <w:tab w:val="left" w:pos="3870"/>
        </w:tabs>
        <w:spacing w:line="360" w:lineRule="auto"/>
        <w:ind w:left="630" w:right="-378"/>
        <w:jc w:val="both"/>
        <w:rPr>
          <w:rFonts w:ascii="Palatino Linotype" w:hAnsi="Palatino Linotype" w:cs="Times New Roman"/>
          <w:bCs/>
          <w:sz w:val="21"/>
          <w:szCs w:val="21"/>
        </w:rPr>
      </w:pPr>
      <w:r w:rsidRPr="000D5450">
        <w:rPr>
          <w:rFonts w:ascii="Palatino Linotype" w:hAnsi="Palatino Linotype"/>
          <w:bCs/>
        </w:rPr>
        <w:t>Mütalaada, suçun maddi ve manevi unsurları bireyselleştirilmeden mahkûm edilen her bir kişi için ayrı bir AİHM kararı beklemenin, aynı ihlalin tekrarına yol açarak mağduriyetleri artıracağı gibi Türk yargı sisteminin üzerindeki yükü de gereksiz yere ağırlaştıracağı belirtilmiştir (Mütalaa, s. 48).</w:t>
      </w:r>
    </w:p>
    <w:p w14:paraId="690FCD03" w14:textId="6CE1C041" w:rsidR="00784138" w:rsidRPr="00784138" w:rsidRDefault="00784138" w:rsidP="00784138">
      <w:pPr>
        <w:tabs>
          <w:tab w:val="left" w:pos="3870"/>
        </w:tabs>
        <w:spacing w:line="360" w:lineRule="auto"/>
        <w:ind w:left="270" w:right="-378"/>
        <w:jc w:val="both"/>
        <w:rPr>
          <w:rFonts w:ascii="Palatino Linotype" w:hAnsi="Palatino Linotype" w:cs="Times New Roman"/>
          <w:sz w:val="21"/>
          <w:szCs w:val="21"/>
        </w:rPr>
      </w:pPr>
      <w:r w:rsidRPr="00784138">
        <w:rPr>
          <w:rFonts w:ascii="Palatino Linotype" w:hAnsi="Palatino Linotype"/>
          <w:b/>
          <w:bCs/>
          <w:color w:val="000000"/>
          <w:sz w:val="21"/>
          <w:szCs w:val="21"/>
        </w:rPr>
        <w:t>V. Talep</w:t>
      </w:r>
    </w:p>
    <w:p w14:paraId="6111CB7D" w14:textId="34042FD7" w:rsidR="00784138" w:rsidRPr="00784138" w:rsidRDefault="00784138" w:rsidP="00784138">
      <w:pPr>
        <w:pStyle w:val="ListeParagraf"/>
        <w:numPr>
          <w:ilvl w:val="0"/>
          <w:numId w:val="2"/>
        </w:numPr>
        <w:tabs>
          <w:tab w:val="left" w:pos="3870"/>
        </w:tabs>
        <w:spacing w:line="360" w:lineRule="auto"/>
        <w:ind w:left="630" w:right="-378"/>
        <w:jc w:val="both"/>
        <w:rPr>
          <w:rFonts w:ascii="Palatino Linotype" w:hAnsi="Palatino Linotype" w:cs="Times New Roman"/>
          <w:sz w:val="21"/>
          <w:szCs w:val="21"/>
        </w:rPr>
      </w:pPr>
      <w:r w:rsidRPr="00784138">
        <w:rPr>
          <w:rFonts w:ascii="Palatino Linotype" w:hAnsi="Palatino Linotype"/>
          <w:color w:val="000000"/>
          <w:sz w:val="21"/>
          <w:szCs w:val="21"/>
        </w:rPr>
        <w:t xml:space="preserve">AİHM’in Yasak v. Türkiye kararında Sözleşme’nin 7. maddesi kapsamında verdiği ihlal gerekçelerinin tamamı </w:t>
      </w:r>
      <w:r w:rsidRPr="00784138">
        <w:rPr>
          <w:rFonts w:ascii="Palatino Linotype" w:hAnsi="Palatino Linotype"/>
          <w:color w:val="000000"/>
          <w:sz w:val="21"/>
          <w:szCs w:val="21"/>
          <w:highlight w:val="yellow"/>
        </w:rPr>
        <w:t>müvekkil hakkında/hakkımda da/vasisi olduğum … hakkında</w:t>
      </w:r>
      <w:r w:rsidRPr="00784138">
        <w:rPr>
          <w:rFonts w:ascii="Palatino Linotype" w:hAnsi="Palatino Linotype"/>
          <w:color w:val="000000"/>
          <w:sz w:val="21"/>
          <w:szCs w:val="21"/>
        </w:rPr>
        <w:t xml:space="preserve"> da geçerli olup; mahkûmiyetin meşru sayılabilmesi için suçun fiil ve kasıt unsurlarının her bir sanık özelinde bireyselleştirilerek somut biçimde ispatlanması zorunluluğu göz ardı edilmiştir. Belirli verilere ve yasal faaliyetlere dayanılarak "otomatik suçluluk karinesi" ile hareket edilmesi, ceza hukukunun en </w:t>
      </w:r>
      <w:r w:rsidR="00D813F5">
        <w:rPr>
          <w:rFonts w:ascii="Palatino Linotype" w:hAnsi="Palatino Linotype"/>
          <w:color w:val="000000"/>
          <w:sz w:val="21"/>
          <w:szCs w:val="21"/>
        </w:rPr>
        <w:t>önemli ilkelerinden</w:t>
      </w:r>
      <w:r w:rsidRPr="00784138">
        <w:rPr>
          <w:rFonts w:ascii="Palatino Linotype" w:hAnsi="Palatino Linotype"/>
          <w:color w:val="000000"/>
          <w:sz w:val="21"/>
          <w:szCs w:val="21"/>
        </w:rPr>
        <w:t xml:space="preserve"> olan "kusursuz ceza olmaz" ilkesini zedelemiştir. Bu nedenle, salt bir yapıyla kurulan irtibat veya kolektif aidiyet varsayımı üzerinden tesis edilen ihlallerin, şahsi sorumluluk ve bireyselleştirme ilkeleri gereğince giderilmesini,</w:t>
      </w:r>
    </w:p>
    <w:p w14:paraId="5E6D8ECF" w14:textId="4B764587" w:rsidR="000D5450" w:rsidRPr="000D5450" w:rsidRDefault="00784138" w:rsidP="000D5450">
      <w:pPr>
        <w:pStyle w:val="ListeParagraf"/>
        <w:numPr>
          <w:ilvl w:val="0"/>
          <w:numId w:val="2"/>
        </w:numPr>
        <w:tabs>
          <w:tab w:val="left" w:pos="3870"/>
        </w:tabs>
        <w:spacing w:line="360" w:lineRule="auto"/>
        <w:ind w:left="630" w:right="-378"/>
        <w:jc w:val="both"/>
        <w:rPr>
          <w:rFonts w:ascii="Palatino Linotype" w:hAnsi="Palatino Linotype" w:cs="Times New Roman"/>
          <w:sz w:val="21"/>
          <w:szCs w:val="21"/>
        </w:rPr>
      </w:pPr>
      <w:r w:rsidRPr="00784138">
        <w:rPr>
          <w:rFonts w:ascii="Palatino Linotype" w:hAnsi="Palatino Linotype"/>
          <w:color w:val="000000"/>
          <w:sz w:val="21"/>
          <w:szCs w:val="21"/>
        </w:rPr>
        <w:t xml:space="preserve">AİHM’in Yasak kararında Sözleşme’nin 7. maddesinin ihlal gerekçesinin özü olan; suçun maddi ve manevi unsurunun (kastın) oluşup oluşmadığı somut olarak araştırılmadan, yasal ve rutin faaliyetlerin </w:t>
      </w:r>
      <w:r w:rsidRPr="00784138">
        <w:rPr>
          <w:rFonts w:ascii="Palatino Linotype" w:hAnsi="Palatino Linotype"/>
          <w:color w:val="000000"/>
          <w:sz w:val="21"/>
          <w:szCs w:val="21"/>
          <w:highlight w:val="yellow"/>
        </w:rPr>
        <w:t>(eğitim faaliyetleri, banka işlemleri vb.)</w:t>
      </w:r>
      <w:r w:rsidRPr="00784138">
        <w:rPr>
          <w:rFonts w:ascii="Palatino Linotype" w:hAnsi="Palatino Linotype"/>
          <w:color w:val="000000"/>
          <w:sz w:val="21"/>
          <w:szCs w:val="21"/>
        </w:rPr>
        <w:t xml:space="preserve"> suçun unsurları yerine ikame edilerek otomatik ceza verilmesi hususu </w:t>
      </w:r>
      <w:r w:rsidRPr="00784138">
        <w:rPr>
          <w:rFonts w:ascii="Palatino Linotype" w:hAnsi="Palatino Linotype"/>
          <w:color w:val="000000"/>
          <w:sz w:val="21"/>
          <w:szCs w:val="21"/>
          <w:highlight w:val="yellow"/>
        </w:rPr>
        <w:t>müvekkilin/benim/vasisi olduğum …</w:t>
      </w:r>
      <w:r w:rsidRPr="00784138">
        <w:rPr>
          <w:rFonts w:ascii="Palatino Linotype" w:hAnsi="Palatino Linotype"/>
          <w:color w:val="000000"/>
          <w:sz w:val="21"/>
          <w:szCs w:val="21"/>
        </w:rPr>
        <w:t xml:space="preserve"> için de aynen geçerlidir. Yasak kararında vurgulandığı üzere, cezai sorumluluk toplu bir suçluluk varsayımına dayandırılamaz ve "suç kastı somut olarak ispatlanmalıdır". TCK 314. maddesi şiddete başvuran silahlı bir terör örgütüne üye olmayı düzenlediğinden, kişinin bu hedefleri bildiğini ve isteyerek iştirak ettiğini gösteren özel kastın (</w:t>
      </w:r>
      <w:proofErr w:type="spellStart"/>
      <w:r w:rsidRPr="00784138">
        <w:rPr>
          <w:rFonts w:ascii="Palatino Linotype" w:hAnsi="Palatino Linotype"/>
          <w:color w:val="000000"/>
          <w:sz w:val="21"/>
          <w:szCs w:val="21"/>
        </w:rPr>
        <w:t>mens</w:t>
      </w:r>
      <w:proofErr w:type="spellEnd"/>
      <w:r w:rsidRPr="00784138">
        <w:rPr>
          <w:rFonts w:ascii="Palatino Linotype" w:hAnsi="Palatino Linotype"/>
          <w:color w:val="000000"/>
          <w:sz w:val="21"/>
          <w:szCs w:val="21"/>
        </w:rPr>
        <w:t xml:space="preserve"> </w:t>
      </w:r>
      <w:proofErr w:type="spellStart"/>
      <w:r w:rsidRPr="00784138">
        <w:rPr>
          <w:rFonts w:ascii="Palatino Linotype" w:hAnsi="Palatino Linotype"/>
          <w:color w:val="000000"/>
          <w:sz w:val="21"/>
          <w:szCs w:val="21"/>
        </w:rPr>
        <w:t>rea</w:t>
      </w:r>
      <w:proofErr w:type="spellEnd"/>
      <w:r w:rsidRPr="00784138">
        <w:rPr>
          <w:rFonts w:ascii="Palatino Linotype" w:hAnsi="Palatino Linotype"/>
          <w:color w:val="000000"/>
          <w:sz w:val="21"/>
          <w:szCs w:val="21"/>
        </w:rPr>
        <w:t xml:space="preserve">) tespiti zorunludur. Mevcut dosyada, isnat edilen eylemlerin şiddet fiilleriyle hiçbir bağlantısı olmamasına rağmen, </w:t>
      </w:r>
      <w:r w:rsidRPr="00A40994">
        <w:rPr>
          <w:rFonts w:ascii="Palatino Linotype" w:hAnsi="Palatino Linotype"/>
          <w:color w:val="000000"/>
          <w:sz w:val="21"/>
          <w:szCs w:val="21"/>
          <w:highlight w:val="yellow"/>
        </w:rPr>
        <w:t>benim/vasisi olduğum …’</w:t>
      </w:r>
      <w:proofErr w:type="spellStart"/>
      <w:r w:rsidRPr="00A40994">
        <w:rPr>
          <w:rFonts w:ascii="Palatino Linotype" w:hAnsi="Palatino Linotype"/>
          <w:color w:val="000000"/>
          <w:sz w:val="21"/>
          <w:szCs w:val="21"/>
          <w:highlight w:val="yellow"/>
        </w:rPr>
        <w:t>ın</w:t>
      </w:r>
      <w:proofErr w:type="spellEnd"/>
      <w:r w:rsidRPr="00784138">
        <w:rPr>
          <w:rFonts w:ascii="Palatino Linotype" w:hAnsi="Palatino Linotype"/>
          <w:color w:val="000000"/>
          <w:sz w:val="21"/>
          <w:szCs w:val="21"/>
        </w:rPr>
        <w:t xml:space="preserve"> </w:t>
      </w:r>
      <w:r w:rsidR="00A40994">
        <w:rPr>
          <w:rFonts w:ascii="Palatino Linotype" w:hAnsi="Palatino Linotype"/>
          <w:color w:val="000000"/>
        </w:rPr>
        <w:t>yapının</w:t>
      </w:r>
      <w:r w:rsidRPr="00784138">
        <w:rPr>
          <w:rFonts w:ascii="Palatino Linotype" w:hAnsi="Palatino Linotype"/>
          <w:color w:val="000000"/>
          <w:sz w:val="21"/>
          <w:szCs w:val="21"/>
        </w:rPr>
        <w:t xml:space="preserve"> stratejik veya merkezi kanatlarıyla fiili, kişisel veya hiyerarşik bir bağı tespit edilmemiş; iddia edilen hiyerarşideki </w:t>
      </w:r>
      <w:r w:rsidRPr="00A40994">
        <w:rPr>
          <w:rFonts w:ascii="Palatino Linotype" w:hAnsi="Palatino Linotype"/>
          <w:color w:val="000000"/>
          <w:sz w:val="21"/>
          <w:szCs w:val="21"/>
          <w:highlight w:val="yellow"/>
        </w:rPr>
        <w:t>konumum/konumu ve kusur derecem/derecesi</w:t>
      </w:r>
      <w:r w:rsidRPr="00784138">
        <w:rPr>
          <w:rFonts w:ascii="Palatino Linotype" w:hAnsi="Palatino Linotype"/>
          <w:color w:val="000000"/>
          <w:sz w:val="21"/>
          <w:szCs w:val="21"/>
        </w:rPr>
        <w:t xml:space="preserve"> netleştirilmemiştir. Suçun manevi unsuru (kast); eylemlerin zamansal bağlamı titizlikle değerlendirilerek bireyselleştirilmiş bir şekilde ispatlanmak yerine, yapının gelişimi hakkındaki genel değerlendirmelere ve varsayımlara dayandırılmıştır. Suçun unsurlarının </w:t>
      </w:r>
      <w:r w:rsidRPr="00784138">
        <w:rPr>
          <w:rFonts w:ascii="Palatino Linotype" w:hAnsi="Palatino Linotype"/>
          <w:color w:val="000000"/>
          <w:sz w:val="21"/>
          <w:szCs w:val="21"/>
          <w:highlight w:val="yellow"/>
        </w:rPr>
        <w:t>müvekkil açısından/benim açımdan/vasisi olduğum ….</w:t>
      </w:r>
      <w:r w:rsidRPr="00784138">
        <w:rPr>
          <w:rFonts w:ascii="Palatino Linotype" w:hAnsi="Palatino Linotype"/>
          <w:color w:val="000000"/>
          <w:sz w:val="21"/>
          <w:szCs w:val="21"/>
        </w:rPr>
        <w:t xml:space="preserve"> </w:t>
      </w:r>
      <w:proofErr w:type="gramStart"/>
      <w:r w:rsidRPr="00784138">
        <w:rPr>
          <w:rFonts w:ascii="Palatino Linotype" w:hAnsi="Palatino Linotype"/>
          <w:color w:val="000000"/>
          <w:sz w:val="21"/>
          <w:szCs w:val="21"/>
        </w:rPr>
        <w:t>açısından</w:t>
      </w:r>
      <w:proofErr w:type="gramEnd"/>
      <w:r w:rsidRPr="00784138">
        <w:rPr>
          <w:rFonts w:ascii="Palatino Linotype" w:hAnsi="Palatino Linotype"/>
          <w:color w:val="000000"/>
          <w:sz w:val="21"/>
          <w:szCs w:val="21"/>
        </w:rPr>
        <w:t xml:space="preserve"> gerçekleştiğini </w:t>
      </w:r>
      <w:r w:rsidRPr="00784138">
        <w:rPr>
          <w:rFonts w:ascii="Palatino Linotype" w:hAnsi="Palatino Linotype"/>
          <w:color w:val="000000"/>
          <w:sz w:val="21"/>
          <w:szCs w:val="21"/>
        </w:rPr>
        <w:lastRenderedPageBreak/>
        <w:t xml:space="preserve">gösterir dosyada hiçbir somut delil yoktur. </w:t>
      </w:r>
      <w:r w:rsidRPr="00784138">
        <w:rPr>
          <w:rFonts w:ascii="Palatino Linotype" w:hAnsi="Palatino Linotype"/>
          <w:color w:val="000000"/>
          <w:sz w:val="21"/>
          <w:szCs w:val="21"/>
          <w:highlight w:val="yellow"/>
        </w:rPr>
        <w:t>Şahsıma/müvekkile/vasisi olduğum …. ‘</w:t>
      </w:r>
      <w:proofErr w:type="gramStart"/>
      <w:r w:rsidRPr="00784138">
        <w:rPr>
          <w:rFonts w:ascii="Palatino Linotype" w:hAnsi="Palatino Linotype"/>
          <w:color w:val="000000"/>
          <w:sz w:val="21"/>
          <w:szCs w:val="21"/>
          <w:highlight w:val="yellow"/>
        </w:rPr>
        <w:t>e</w:t>
      </w:r>
      <w:proofErr w:type="gramEnd"/>
      <w:r w:rsidRPr="00784138">
        <w:rPr>
          <w:rFonts w:ascii="Palatino Linotype" w:hAnsi="Palatino Linotype"/>
          <w:color w:val="000000"/>
          <w:sz w:val="21"/>
          <w:szCs w:val="21"/>
        </w:rPr>
        <w:t xml:space="preserve"> isnat edilen hususlar yasal ve rutin faaliyetlerdir. Suçun unsurlarının hakkımda gerçekleştiği ortaya konulamıyorsa, bu durum isnat edilen suçun </w:t>
      </w:r>
      <w:r w:rsidRPr="00784138">
        <w:rPr>
          <w:rFonts w:ascii="Palatino Linotype" w:hAnsi="Palatino Linotype"/>
          <w:color w:val="000000"/>
          <w:sz w:val="21"/>
          <w:szCs w:val="21"/>
          <w:highlight w:val="yellow"/>
        </w:rPr>
        <w:t xml:space="preserve">tarafımca/müvekkilce/vasisi olduğum …. </w:t>
      </w:r>
      <w:proofErr w:type="gramStart"/>
      <w:r w:rsidRPr="00784138">
        <w:rPr>
          <w:rFonts w:ascii="Palatino Linotype" w:hAnsi="Palatino Linotype"/>
          <w:color w:val="000000"/>
          <w:sz w:val="21"/>
          <w:szCs w:val="21"/>
          <w:highlight w:val="yellow"/>
        </w:rPr>
        <w:t>tarafından</w:t>
      </w:r>
      <w:proofErr w:type="gramEnd"/>
      <w:r w:rsidRPr="00784138">
        <w:rPr>
          <w:rFonts w:ascii="Palatino Linotype" w:hAnsi="Palatino Linotype"/>
          <w:color w:val="000000"/>
          <w:sz w:val="21"/>
          <w:szCs w:val="21"/>
        </w:rPr>
        <w:t xml:space="preserve"> işlenmediğini gösterir. Bu nedenlerle, </w:t>
      </w:r>
      <w:r w:rsidRPr="00784138">
        <w:rPr>
          <w:rFonts w:ascii="Palatino Linotype" w:hAnsi="Palatino Linotype"/>
          <w:color w:val="000000"/>
          <w:sz w:val="21"/>
          <w:szCs w:val="21"/>
          <w:highlight w:val="yellow"/>
        </w:rPr>
        <w:t xml:space="preserve">müvekkil hakkında/hakkımda/ vasisi olduğum …. </w:t>
      </w:r>
      <w:proofErr w:type="gramStart"/>
      <w:r w:rsidRPr="00784138">
        <w:rPr>
          <w:rFonts w:ascii="Palatino Linotype" w:hAnsi="Palatino Linotype"/>
          <w:color w:val="000000"/>
          <w:sz w:val="21"/>
          <w:szCs w:val="21"/>
          <w:highlight w:val="yellow"/>
        </w:rPr>
        <w:t>hakkında</w:t>
      </w:r>
      <w:proofErr w:type="gramEnd"/>
      <w:r w:rsidRPr="00784138">
        <w:rPr>
          <w:rFonts w:ascii="Palatino Linotype" w:hAnsi="Palatino Linotype"/>
          <w:color w:val="000000"/>
          <w:sz w:val="21"/>
          <w:szCs w:val="21"/>
        </w:rPr>
        <w:t xml:space="preserve"> hak ihlali kararı verilmesi,</w:t>
      </w:r>
    </w:p>
    <w:p w14:paraId="33C33903" w14:textId="77777777" w:rsidR="000D5450" w:rsidRPr="000D5450" w:rsidRDefault="00784138" w:rsidP="000D5450">
      <w:pPr>
        <w:pStyle w:val="ListeParagraf"/>
        <w:numPr>
          <w:ilvl w:val="0"/>
          <w:numId w:val="2"/>
        </w:numPr>
        <w:tabs>
          <w:tab w:val="left" w:pos="3870"/>
        </w:tabs>
        <w:spacing w:line="360" w:lineRule="auto"/>
        <w:ind w:left="630" w:right="-378"/>
        <w:jc w:val="both"/>
        <w:rPr>
          <w:rFonts w:ascii="Palatino Linotype" w:hAnsi="Palatino Linotype" w:cs="Times New Roman"/>
          <w:bCs/>
          <w:sz w:val="21"/>
          <w:szCs w:val="21"/>
        </w:rPr>
      </w:pPr>
      <w:r w:rsidRPr="000D5450">
        <w:rPr>
          <w:rFonts w:ascii="Palatino Linotype" w:hAnsi="Palatino Linotype"/>
          <w:bCs/>
        </w:rPr>
        <w:t>Mütalaada, yargı organları bakımından yapılması gereken de açıkça gösterilmiştir: konunun basit bir biçimsel usul olarak görülmeyip esastan inceleme yapılması ve ByLock ile sayılan diğer delillere dayalı isnatların bulunduğu tüm vakalarda beraat kararı verilmesi gerekmektedir. Anılan delillerin manipülasyona açık niteliği ve seçici/tutarsız uygulaması, bu delillerden türetilecek çıkarımları da kuşkulu hâle getirmekte olup, şüpheden sanık yararlanır (in dubio pro reo) ilkesi gereğince bu dava kümelerindeki mahkûmiyetler açısından “beraat” kararı kaçınılmaz görünmektedir (Mütalaa, s. 62).</w:t>
      </w:r>
    </w:p>
    <w:p w14:paraId="1CA389B2" w14:textId="359BC437" w:rsidR="00784138" w:rsidRPr="000D5450" w:rsidRDefault="00784138" w:rsidP="000D5450">
      <w:pPr>
        <w:pStyle w:val="ListeParagraf"/>
        <w:numPr>
          <w:ilvl w:val="0"/>
          <w:numId w:val="2"/>
        </w:numPr>
        <w:tabs>
          <w:tab w:val="left" w:pos="3870"/>
        </w:tabs>
        <w:spacing w:line="360" w:lineRule="auto"/>
        <w:ind w:left="630" w:right="-378"/>
        <w:jc w:val="both"/>
        <w:rPr>
          <w:rFonts w:ascii="Palatino Linotype" w:hAnsi="Palatino Linotype" w:cs="Times New Roman"/>
          <w:bCs/>
          <w:sz w:val="21"/>
          <w:szCs w:val="21"/>
        </w:rPr>
      </w:pPr>
      <w:r w:rsidRPr="000D5450">
        <w:rPr>
          <w:rFonts w:ascii="Palatino Linotype" w:hAnsi="Palatino Linotype"/>
          <w:bCs/>
        </w:rPr>
        <w:t>Mütalaada, ihlal kararına bağlı yeniden yargılamada “ilgili mahkemenin yeniden yargılama sebebinin varlığını kabul hususunda herhangi bir takdir yetkisi bulunmadığı” da vurgulanmıştır. Ayrıca yeniden yargılama yapan mahkemenin, önceki hükmün gerekçesini biçimsel olarak genişletmekle yetinemeyeceği; tespit edilen hukuki yorum hatalarını ve usulî güvence eksikliklerini somut biçimde giderdiğini kararında ortaya koyması gerektiği ifade edilmiştir (Mütalaa, s. 47 ve s. 68).</w:t>
      </w:r>
    </w:p>
    <w:p w14:paraId="2918AA70" w14:textId="7D39C468" w:rsidR="00784138" w:rsidRPr="00784138" w:rsidRDefault="00784138" w:rsidP="00784138">
      <w:pPr>
        <w:pStyle w:val="ListeParagraf"/>
        <w:numPr>
          <w:ilvl w:val="0"/>
          <w:numId w:val="2"/>
        </w:numPr>
        <w:tabs>
          <w:tab w:val="left" w:pos="3870"/>
        </w:tabs>
        <w:spacing w:line="360" w:lineRule="auto"/>
        <w:ind w:left="630" w:right="-378"/>
        <w:jc w:val="both"/>
        <w:rPr>
          <w:rFonts w:ascii="Palatino Linotype" w:hAnsi="Palatino Linotype" w:cs="Times New Roman"/>
          <w:sz w:val="21"/>
          <w:szCs w:val="21"/>
        </w:rPr>
      </w:pPr>
      <w:r w:rsidRPr="00784138">
        <w:rPr>
          <w:rFonts w:ascii="Palatino Linotype" w:hAnsi="Palatino Linotype"/>
          <w:color w:val="000000"/>
          <w:sz w:val="21"/>
          <w:szCs w:val="21"/>
        </w:rPr>
        <w:t xml:space="preserve">AİHM Yasak kararında; Sözleşme'nin 7. maddesinde güvence altına alınan yasallık ve öngörülebilirlik ilkelerinin ihlalinin, kastın somut olgulara sıkı sıkıya bağlı ve bireyselleştirilmiş bir analizle tespit edilmemesinden kaynaklandığını açıkça ortaya koymuştur. Kararda ortaya konulan tespitler ve uyarılar, AİHS’in 46. ve Anayasa'nın 90/5. maddeleri gereğince iç hukukta doğrudan bağlayıcı etkiye sahiptir. Yasak kararı, davanın esasına ve ceza hukukunun temel ilkelerine ilişkin olup benzer davaları da esas yönüyle doğrudan etkileyecektir. Anayasa Mahkemesi’nin ve derece mahkemelerinin, AİHS’in 7. maddesi kapsamında Yasak kararında belirlenen ilkelere (özel suç kastının somut ispatı, yasal faaliyetlerin otomatik suç kanıtı sayılamayacağı ve manevi unsurun bireyselleştirilmesi ilkelerine) göre dosyaları incelemesi, AİHS’in 46. ve Anayasa’nın 90. maddeleri gereğince bir tercih değil yasal zorunluluktur. </w:t>
      </w:r>
      <w:r w:rsidRPr="0043002F">
        <w:rPr>
          <w:rFonts w:ascii="Palatino Linotype" w:hAnsi="Palatino Linotype"/>
          <w:color w:val="000000"/>
          <w:sz w:val="21"/>
          <w:szCs w:val="21"/>
          <w:highlight w:val="yellow"/>
        </w:rPr>
        <w:t>Üzerime/</w:t>
      </w:r>
      <w:r w:rsidR="0043002F" w:rsidRPr="0043002F">
        <w:rPr>
          <w:rFonts w:ascii="Palatino Linotype" w:hAnsi="Palatino Linotype"/>
          <w:color w:val="000000"/>
          <w:sz w:val="21"/>
          <w:szCs w:val="21"/>
          <w:highlight w:val="yellow"/>
        </w:rPr>
        <w:t>müvekkil üzerine/</w:t>
      </w:r>
      <w:r w:rsidRPr="0043002F">
        <w:rPr>
          <w:rFonts w:ascii="Palatino Linotype" w:hAnsi="Palatino Linotype"/>
          <w:color w:val="000000"/>
          <w:sz w:val="21"/>
          <w:szCs w:val="21"/>
          <w:highlight w:val="yellow"/>
        </w:rPr>
        <w:t>vasisi olduğum …. ‘</w:t>
      </w:r>
      <w:proofErr w:type="gramStart"/>
      <w:r w:rsidRPr="0043002F">
        <w:rPr>
          <w:rFonts w:ascii="Palatino Linotype" w:hAnsi="Palatino Linotype"/>
          <w:color w:val="000000"/>
          <w:sz w:val="21"/>
          <w:szCs w:val="21"/>
          <w:highlight w:val="yellow"/>
        </w:rPr>
        <w:t>in</w:t>
      </w:r>
      <w:proofErr w:type="gramEnd"/>
      <w:r w:rsidRPr="00784138">
        <w:rPr>
          <w:rFonts w:ascii="Palatino Linotype" w:hAnsi="Palatino Linotype"/>
          <w:color w:val="000000"/>
          <w:sz w:val="21"/>
          <w:szCs w:val="21"/>
        </w:rPr>
        <w:t xml:space="preserve"> üzerine atılı suçun maddi ve manevi unsurlarının oluşmaması ve atılı bu suçu işlediği hususunda cezalandırılmasına yeter, her türlü şüpheden uzak, kesin ve inandırıcı delil bulunmamaktadır. Bu nedenlerle, </w:t>
      </w:r>
      <w:r w:rsidRPr="0043002F">
        <w:rPr>
          <w:rFonts w:ascii="Palatino Linotype" w:hAnsi="Palatino Linotype"/>
          <w:color w:val="000000"/>
          <w:sz w:val="21"/>
          <w:szCs w:val="21"/>
          <w:highlight w:val="yellow"/>
        </w:rPr>
        <w:t xml:space="preserve">durumum/ </w:t>
      </w:r>
      <w:r w:rsidR="0043002F" w:rsidRPr="0043002F">
        <w:rPr>
          <w:rFonts w:ascii="Palatino Linotype" w:hAnsi="Palatino Linotype"/>
          <w:color w:val="000000"/>
          <w:sz w:val="21"/>
          <w:szCs w:val="21"/>
          <w:highlight w:val="yellow"/>
        </w:rPr>
        <w:t>müvekkilin/</w:t>
      </w:r>
      <w:r w:rsidRPr="0043002F">
        <w:rPr>
          <w:rFonts w:ascii="Palatino Linotype" w:hAnsi="Palatino Linotype"/>
          <w:color w:val="000000"/>
          <w:sz w:val="21"/>
          <w:szCs w:val="21"/>
          <w:highlight w:val="yellow"/>
        </w:rPr>
        <w:t>vasisi olduğum …. ‘</w:t>
      </w:r>
      <w:proofErr w:type="gramStart"/>
      <w:r w:rsidRPr="0043002F">
        <w:rPr>
          <w:rFonts w:ascii="Palatino Linotype" w:hAnsi="Palatino Linotype"/>
          <w:color w:val="000000"/>
          <w:sz w:val="21"/>
          <w:szCs w:val="21"/>
          <w:highlight w:val="yellow"/>
        </w:rPr>
        <w:t>in</w:t>
      </w:r>
      <w:proofErr w:type="gramEnd"/>
      <w:r w:rsidRPr="00784138">
        <w:rPr>
          <w:rFonts w:ascii="Palatino Linotype" w:hAnsi="Palatino Linotype"/>
          <w:color w:val="000000"/>
          <w:sz w:val="21"/>
          <w:szCs w:val="21"/>
        </w:rPr>
        <w:t xml:space="preserve"> durumu, ekte sunduğumuz </w:t>
      </w:r>
      <w:r w:rsidRPr="00784138">
        <w:rPr>
          <w:rFonts w:ascii="Palatino Linotype" w:hAnsi="Palatino Linotype"/>
          <w:color w:val="000000"/>
          <w:sz w:val="21"/>
          <w:szCs w:val="21"/>
        </w:rPr>
        <w:lastRenderedPageBreak/>
        <w:t xml:space="preserve">karar özetinden de anlaşılacağı üzere AİHM’in Yasak v. Türkiye kararına konu olay ile aynıdır. </w:t>
      </w:r>
      <w:r w:rsidRPr="0043002F">
        <w:rPr>
          <w:rFonts w:ascii="Palatino Linotype" w:hAnsi="Palatino Linotype"/>
          <w:color w:val="000000"/>
          <w:sz w:val="21"/>
          <w:szCs w:val="21"/>
          <w:highlight w:val="yellow"/>
        </w:rPr>
        <w:t xml:space="preserve">Hakkımdaki/ </w:t>
      </w:r>
      <w:r w:rsidR="0043002F" w:rsidRPr="0043002F">
        <w:rPr>
          <w:rFonts w:ascii="Palatino Linotype" w:hAnsi="Palatino Linotype"/>
          <w:color w:val="000000"/>
          <w:sz w:val="21"/>
          <w:szCs w:val="21"/>
          <w:highlight w:val="yellow"/>
        </w:rPr>
        <w:t>müvekkil hakkındaki/</w:t>
      </w:r>
      <w:r w:rsidRPr="0043002F">
        <w:rPr>
          <w:rFonts w:ascii="Palatino Linotype" w:hAnsi="Palatino Linotype"/>
          <w:color w:val="000000"/>
          <w:sz w:val="21"/>
          <w:szCs w:val="21"/>
          <w:highlight w:val="yellow"/>
        </w:rPr>
        <w:t xml:space="preserve">vasisi olduğum …. </w:t>
      </w:r>
      <w:proofErr w:type="gramStart"/>
      <w:r w:rsidRPr="0043002F">
        <w:rPr>
          <w:rFonts w:ascii="Palatino Linotype" w:hAnsi="Palatino Linotype"/>
          <w:color w:val="000000"/>
          <w:sz w:val="21"/>
          <w:szCs w:val="21"/>
          <w:highlight w:val="yellow"/>
        </w:rPr>
        <w:t>hakkındaki</w:t>
      </w:r>
      <w:proofErr w:type="gramEnd"/>
      <w:r w:rsidRPr="00784138">
        <w:rPr>
          <w:rFonts w:ascii="Palatino Linotype" w:hAnsi="Palatino Linotype"/>
          <w:color w:val="000000"/>
          <w:sz w:val="21"/>
          <w:szCs w:val="21"/>
        </w:rPr>
        <w:t xml:space="preserve"> yargılama da aynı esaslara ve eksik bireyselleştirmeye dayandığından, talebimizin kabulüne ve Anayasa’nın 33, 34, 36, 38, 51, 90, 138. ve 153. maddeleri, AİHS’nin 7. ve 46. maddeleri ve 6216 sayılı Kanunun 50. maddeleri gereğince </w:t>
      </w:r>
      <w:r w:rsidRPr="00795F07">
        <w:rPr>
          <w:rFonts w:ascii="Palatino Linotype" w:hAnsi="Palatino Linotype"/>
          <w:color w:val="000000"/>
          <w:sz w:val="21"/>
          <w:szCs w:val="21"/>
          <w:highlight w:val="yellow"/>
        </w:rPr>
        <w:t>hakkımda/hakkında</w:t>
      </w:r>
      <w:r w:rsidR="00795F07" w:rsidRPr="00795F07">
        <w:rPr>
          <w:rFonts w:ascii="Palatino Linotype" w:hAnsi="Palatino Linotype"/>
          <w:color w:val="000000"/>
          <w:sz w:val="21"/>
          <w:szCs w:val="21"/>
          <w:highlight w:val="yellow"/>
        </w:rPr>
        <w:t>/müvekkil hakkında/vasisi olduğum … hakkında</w:t>
      </w:r>
      <w:r w:rsidRPr="00784138">
        <w:rPr>
          <w:rFonts w:ascii="Palatino Linotype" w:hAnsi="Palatino Linotype"/>
          <w:color w:val="000000"/>
          <w:sz w:val="21"/>
          <w:szCs w:val="21"/>
        </w:rPr>
        <w:t xml:space="preserve"> hak ihlaline karar verilmesi,</w:t>
      </w:r>
    </w:p>
    <w:p w14:paraId="17102478" w14:textId="77777777" w:rsidR="00784138" w:rsidRPr="00784138" w:rsidRDefault="00784138" w:rsidP="00784138">
      <w:pPr>
        <w:pStyle w:val="ListeParagraf"/>
        <w:numPr>
          <w:ilvl w:val="0"/>
          <w:numId w:val="2"/>
        </w:numPr>
        <w:tabs>
          <w:tab w:val="left" w:pos="3870"/>
        </w:tabs>
        <w:spacing w:line="360" w:lineRule="auto"/>
        <w:ind w:left="630" w:right="-378"/>
        <w:jc w:val="both"/>
        <w:rPr>
          <w:rFonts w:ascii="Palatino Linotype" w:hAnsi="Palatino Linotype" w:cs="Times New Roman"/>
          <w:sz w:val="21"/>
          <w:szCs w:val="21"/>
        </w:rPr>
      </w:pPr>
      <w:r w:rsidRPr="00784138">
        <w:rPr>
          <w:rFonts w:ascii="Palatino Linotype" w:hAnsi="Palatino Linotype"/>
          <w:color w:val="000000"/>
          <w:sz w:val="21"/>
          <w:szCs w:val="21"/>
        </w:rPr>
        <w:t xml:space="preserve">Yeniden yargılama yapılmak üzere kararın mahkûmiyet kararı veren </w:t>
      </w:r>
      <w:r w:rsidRPr="00795F07">
        <w:rPr>
          <w:rFonts w:ascii="Palatino Linotype" w:hAnsi="Palatino Linotype"/>
          <w:color w:val="000000"/>
          <w:sz w:val="21"/>
          <w:szCs w:val="21"/>
          <w:highlight w:val="yellow"/>
        </w:rPr>
        <w:t>… Ağır Ceza</w:t>
      </w:r>
      <w:r w:rsidRPr="00784138">
        <w:rPr>
          <w:rFonts w:ascii="Palatino Linotype" w:hAnsi="Palatino Linotype"/>
          <w:color w:val="000000"/>
          <w:sz w:val="21"/>
          <w:szCs w:val="21"/>
        </w:rPr>
        <w:t xml:space="preserve"> Mahkemesine gönderilmesine,</w:t>
      </w:r>
    </w:p>
    <w:p w14:paraId="3D333094" w14:textId="22C0C8D7" w:rsidR="00784138" w:rsidRPr="00784138" w:rsidRDefault="00784138" w:rsidP="00784138">
      <w:pPr>
        <w:pStyle w:val="ListeParagraf"/>
        <w:numPr>
          <w:ilvl w:val="0"/>
          <w:numId w:val="2"/>
        </w:numPr>
        <w:tabs>
          <w:tab w:val="left" w:pos="3870"/>
        </w:tabs>
        <w:spacing w:line="360" w:lineRule="auto"/>
        <w:ind w:left="630" w:right="-378"/>
        <w:jc w:val="both"/>
        <w:rPr>
          <w:rFonts w:ascii="Palatino Linotype" w:hAnsi="Palatino Linotype" w:cs="Times New Roman"/>
          <w:sz w:val="21"/>
          <w:szCs w:val="21"/>
        </w:rPr>
      </w:pPr>
      <w:r w:rsidRPr="0043002F">
        <w:rPr>
          <w:rFonts w:ascii="Palatino Linotype" w:hAnsi="Palatino Linotype"/>
          <w:color w:val="000000"/>
          <w:sz w:val="21"/>
          <w:szCs w:val="21"/>
          <w:highlight w:val="yellow"/>
        </w:rPr>
        <w:t>Hakkımda/</w:t>
      </w:r>
      <w:r w:rsidR="0043002F" w:rsidRPr="0043002F">
        <w:rPr>
          <w:rFonts w:ascii="Palatino Linotype" w:hAnsi="Palatino Linotype"/>
          <w:color w:val="000000"/>
          <w:sz w:val="21"/>
          <w:szCs w:val="21"/>
          <w:highlight w:val="yellow"/>
        </w:rPr>
        <w:t>müvekkil hakkında/</w:t>
      </w:r>
      <w:r w:rsidRPr="0043002F">
        <w:rPr>
          <w:rFonts w:ascii="Palatino Linotype" w:hAnsi="Palatino Linotype"/>
          <w:color w:val="000000"/>
          <w:sz w:val="21"/>
          <w:szCs w:val="21"/>
          <w:highlight w:val="yellow"/>
        </w:rPr>
        <w:t xml:space="preserve">vasisi olduğum …. </w:t>
      </w:r>
      <w:proofErr w:type="gramStart"/>
      <w:r w:rsidRPr="0043002F">
        <w:rPr>
          <w:rFonts w:ascii="Palatino Linotype" w:hAnsi="Palatino Linotype"/>
          <w:color w:val="000000"/>
          <w:sz w:val="21"/>
          <w:szCs w:val="21"/>
          <w:highlight w:val="yellow"/>
        </w:rPr>
        <w:t>hakkında</w:t>
      </w:r>
      <w:proofErr w:type="gramEnd"/>
      <w:r w:rsidRPr="00784138">
        <w:rPr>
          <w:rFonts w:ascii="Palatino Linotype" w:hAnsi="Palatino Linotype"/>
          <w:color w:val="000000"/>
          <w:sz w:val="21"/>
          <w:szCs w:val="21"/>
        </w:rPr>
        <w:t xml:space="preserve"> infazın durdurulmasına ve </w:t>
      </w:r>
      <w:r w:rsidRPr="0043002F">
        <w:rPr>
          <w:rFonts w:ascii="Palatino Linotype" w:hAnsi="Palatino Linotype"/>
          <w:color w:val="000000"/>
          <w:sz w:val="21"/>
          <w:szCs w:val="21"/>
          <w:highlight w:val="yellow"/>
        </w:rPr>
        <w:t>salıverilmeme/salıverilmesine</w:t>
      </w:r>
      <w:r w:rsidRPr="00784138">
        <w:rPr>
          <w:rFonts w:ascii="Palatino Linotype" w:hAnsi="Palatino Linotype"/>
          <w:color w:val="000000"/>
          <w:sz w:val="21"/>
          <w:szCs w:val="21"/>
        </w:rPr>
        <w:t xml:space="preserve"> karar verilmesi arz ve talep olunur. </w:t>
      </w:r>
      <w:proofErr w:type="gramStart"/>
      <w:r w:rsidRPr="0043002F">
        <w:rPr>
          <w:rFonts w:ascii="Palatino Linotype" w:hAnsi="Palatino Linotype"/>
          <w:color w:val="000000"/>
          <w:sz w:val="21"/>
          <w:szCs w:val="21"/>
          <w:highlight w:val="yellow"/>
        </w:rPr>
        <w:t>…../….</w:t>
      </w:r>
      <w:proofErr w:type="gramEnd"/>
      <w:r w:rsidRPr="0043002F">
        <w:rPr>
          <w:rFonts w:ascii="Palatino Linotype" w:hAnsi="Palatino Linotype"/>
          <w:color w:val="000000"/>
          <w:sz w:val="21"/>
          <w:szCs w:val="21"/>
          <w:highlight w:val="yellow"/>
        </w:rPr>
        <w:t>/202…</w:t>
      </w:r>
    </w:p>
    <w:p w14:paraId="65301E0E" w14:textId="77777777" w:rsidR="00784138" w:rsidRDefault="00784138" w:rsidP="00412A09">
      <w:pPr>
        <w:pStyle w:val="ListeParagraf"/>
        <w:tabs>
          <w:tab w:val="left" w:pos="3870"/>
        </w:tabs>
        <w:spacing w:line="360" w:lineRule="auto"/>
        <w:ind w:left="630" w:right="-141"/>
        <w:jc w:val="both"/>
        <w:rPr>
          <w:rFonts w:ascii="Palatino Linotype" w:hAnsi="Palatino Linotype" w:cs="Times New Roman"/>
          <w:b/>
          <w:color w:val="010000"/>
          <w:u w:val="thick"/>
          <w:shd w:val="clear" w:color="auto" w:fill="FFFFFF"/>
        </w:rPr>
      </w:pPr>
    </w:p>
    <w:p w14:paraId="48F4E686" w14:textId="77777777" w:rsidR="000B2F4E" w:rsidRDefault="000B2F4E" w:rsidP="00412A09">
      <w:pPr>
        <w:pStyle w:val="ListeParagraf"/>
        <w:tabs>
          <w:tab w:val="left" w:pos="3870"/>
        </w:tabs>
        <w:spacing w:line="360" w:lineRule="auto"/>
        <w:ind w:left="630" w:right="-141"/>
        <w:jc w:val="both"/>
        <w:rPr>
          <w:rFonts w:ascii="Palatino Linotype" w:hAnsi="Palatino Linotype" w:cs="Times New Roman"/>
          <w:b/>
          <w:color w:val="010000"/>
          <w:u w:val="thick"/>
          <w:shd w:val="clear" w:color="auto" w:fill="FFFFFF"/>
        </w:rPr>
      </w:pPr>
    </w:p>
    <w:p w14:paraId="047D367F" w14:textId="33D8926C" w:rsidR="00784138" w:rsidRDefault="000B2F4E" w:rsidP="00412A09">
      <w:pPr>
        <w:pStyle w:val="ListeParagraf"/>
        <w:tabs>
          <w:tab w:val="left" w:pos="3870"/>
        </w:tabs>
        <w:spacing w:line="360" w:lineRule="auto"/>
        <w:ind w:left="630" w:right="-141"/>
        <w:jc w:val="both"/>
        <w:rPr>
          <w:rFonts w:ascii="Palatino Linotype" w:hAnsi="Palatino Linotype" w:cs="Times New Roman"/>
          <w:b/>
          <w:color w:val="010000"/>
          <w:shd w:val="clear" w:color="auto" w:fill="FFFFFF"/>
        </w:rPr>
      </w:pPr>
      <w:r w:rsidRPr="000B2F4E">
        <w:rPr>
          <w:rFonts w:ascii="Palatino Linotype" w:hAnsi="Palatino Linotype" w:cs="Times New Roman"/>
          <w:b/>
          <w:color w:val="010000"/>
          <w:shd w:val="clear" w:color="auto" w:fill="FFFFFF"/>
        </w:rPr>
        <w:t xml:space="preserve">                                                                                                   </w:t>
      </w:r>
      <w:r w:rsidRPr="000B2F4E">
        <w:rPr>
          <w:rFonts w:ascii="Palatino Linotype" w:hAnsi="Palatino Linotype" w:cs="Times New Roman"/>
          <w:b/>
          <w:color w:val="010000"/>
          <w:highlight w:val="yellow"/>
          <w:shd w:val="clear" w:color="auto" w:fill="FFFFFF"/>
        </w:rPr>
        <w:t>Dilekçeyi veren isim/soy isim</w:t>
      </w:r>
    </w:p>
    <w:p w14:paraId="0BC0B220" w14:textId="33F3755D" w:rsidR="000B2F4E" w:rsidRDefault="000B2F4E" w:rsidP="00412A09">
      <w:pPr>
        <w:pStyle w:val="ListeParagraf"/>
        <w:tabs>
          <w:tab w:val="left" w:pos="3870"/>
        </w:tabs>
        <w:spacing w:line="360" w:lineRule="auto"/>
        <w:ind w:left="630" w:right="-141"/>
        <w:jc w:val="both"/>
        <w:rPr>
          <w:rFonts w:ascii="Palatino Linotype" w:hAnsi="Palatino Linotype" w:cs="Times New Roman"/>
          <w:b/>
          <w:color w:val="010000"/>
          <w:shd w:val="clear" w:color="auto" w:fill="FFFFFF"/>
        </w:rPr>
      </w:pPr>
      <w:r>
        <w:rPr>
          <w:rFonts w:ascii="Palatino Linotype" w:hAnsi="Palatino Linotype" w:cs="Times New Roman"/>
          <w:b/>
          <w:color w:val="010000"/>
          <w:shd w:val="clear" w:color="auto" w:fill="FFFFFF"/>
        </w:rPr>
        <w:tab/>
      </w:r>
      <w:r>
        <w:rPr>
          <w:rFonts w:ascii="Palatino Linotype" w:hAnsi="Palatino Linotype" w:cs="Times New Roman"/>
          <w:b/>
          <w:color w:val="010000"/>
          <w:shd w:val="clear" w:color="auto" w:fill="FFFFFF"/>
        </w:rPr>
        <w:tab/>
      </w:r>
      <w:r>
        <w:rPr>
          <w:rFonts w:ascii="Palatino Linotype" w:hAnsi="Palatino Linotype" w:cs="Times New Roman"/>
          <w:b/>
          <w:color w:val="010000"/>
          <w:shd w:val="clear" w:color="auto" w:fill="FFFFFF"/>
        </w:rPr>
        <w:tab/>
      </w:r>
      <w:r>
        <w:rPr>
          <w:rFonts w:ascii="Palatino Linotype" w:hAnsi="Palatino Linotype" w:cs="Times New Roman"/>
          <w:b/>
          <w:color w:val="010000"/>
          <w:shd w:val="clear" w:color="auto" w:fill="FFFFFF"/>
        </w:rPr>
        <w:tab/>
      </w:r>
      <w:r>
        <w:rPr>
          <w:rFonts w:ascii="Palatino Linotype" w:hAnsi="Palatino Linotype" w:cs="Times New Roman"/>
          <w:b/>
          <w:color w:val="010000"/>
          <w:shd w:val="clear" w:color="auto" w:fill="FFFFFF"/>
        </w:rPr>
        <w:tab/>
      </w:r>
      <w:r>
        <w:rPr>
          <w:rFonts w:ascii="Palatino Linotype" w:hAnsi="Palatino Linotype" w:cs="Times New Roman"/>
          <w:b/>
          <w:color w:val="010000"/>
          <w:shd w:val="clear" w:color="auto" w:fill="FFFFFF"/>
        </w:rPr>
        <w:tab/>
        <w:t xml:space="preserve">     </w:t>
      </w:r>
      <w:r w:rsidRPr="000B2F4E">
        <w:rPr>
          <w:rFonts w:ascii="Palatino Linotype" w:hAnsi="Palatino Linotype" w:cs="Times New Roman"/>
          <w:b/>
          <w:color w:val="010000"/>
          <w:highlight w:val="yellow"/>
          <w:shd w:val="clear" w:color="auto" w:fill="FFFFFF"/>
        </w:rPr>
        <w:t>İmza</w:t>
      </w:r>
    </w:p>
    <w:p w14:paraId="57E13AC0" w14:textId="77777777" w:rsidR="000B2F4E" w:rsidRDefault="000B2F4E" w:rsidP="00412A09">
      <w:pPr>
        <w:pStyle w:val="ListeParagraf"/>
        <w:tabs>
          <w:tab w:val="left" w:pos="3870"/>
        </w:tabs>
        <w:spacing w:line="360" w:lineRule="auto"/>
        <w:ind w:left="630" w:right="-141"/>
        <w:jc w:val="both"/>
        <w:rPr>
          <w:rFonts w:ascii="Palatino Linotype" w:hAnsi="Palatino Linotype" w:cs="Times New Roman"/>
          <w:b/>
          <w:color w:val="010000"/>
          <w:shd w:val="clear" w:color="auto" w:fill="FFFFFF"/>
        </w:rPr>
      </w:pPr>
    </w:p>
    <w:p w14:paraId="36172D6C" w14:textId="77777777" w:rsidR="000B2F4E" w:rsidRDefault="000B2F4E" w:rsidP="00412A09">
      <w:pPr>
        <w:pStyle w:val="ListeParagraf"/>
        <w:tabs>
          <w:tab w:val="left" w:pos="3870"/>
        </w:tabs>
        <w:spacing w:line="360" w:lineRule="auto"/>
        <w:ind w:left="630" w:right="-141"/>
        <w:jc w:val="both"/>
        <w:rPr>
          <w:rFonts w:ascii="Palatino Linotype" w:hAnsi="Palatino Linotype" w:cs="Times New Roman"/>
          <w:b/>
          <w:color w:val="010000"/>
          <w:shd w:val="clear" w:color="auto" w:fill="FFFFFF"/>
        </w:rPr>
      </w:pPr>
    </w:p>
    <w:p w14:paraId="6B1287EF" w14:textId="77777777" w:rsidR="000B2F4E" w:rsidRPr="000B2F4E" w:rsidRDefault="000B2F4E" w:rsidP="00412A09">
      <w:pPr>
        <w:pStyle w:val="ListeParagraf"/>
        <w:tabs>
          <w:tab w:val="left" w:pos="3870"/>
        </w:tabs>
        <w:spacing w:line="360" w:lineRule="auto"/>
        <w:ind w:left="630" w:right="-141"/>
        <w:jc w:val="both"/>
        <w:rPr>
          <w:rFonts w:ascii="Palatino Linotype" w:hAnsi="Palatino Linotype" w:cs="Times New Roman"/>
          <w:b/>
          <w:color w:val="010000"/>
          <w:shd w:val="clear" w:color="auto" w:fill="FFFFFF"/>
        </w:rPr>
      </w:pPr>
    </w:p>
    <w:p w14:paraId="3A2A8DE2" w14:textId="01FDE66B" w:rsidR="00685A23" w:rsidRPr="00685A23" w:rsidRDefault="004063DF" w:rsidP="00412A09">
      <w:pPr>
        <w:pStyle w:val="ListeParagraf"/>
        <w:tabs>
          <w:tab w:val="left" w:pos="3870"/>
        </w:tabs>
        <w:spacing w:line="360" w:lineRule="auto"/>
        <w:ind w:left="630" w:right="-141"/>
        <w:jc w:val="both"/>
        <w:rPr>
          <w:rFonts w:ascii="Palatino Linotype" w:hAnsi="Palatino Linotype" w:cs="Times New Roman"/>
          <w:b/>
          <w:color w:val="010000"/>
          <w:u w:val="thick"/>
          <w:shd w:val="clear" w:color="auto" w:fill="FFFFFF"/>
        </w:rPr>
      </w:pPr>
      <w:r w:rsidRPr="00C47AC0">
        <w:rPr>
          <w:rFonts w:ascii="Palatino Linotype" w:hAnsi="Palatino Linotype" w:cs="Times New Roman"/>
          <w:b/>
          <w:color w:val="010000"/>
          <w:u w:val="thick"/>
          <w:shd w:val="clear" w:color="auto" w:fill="FFFFFF"/>
        </w:rPr>
        <w:t>EK</w:t>
      </w:r>
      <w:r w:rsidR="00685A23">
        <w:rPr>
          <w:rFonts w:ascii="Palatino Linotype" w:hAnsi="Palatino Linotype" w:cs="Times New Roman"/>
          <w:b/>
          <w:color w:val="010000"/>
          <w:u w:val="thick"/>
          <w:shd w:val="clear" w:color="auto" w:fill="FFFFFF"/>
        </w:rPr>
        <w:t>’LER</w:t>
      </w:r>
    </w:p>
    <w:p w14:paraId="0A4ECCFB" w14:textId="77777777" w:rsidR="0059379A" w:rsidRPr="000B65FA" w:rsidRDefault="0059379A" w:rsidP="00412A09">
      <w:pPr>
        <w:pStyle w:val="NormalWeb"/>
        <w:numPr>
          <w:ilvl w:val="0"/>
          <w:numId w:val="4"/>
        </w:numPr>
        <w:spacing w:before="0" w:beforeAutospacing="0" w:after="0" w:afterAutospacing="0"/>
        <w:ind w:left="360" w:right="-141" w:firstLine="349"/>
        <w:jc w:val="both"/>
        <w:textAlignment w:val="baseline"/>
        <w:rPr>
          <w:rFonts w:ascii="Palatino Linotype" w:hAnsi="Palatino Linotype"/>
          <w:color w:val="000000"/>
        </w:rPr>
      </w:pPr>
      <w:r w:rsidRPr="000B65FA">
        <w:rPr>
          <w:rFonts w:ascii="Palatino Linotype" w:hAnsi="Palatino Linotype"/>
          <w:color w:val="000000"/>
        </w:rPr>
        <w:t>T.C. Kimlik Fotokopisi,</w:t>
      </w:r>
    </w:p>
    <w:p w14:paraId="4D8A1B4A" w14:textId="77777777" w:rsidR="000D5450" w:rsidRPr="000D5450" w:rsidRDefault="008263EB" w:rsidP="000D5450">
      <w:pPr>
        <w:pStyle w:val="NormalWeb"/>
        <w:numPr>
          <w:ilvl w:val="0"/>
          <w:numId w:val="4"/>
        </w:numPr>
        <w:spacing w:before="0" w:beforeAutospacing="0" w:after="0" w:afterAutospacing="0"/>
        <w:ind w:left="1418" w:right="-141" w:hanging="709"/>
        <w:jc w:val="both"/>
        <w:textAlignment w:val="baseline"/>
        <w:rPr>
          <w:rFonts w:ascii="Palatino Linotype" w:hAnsi="Palatino Linotype"/>
          <w:color w:val="000000"/>
          <w:highlight w:val="yellow"/>
        </w:rPr>
      </w:pPr>
      <w:proofErr w:type="gramStart"/>
      <w:r w:rsidRPr="0059379A">
        <w:rPr>
          <w:rFonts w:ascii="Palatino Linotype" w:hAnsi="Palatino Linotype"/>
          <w:color w:val="000000"/>
          <w:highlight w:val="yellow"/>
        </w:rPr>
        <w:t>….</w:t>
      </w:r>
      <w:proofErr w:type="gramEnd"/>
      <w:r w:rsidRPr="0059379A">
        <w:rPr>
          <w:rFonts w:ascii="Palatino Linotype" w:hAnsi="Palatino Linotype"/>
          <w:color w:val="000000"/>
          <w:highlight w:val="yellow"/>
        </w:rPr>
        <w:t>Sulh Hukuk Mahkemesi’nin …tarih, … E., … K. sayılı vasi tayini kararı</w:t>
      </w:r>
      <w:r w:rsidR="0059379A" w:rsidRPr="0059379A">
        <w:rPr>
          <w:rFonts w:ascii="Palatino Linotype" w:hAnsi="Palatino Linotype"/>
          <w:color w:val="000000"/>
          <w:highlight w:val="yellow"/>
        </w:rPr>
        <w:t xml:space="preserve"> (Vasi başvuruyorsa)</w:t>
      </w:r>
    </w:p>
    <w:p w14:paraId="317A3A1D" w14:textId="77777777" w:rsidR="000D5450" w:rsidRPr="000D5450" w:rsidRDefault="008263EB" w:rsidP="000D5450">
      <w:pPr>
        <w:pStyle w:val="NormalWeb"/>
        <w:numPr>
          <w:ilvl w:val="0"/>
          <w:numId w:val="4"/>
        </w:numPr>
        <w:spacing w:before="0" w:beforeAutospacing="0" w:after="0" w:afterAutospacing="0"/>
        <w:ind w:left="1418" w:right="-141" w:hanging="709"/>
        <w:jc w:val="both"/>
        <w:textAlignment w:val="baseline"/>
        <w:rPr>
          <w:rFonts w:ascii="Palatino Linotype" w:hAnsi="Palatino Linotype"/>
          <w:color w:val="000000"/>
          <w:highlight w:val="yellow"/>
        </w:rPr>
      </w:pPr>
      <w:r w:rsidRPr="000D5450">
        <w:rPr>
          <w:rFonts w:ascii="Palatino Linotype" w:hAnsi="Palatino Linotype"/>
          <w:color w:val="010000"/>
          <w:shd w:val="clear" w:color="auto" w:fill="FFFFFF"/>
        </w:rPr>
        <w:t>AİHM</w:t>
      </w:r>
      <w:r w:rsidR="0043002F" w:rsidRPr="000D5450">
        <w:rPr>
          <w:rFonts w:ascii="Palatino Linotype" w:hAnsi="Palatino Linotype"/>
          <w:color w:val="010000"/>
          <w:shd w:val="clear" w:color="auto" w:fill="FFFFFF"/>
        </w:rPr>
        <w:t>’in Yasak</w:t>
      </w:r>
      <w:r w:rsidRPr="000D5450">
        <w:rPr>
          <w:rFonts w:ascii="Palatino Linotype" w:hAnsi="Palatino Linotype"/>
          <w:color w:val="010000"/>
          <w:shd w:val="clear" w:color="auto" w:fill="FFFFFF"/>
        </w:rPr>
        <w:t>/Türkiye Karar</w:t>
      </w:r>
      <w:r w:rsidR="0043002F" w:rsidRPr="000D5450">
        <w:rPr>
          <w:rFonts w:ascii="Palatino Linotype" w:hAnsi="Palatino Linotype"/>
          <w:color w:val="010000"/>
          <w:shd w:val="clear" w:color="auto" w:fill="FFFFFF"/>
        </w:rPr>
        <w:t xml:space="preserve"> </w:t>
      </w:r>
      <w:r w:rsidRPr="000D5450">
        <w:rPr>
          <w:rFonts w:ascii="Palatino Linotype" w:hAnsi="Palatino Linotype"/>
          <w:color w:val="010000"/>
          <w:shd w:val="clear" w:color="auto" w:fill="FFFFFF"/>
        </w:rPr>
        <w:t>Özeti</w:t>
      </w:r>
    </w:p>
    <w:p w14:paraId="424AEF4F" w14:textId="79E7176A" w:rsidR="004063DF" w:rsidRPr="000D5450" w:rsidRDefault="0059379A" w:rsidP="000D5450">
      <w:pPr>
        <w:pStyle w:val="NormalWeb"/>
        <w:numPr>
          <w:ilvl w:val="0"/>
          <w:numId w:val="4"/>
        </w:numPr>
        <w:spacing w:before="0" w:beforeAutospacing="0" w:after="0" w:afterAutospacing="0"/>
        <w:ind w:left="1418" w:right="-141" w:hanging="709"/>
        <w:jc w:val="both"/>
        <w:textAlignment w:val="baseline"/>
        <w:rPr>
          <w:rFonts w:ascii="Palatino Linotype" w:hAnsi="Palatino Linotype"/>
          <w:color w:val="000000"/>
          <w:highlight w:val="yellow"/>
        </w:rPr>
      </w:pPr>
      <w:r w:rsidRPr="000D5450">
        <w:rPr>
          <w:rFonts w:ascii="Palatino Linotype" w:hAnsi="Palatino Linotype"/>
          <w:bCs/>
          <w:sz w:val="22"/>
        </w:rPr>
        <w:t xml:space="preserve">Prof. Dr. </w:t>
      </w:r>
      <w:proofErr w:type="gramStart"/>
      <w:r w:rsidRPr="000D5450">
        <w:rPr>
          <w:rFonts w:ascii="Palatino Linotype" w:hAnsi="Palatino Linotype"/>
          <w:bCs/>
          <w:sz w:val="22"/>
        </w:rPr>
        <w:t>Adem</w:t>
      </w:r>
      <w:proofErr w:type="gramEnd"/>
      <w:r w:rsidRPr="000D5450">
        <w:rPr>
          <w:rFonts w:ascii="Palatino Linotype" w:hAnsi="Palatino Linotype"/>
          <w:bCs/>
          <w:sz w:val="22"/>
        </w:rPr>
        <w:t xml:space="preserve"> SÖZÜER, Prof. Dr. İzzet ÖZGENÇ, Prof. Dr. Faruk TURHAN, Prof. Dr. Cumhur ŞAHİN ve Prof. Dr. Tolga ŞİRİN tarafından hazırlanan Hukukî Mütalaa</w:t>
      </w:r>
    </w:p>
    <w:sectPr w:rsidR="004063DF" w:rsidRPr="000D5450" w:rsidSect="00412A09">
      <w:pgSz w:w="11906" w:h="16838"/>
      <w:pgMar w:top="1417" w:right="1558"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A9589C"/>
    <w:multiLevelType w:val="multilevel"/>
    <w:tmpl w:val="F87A1F0E"/>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24D6782"/>
    <w:multiLevelType w:val="hybridMultilevel"/>
    <w:tmpl w:val="D3BC9120"/>
    <w:lvl w:ilvl="0" w:tplc="EBA47760">
      <w:start w:val="1"/>
      <w:numFmt w:val="decimal"/>
      <w:lvlText w:val="%1."/>
      <w:lvlJc w:val="left"/>
      <w:pPr>
        <w:ind w:left="1320" w:hanging="360"/>
      </w:pPr>
      <w:rPr>
        <w:b/>
        <w:bCs w:val="0"/>
        <w:i w:val="0"/>
        <w:iCs/>
      </w:rPr>
    </w:lvl>
    <w:lvl w:ilvl="1" w:tplc="041F0019" w:tentative="1">
      <w:start w:val="1"/>
      <w:numFmt w:val="lowerLetter"/>
      <w:lvlText w:val="%2."/>
      <w:lvlJc w:val="left"/>
      <w:pPr>
        <w:ind w:left="2040" w:hanging="360"/>
      </w:pPr>
    </w:lvl>
    <w:lvl w:ilvl="2" w:tplc="041F001B" w:tentative="1">
      <w:start w:val="1"/>
      <w:numFmt w:val="lowerRoman"/>
      <w:lvlText w:val="%3."/>
      <w:lvlJc w:val="right"/>
      <w:pPr>
        <w:ind w:left="2760" w:hanging="180"/>
      </w:pPr>
    </w:lvl>
    <w:lvl w:ilvl="3" w:tplc="041F000F" w:tentative="1">
      <w:start w:val="1"/>
      <w:numFmt w:val="decimal"/>
      <w:lvlText w:val="%4."/>
      <w:lvlJc w:val="left"/>
      <w:pPr>
        <w:ind w:left="3480" w:hanging="360"/>
      </w:pPr>
    </w:lvl>
    <w:lvl w:ilvl="4" w:tplc="041F0019" w:tentative="1">
      <w:start w:val="1"/>
      <w:numFmt w:val="lowerLetter"/>
      <w:lvlText w:val="%5."/>
      <w:lvlJc w:val="left"/>
      <w:pPr>
        <w:ind w:left="4200" w:hanging="360"/>
      </w:pPr>
    </w:lvl>
    <w:lvl w:ilvl="5" w:tplc="041F001B" w:tentative="1">
      <w:start w:val="1"/>
      <w:numFmt w:val="lowerRoman"/>
      <w:lvlText w:val="%6."/>
      <w:lvlJc w:val="right"/>
      <w:pPr>
        <w:ind w:left="4920" w:hanging="180"/>
      </w:pPr>
    </w:lvl>
    <w:lvl w:ilvl="6" w:tplc="041F000F" w:tentative="1">
      <w:start w:val="1"/>
      <w:numFmt w:val="decimal"/>
      <w:lvlText w:val="%7."/>
      <w:lvlJc w:val="left"/>
      <w:pPr>
        <w:ind w:left="5640" w:hanging="360"/>
      </w:pPr>
    </w:lvl>
    <w:lvl w:ilvl="7" w:tplc="041F0019" w:tentative="1">
      <w:start w:val="1"/>
      <w:numFmt w:val="lowerLetter"/>
      <w:lvlText w:val="%8."/>
      <w:lvlJc w:val="left"/>
      <w:pPr>
        <w:ind w:left="6360" w:hanging="360"/>
      </w:pPr>
    </w:lvl>
    <w:lvl w:ilvl="8" w:tplc="041F001B" w:tentative="1">
      <w:start w:val="1"/>
      <w:numFmt w:val="lowerRoman"/>
      <w:lvlText w:val="%9."/>
      <w:lvlJc w:val="right"/>
      <w:pPr>
        <w:ind w:left="7080" w:hanging="180"/>
      </w:pPr>
    </w:lvl>
  </w:abstractNum>
  <w:abstractNum w:abstractNumId="2" w15:restartNumberingAfterBreak="0">
    <w:nsid w:val="591B1E3F"/>
    <w:multiLevelType w:val="hybridMultilevel"/>
    <w:tmpl w:val="D19CE7C8"/>
    <w:lvl w:ilvl="0" w:tplc="80C0D848">
      <w:start w:val="1"/>
      <w:numFmt w:val="decimal"/>
      <w:lvlText w:val="%1."/>
      <w:lvlJc w:val="left"/>
      <w:pPr>
        <w:ind w:left="720" w:hanging="360"/>
      </w:pPr>
      <w:rPr>
        <w:b/>
        <w:bCs/>
        <w:i w:val="0"/>
        <w:i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79F20649"/>
    <w:multiLevelType w:val="hybridMultilevel"/>
    <w:tmpl w:val="1F1CE538"/>
    <w:lvl w:ilvl="0" w:tplc="0409000D">
      <w:start w:val="1"/>
      <w:numFmt w:val="bullet"/>
      <w:lvlText w:val=""/>
      <w:lvlJc w:val="left"/>
      <w:pPr>
        <w:ind w:left="1320" w:hanging="360"/>
      </w:pPr>
      <w:rPr>
        <w:rFonts w:ascii="Wingdings" w:hAnsi="Wingdings" w:hint="default"/>
        <w:b/>
        <w:bCs w:val="0"/>
        <w:i w:val="0"/>
        <w:iCs/>
      </w:rPr>
    </w:lvl>
    <w:lvl w:ilvl="1" w:tplc="FFFFFFFF" w:tentative="1">
      <w:start w:val="1"/>
      <w:numFmt w:val="lowerLetter"/>
      <w:lvlText w:val="%2."/>
      <w:lvlJc w:val="left"/>
      <w:pPr>
        <w:ind w:left="2040" w:hanging="360"/>
      </w:pPr>
    </w:lvl>
    <w:lvl w:ilvl="2" w:tplc="FFFFFFFF" w:tentative="1">
      <w:start w:val="1"/>
      <w:numFmt w:val="lowerRoman"/>
      <w:lvlText w:val="%3."/>
      <w:lvlJc w:val="right"/>
      <w:pPr>
        <w:ind w:left="2760" w:hanging="180"/>
      </w:pPr>
    </w:lvl>
    <w:lvl w:ilvl="3" w:tplc="FFFFFFFF" w:tentative="1">
      <w:start w:val="1"/>
      <w:numFmt w:val="decimal"/>
      <w:lvlText w:val="%4."/>
      <w:lvlJc w:val="left"/>
      <w:pPr>
        <w:ind w:left="3480" w:hanging="360"/>
      </w:pPr>
    </w:lvl>
    <w:lvl w:ilvl="4" w:tplc="FFFFFFFF" w:tentative="1">
      <w:start w:val="1"/>
      <w:numFmt w:val="lowerLetter"/>
      <w:lvlText w:val="%5."/>
      <w:lvlJc w:val="left"/>
      <w:pPr>
        <w:ind w:left="4200" w:hanging="360"/>
      </w:pPr>
    </w:lvl>
    <w:lvl w:ilvl="5" w:tplc="FFFFFFFF" w:tentative="1">
      <w:start w:val="1"/>
      <w:numFmt w:val="lowerRoman"/>
      <w:lvlText w:val="%6."/>
      <w:lvlJc w:val="right"/>
      <w:pPr>
        <w:ind w:left="4920" w:hanging="180"/>
      </w:pPr>
    </w:lvl>
    <w:lvl w:ilvl="6" w:tplc="FFFFFFFF" w:tentative="1">
      <w:start w:val="1"/>
      <w:numFmt w:val="decimal"/>
      <w:lvlText w:val="%7."/>
      <w:lvlJc w:val="left"/>
      <w:pPr>
        <w:ind w:left="5640" w:hanging="360"/>
      </w:pPr>
    </w:lvl>
    <w:lvl w:ilvl="7" w:tplc="FFFFFFFF" w:tentative="1">
      <w:start w:val="1"/>
      <w:numFmt w:val="lowerLetter"/>
      <w:lvlText w:val="%8."/>
      <w:lvlJc w:val="left"/>
      <w:pPr>
        <w:ind w:left="6360" w:hanging="360"/>
      </w:pPr>
    </w:lvl>
    <w:lvl w:ilvl="8" w:tplc="FFFFFFFF" w:tentative="1">
      <w:start w:val="1"/>
      <w:numFmt w:val="lowerRoman"/>
      <w:lvlText w:val="%9."/>
      <w:lvlJc w:val="right"/>
      <w:pPr>
        <w:ind w:left="7080" w:hanging="180"/>
      </w:pPr>
    </w:lvl>
  </w:abstractNum>
  <w:num w:numId="1" w16cid:durableId="26836314">
    <w:abstractNumId w:val="2"/>
  </w:num>
  <w:num w:numId="2" w16cid:durableId="351878185">
    <w:abstractNumId w:val="1"/>
  </w:num>
  <w:num w:numId="3" w16cid:durableId="1557542335">
    <w:abstractNumId w:val="3"/>
  </w:num>
  <w:num w:numId="4" w16cid:durableId="4133543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4AFB"/>
    <w:rsid w:val="0000224F"/>
    <w:rsid w:val="0000402A"/>
    <w:rsid w:val="00013342"/>
    <w:rsid w:val="00013B6E"/>
    <w:rsid w:val="00060B5D"/>
    <w:rsid w:val="0006254E"/>
    <w:rsid w:val="00074124"/>
    <w:rsid w:val="000B2F4E"/>
    <w:rsid w:val="000D0E5C"/>
    <w:rsid w:val="000D5450"/>
    <w:rsid w:val="00103BDA"/>
    <w:rsid w:val="00113171"/>
    <w:rsid w:val="001135E0"/>
    <w:rsid w:val="0014471D"/>
    <w:rsid w:val="00161044"/>
    <w:rsid w:val="00196279"/>
    <w:rsid w:val="00221D24"/>
    <w:rsid w:val="00225111"/>
    <w:rsid w:val="00261695"/>
    <w:rsid w:val="00265EA3"/>
    <w:rsid w:val="00282B5C"/>
    <w:rsid w:val="00291AC1"/>
    <w:rsid w:val="002A6832"/>
    <w:rsid w:val="002B543A"/>
    <w:rsid w:val="00382C15"/>
    <w:rsid w:val="003943FE"/>
    <w:rsid w:val="00397A8C"/>
    <w:rsid w:val="003A6719"/>
    <w:rsid w:val="003B099C"/>
    <w:rsid w:val="003B35EE"/>
    <w:rsid w:val="003B4A04"/>
    <w:rsid w:val="003D5844"/>
    <w:rsid w:val="003E157F"/>
    <w:rsid w:val="003E17B1"/>
    <w:rsid w:val="004063DF"/>
    <w:rsid w:val="0041095E"/>
    <w:rsid w:val="00412A09"/>
    <w:rsid w:val="0043002F"/>
    <w:rsid w:val="00446E20"/>
    <w:rsid w:val="00454D63"/>
    <w:rsid w:val="00494009"/>
    <w:rsid w:val="0049707F"/>
    <w:rsid w:val="004A1B60"/>
    <w:rsid w:val="004E02D8"/>
    <w:rsid w:val="004E10A2"/>
    <w:rsid w:val="004E3A16"/>
    <w:rsid w:val="004F0048"/>
    <w:rsid w:val="00514C89"/>
    <w:rsid w:val="00533040"/>
    <w:rsid w:val="0059049D"/>
    <w:rsid w:val="0059379A"/>
    <w:rsid w:val="005A714C"/>
    <w:rsid w:val="005B4E3A"/>
    <w:rsid w:val="006112FE"/>
    <w:rsid w:val="00654E7F"/>
    <w:rsid w:val="006760BE"/>
    <w:rsid w:val="00681B83"/>
    <w:rsid w:val="00685A23"/>
    <w:rsid w:val="00695C3D"/>
    <w:rsid w:val="006B71ED"/>
    <w:rsid w:val="006C1FA0"/>
    <w:rsid w:val="006D22DA"/>
    <w:rsid w:val="0070131E"/>
    <w:rsid w:val="007018E6"/>
    <w:rsid w:val="00720C35"/>
    <w:rsid w:val="00720D6B"/>
    <w:rsid w:val="007228F7"/>
    <w:rsid w:val="007404C8"/>
    <w:rsid w:val="00741EAE"/>
    <w:rsid w:val="00745D10"/>
    <w:rsid w:val="00746227"/>
    <w:rsid w:val="00762D0A"/>
    <w:rsid w:val="00784138"/>
    <w:rsid w:val="00786E68"/>
    <w:rsid w:val="00795F07"/>
    <w:rsid w:val="007A42D5"/>
    <w:rsid w:val="007C7CD2"/>
    <w:rsid w:val="007E0C87"/>
    <w:rsid w:val="00817B89"/>
    <w:rsid w:val="008263EB"/>
    <w:rsid w:val="0083363B"/>
    <w:rsid w:val="00854D9B"/>
    <w:rsid w:val="00865AE8"/>
    <w:rsid w:val="00875E34"/>
    <w:rsid w:val="008A5BF2"/>
    <w:rsid w:val="008C15EA"/>
    <w:rsid w:val="008D5592"/>
    <w:rsid w:val="008E10E0"/>
    <w:rsid w:val="00924F0F"/>
    <w:rsid w:val="00926DF6"/>
    <w:rsid w:val="00927DB9"/>
    <w:rsid w:val="00940007"/>
    <w:rsid w:val="009437AD"/>
    <w:rsid w:val="00951289"/>
    <w:rsid w:val="0096011F"/>
    <w:rsid w:val="0096567D"/>
    <w:rsid w:val="009815B6"/>
    <w:rsid w:val="0098439E"/>
    <w:rsid w:val="00987EF7"/>
    <w:rsid w:val="0099678B"/>
    <w:rsid w:val="009C3F9F"/>
    <w:rsid w:val="009C6702"/>
    <w:rsid w:val="009F0FBE"/>
    <w:rsid w:val="00A024B5"/>
    <w:rsid w:val="00A03E39"/>
    <w:rsid w:val="00A155C9"/>
    <w:rsid w:val="00A324F6"/>
    <w:rsid w:val="00A32596"/>
    <w:rsid w:val="00A40994"/>
    <w:rsid w:val="00A5622E"/>
    <w:rsid w:val="00AB0224"/>
    <w:rsid w:val="00AC5724"/>
    <w:rsid w:val="00AE4031"/>
    <w:rsid w:val="00AE4292"/>
    <w:rsid w:val="00AE4F87"/>
    <w:rsid w:val="00AE78E5"/>
    <w:rsid w:val="00AE7E0B"/>
    <w:rsid w:val="00B64CC8"/>
    <w:rsid w:val="00B70657"/>
    <w:rsid w:val="00B76022"/>
    <w:rsid w:val="00B928E8"/>
    <w:rsid w:val="00BA5188"/>
    <w:rsid w:val="00BC24A5"/>
    <w:rsid w:val="00BE0158"/>
    <w:rsid w:val="00C112DC"/>
    <w:rsid w:val="00C47AC0"/>
    <w:rsid w:val="00C61BA4"/>
    <w:rsid w:val="00C70A1B"/>
    <w:rsid w:val="00C7633D"/>
    <w:rsid w:val="00CA18D9"/>
    <w:rsid w:val="00CA2C93"/>
    <w:rsid w:val="00CC1997"/>
    <w:rsid w:val="00CC34E0"/>
    <w:rsid w:val="00CD76E1"/>
    <w:rsid w:val="00CE2F22"/>
    <w:rsid w:val="00CE3B84"/>
    <w:rsid w:val="00D4338F"/>
    <w:rsid w:val="00D545E8"/>
    <w:rsid w:val="00D813F5"/>
    <w:rsid w:val="00D97B5F"/>
    <w:rsid w:val="00DA3607"/>
    <w:rsid w:val="00DB4AFB"/>
    <w:rsid w:val="00DB6220"/>
    <w:rsid w:val="00DC5A41"/>
    <w:rsid w:val="00DD4EB8"/>
    <w:rsid w:val="00E236ED"/>
    <w:rsid w:val="00E40DC4"/>
    <w:rsid w:val="00E62FD3"/>
    <w:rsid w:val="00E83C07"/>
    <w:rsid w:val="00E90F06"/>
    <w:rsid w:val="00EC7A30"/>
    <w:rsid w:val="00ED0C78"/>
    <w:rsid w:val="00EF1192"/>
    <w:rsid w:val="00F3397C"/>
    <w:rsid w:val="00F508CA"/>
    <w:rsid w:val="00F82768"/>
    <w:rsid w:val="00F83122"/>
    <w:rsid w:val="00F95FC5"/>
    <w:rsid w:val="00FC70D0"/>
    <w:rsid w:val="00FD27E9"/>
    <w:rsid w:val="00FF529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3E03C"/>
  <w15:chartTrackingRefBased/>
  <w15:docId w15:val="{55FC308F-69AB-4101-B181-4995C0807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2C93"/>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49707F"/>
    <w:rPr>
      <w:color w:val="0563C1" w:themeColor="hyperlink"/>
      <w:u w:val="single"/>
    </w:rPr>
  </w:style>
  <w:style w:type="paragraph" w:styleId="ListeParagraf">
    <w:name w:val="List Paragraph"/>
    <w:basedOn w:val="Normal"/>
    <w:uiPriority w:val="34"/>
    <w:qFormat/>
    <w:rsid w:val="00225111"/>
    <w:pPr>
      <w:ind w:left="720"/>
      <w:contextualSpacing/>
    </w:pPr>
  </w:style>
  <w:style w:type="paragraph" w:styleId="NormalWeb">
    <w:name w:val="Normal (Web)"/>
    <w:basedOn w:val="Normal"/>
    <w:uiPriority w:val="99"/>
    <w:unhideWhenUsed/>
    <w:rsid w:val="00685A23"/>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apple-converted-space">
    <w:name w:val="apple-converted-space"/>
    <w:basedOn w:val="VarsaylanParagrafYazTipi"/>
    <w:rsid w:val="007841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9493527">
      <w:bodyDiv w:val="1"/>
      <w:marLeft w:val="0"/>
      <w:marRight w:val="0"/>
      <w:marTop w:val="0"/>
      <w:marBottom w:val="0"/>
      <w:divBdr>
        <w:top w:val="none" w:sz="0" w:space="0" w:color="auto"/>
        <w:left w:val="none" w:sz="0" w:space="0" w:color="auto"/>
        <w:bottom w:val="none" w:sz="0" w:space="0" w:color="auto"/>
        <w:right w:val="none" w:sz="0" w:space="0" w:color="auto"/>
      </w:divBdr>
    </w:div>
    <w:div w:id="2115131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94A74B-8516-4CA1-8871-F5B9F9C500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16</Pages>
  <Words>5776</Words>
  <Characters>32926</Characters>
  <Application>Microsoft Office Word</Application>
  <DocSecurity>0</DocSecurity>
  <Lines>274</Lines>
  <Paragraphs>77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hesabı</dc:creator>
  <cp:keywords/>
  <dc:description/>
  <cp:lastModifiedBy>U Y</cp:lastModifiedBy>
  <cp:revision>3</cp:revision>
  <dcterms:created xsi:type="dcterms:W3CDTF">2026-08-07T23:45:00Z</dcterms:created>
  <dcterms:modified xsi:type="dcterms:W3CDTF">2026-08-08T20:42:00Z</dcterms:modified>
</cp:coreProperties>
</file>