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2B8" w:rsidRDefault="006142B8" w:rsidP="00731EBC">
      <w:pPr>
        <w:pStyle w:val="NormalWeb"/>
        <w:jc w:val="center"/>
        <w:rPr>
          <w:rFonts w:ascii="Palatino Linotype" w:hAnsi="Palatino Linotype"/>
          <w:b/>
          <w:bCs/>
          <w:color w:val="000000"/>
          <w:sz w:val="22"/>
          <w:szCs w:val="22"/>
        </w:rPr>
      </w:pPr>
      <w:r w:rsidRPr="00EF61E1">
        <w:rPr>
          <w:rFonts w:ascii="Palatino Linotype" w:hAnsi="Palatino Linotype"/>
          <w:b/>
          <w:bCs/>
          <w:color w:val="000000"/>
          <w:sz w:val="22"/>
          <w:szCs w:val="22"/>
          <w:highlight w:val="yellow"/>
        </w:rPr>
        <w:t>….</w:t>
      </w:r>
      <w:r>
        <w:rPr>
          <w:rFonts w:ascii="Palatino Linotype" w:hAnsi="Palatino Linotype"/>
          <w:b/>
          <w:bCs/>
          <w:color w:val="000000"/>
          <w:sz w:val="22"/>
          <w:szCs w:val="22"/>
        </w:rPr>
        <w:t>AĞIR CEZA MAHKEMESİ BAŞKANLIĞINA</w:t>
      </w:r>
    </w:p>
    <w:p w:rsidR="006142B8" w:rsidRPr="00EF61E1" w:rsidRDefault="006142B8" w:rsidP="00731EBC">
      <w:pPr>
        <w:pStyle w:val="NormalWeb"/>
        <w:jc w:val="center"/>
        <w:rPr>
          <w:rFonts w:ascii="Palatino Linotype" w:hAnsi="Palatino Linotype"/>
          <w:color w:val="000000"/>
          <w:sz w:val="22"/>
          <w:szCs w:val="22"/>
        </w:rPr>
      </w:pPr>
    </w:p>
    <w:p w:rsidR="000A3138" w:rsidRDefault="000A3138" w:rsidP="00731EBC">
      <w:pPr>
        <w:pStyle w:val="NormalWeb"/>
        <w:jc w:val="both"/>
        <w:rPr>
          <w:rStyle w:val="apple-converted-space"/>
          <w:rFonts w:ascii="-webkit-standard" w:eastAsiaTheme="majorEastAsia" w:hAnsi="-webkit-standard"/>
          <w:color w:val="000000"/>
          <w:sz w:val="27"/>
          <w:szCs w:val="27"/>
        </w:rPr>
      </w:pPr>
      <w:r>
        <w:rPr>
          <w:b/>
          <w:bCs/>
          <w:color w:val="000000"/>
        </w:rPr>
        <w:t>ESAS NO</w:t>
      </w:r>
      <w:r w:rsidR="00731EBC">
        <w:rPr>
          <w:b/>
          <w:bCs/>
          <w:color w:val="000000"/>
        </w:rPr>
        <w:tab/>
      </w:r>
      <w:r>
        <w:rPr>
          <w:b/>
          <w:bCs/>
          <w:color w:val="000000"/>
        </w:rPr>
        <w:t>:</w:t>
      </w:r>
      <w:r>
        <w:rPr>
          <w:rFonts w:ascii="-webkit-standard" w:hAnsi="-webkit-standard"/>
          <w:color w:val="000000"/>
          <w:sz w:val="27"/>
          <w:szCs w:val="27"/>
        </w:rPr>
        <w:t> </w:t>
      </w:r>
      <w:r w:rsidRPr="000A3138">
        <w:rPr>
          <w:rFonts w:ascii="-webkit-standard" w:hAnsi="-webkit-standard"/>
          <w:color w:val="000000"/>
          <w:sz w:val="27"/>
          <w:szCs w:val="27"/>
          <w:highlight w:val="yellow"/>
        </w:rPr>
        <w:t>202.../...</w:t>
      </w:r>
      <w:r>
        <w:rPr>
          <w:rFonts w:ascii="-webkit-standard" w:hAnsi="-webkit-standard"/>
          <w:color w:val="000000"/>
          <w:sz w:val="27"/>
          <w:szCs w:val="27"/>
        </w:rPr>
        <w:t> </w:t>
      </w:r>
      <w:r>
        <w:rPr>
          <w:rStyle w:val="apple-converted-space"/>
          <w:rFonts w:ascii="-webkit-standard" w:eastAsiaTheme="majorEastAsia" w:hAnsi="-webkit-standard"/>
          <w:color w:val="000000"/>
          <w:sz w:val="27"/>
          <w:szCs w:val="27"/>
        </w:rPr>
        <w:t> </w:t>
      </w:r>
    </w:p>
    <w:p w:rsidR="000A3138" w:rsidRPr="000A3138" w:rsidRDefault="000A3138" w:rsidP="00731EBC">
      <w:pPr>
        <w:pStyle w:val="NormalWeb"/>
        <w:jc w:val="both"/>
        <w:rPr>
          <w:rStyle w:val="apple-converted-space"/>
          <w:rFonts w:ascii="-webkit-standard" w:eastAsiaTheme="majorEastAsia" w:hAnsi="-webkit-standard"/>
          <w:color w:val="000000"/>
          <w:sz w:val="27"/>
          <w:szCs w:val="27"/>
          <w:highlight w:val="yellow"/>
        </w:rPr>
      </w:pPr>
      <w:r>
        <w:rPr>
          <w:b/>
          <w:bCs/>
          <w:color w:val="000000"/>
        </w:rPr>
        <w:t>SANIK</w:t>
      </w:r>
      <w:r w:rsidR="00731EBC">
        <w:rPr>
          <w:b/>
          <w:bCs/>
          <w:color w:val="000000"/>
        </w:rPr>
        <w:tab/>
      </w:r>
      <w:r>
        <w:rPr>
          <w:b/>
          <w:bCs/>
          <w:color w:val="000000"/>
        </w:rPr>
        <w:t>:</w:t>
      </w:r>
      <w:r>
        <w:rPr>
          <w:rFonts w:ascii="-webkit-standard" w:hAnsi="-webkit-standard"/>
          <w:color w:val="000000"/>
          <w:sz w:val="27"/>
          <w:szCs w:val="27"/>
        </w:rPr>
        <w:t> </w:t>
      </w:r>
      <w:r w:rsidRPr="000A3138">
        <w:rPr>
          <w:rFonts w:ascii="-webkit-standard" w:hAnsi="-webkit-standard"/>
          <w:color w:val="000000"/>
          <w:sz w:val="27"/>
          <w:szCs w:val="27"/>
          <w:highlight w:val="yellow"/>
        </w:rPr>
        <w:t>[İsim Soyisim, T.C. Kimlik No] </w:t>
      </w:r>
      <w:r w:rsidRPr="000A3138">
        <w:rPr>
          <w:rStyle w:val="apple-converted-space"/>
          <w:rFonts w:ascii="-webkit-standard" w:eastAsiaTheme="majorEastAsia" w:hAnsi="-webkit-standard"/>
          <w:color w:val="000000"/>
          <w:sz w:val="27"/>
          <w:szCs w:val="27"/>
          <w:highlight w:val="yellow"/>
        </w:rPr>
        <w:t> </w:t>
      </w:r>
      <w:r w:rsidRPr="000A3138">
        <w:rPr>
          <w:b/>
          <w:bCs/>
          <w:color w:val="000000"/>
          <w:highlight w:val="yellow"/>
        </w:rPr>
        <w:t>ADRES:</w:t>
      </w:r>
      <w:r w:rsidRPr="000A3138">
        <w:rPr>
          <w:rFonts w:ascii="-webkit-standard" w:hAnsi="-webkit-standard"/>
          <w:color w:val="000000"/>
          <w:sz w:val="27"/>
          <w:szCs w:val="27"/>
          <w:highlight w:val="yellow"/>
        </w:rPr>
        <w:t> [Adres bilgisi]</w:t>
      </w:r>
      <w:r w:rsidRPr="000A3138">
        <w:rPr>
          <w:rStyle w:val="apple-converted-space"/>
          <w:rFonts w:ascii="-webkit-standard" w:eastAsiaTheme="majorEastAsia" w:hAnsi="-webkit-standard"/>
          <w:color w:val="000000"/>
          <w:sz w:val="27"/>
          <w:szCs w:val="27"/>
          <w:highlight w:val="yellow"/>
        </w:rPr>
        <w:t> </w:t>
      </w:r>
    </w:p>
    <w:p w:rsidR="000A3138" w:rsidRDefault="000A3138" w:rsidP="00731EBC">
      <w:pPr>
        <w:pStyle w:val="NormalWeb"/>
        <w:jc w:val="both"/>
        <w:rPr>
          <w:rFonts w:ascii="-webkit-standard" w:hAnsi="-webkit-standard"/>
          <w:color w:val="000000"/>
          <w:sz w:val="27"/>
          <w:szCs w:val="27"/>
        </w:rPr>
      </w:pPr>
      <w:r w:rsidRPr="000A3138">
        <w:rPr>
          <w:b/>
          <w:bCs/>
          <w:color w:val="000000"/>
          <w:highlight w:val="yellow"/>
        </w:rPr>
        <w:t>MÜDAFİİ</w:t>
      </w:r>
      <w:r w:rsidR="00731EBC">
        <w:rPr>
          <w:b/>
          <w:bCs/>
          <w:color w:val="000000"/>
          <w:highlight w:val="yellow"/>
        </w:rPr>
        <w:tab/>
      </w:r>
      <w:r w:rsidRPr="000A3138">
        <w:rPr>
          <w:b/>
          <w:bCs/>
          <w:color w:val="000000"/>
          <w:highlight w:val="yellow"/>
        </w:rPr>
        <w:t>:</w:t>
      </w:r>
      <w:r w:rsidRPr="000A3138">
        <w:rPr>
          <w:rFonts w:ascii="-webkit-standard" w:hAnsi="-webkit-standard"/>
          <w:color w:val="000000"/>
          <w:sz w:val="27"/>
          <w:szCs w:val="27"/>
          <w:highlight w:val="yellow"/>
        </w:rPr>
        <w:t> Av</w:t>
      </w:r>
      <w:r>
        <w:rPr>
          <w:rFonts w:ascii="-webkit-standard" w:hAnsi="-webkit-standard"/>
          <w:color w:val="000000"/>
          <w:sz w:val="27"/>
          <w:szCs w:val="27"/>
        </w:rPr>
        <w:t>. [İsim Soyisim] </w:t>
      </w:r>
      <w:r>
        <w:rPr>
          <w:rStyle w:val="apple-converted-space"/>
          <w:rFonts w:ascii="-webkit-standard" w:eastAsiaTheme="majorEastAsia" w:hAnsi="-webkit-standard"/>
          <w:color w:val="000000"/>
          <w:sz w:val="27"/>
          <w:szCs w:val="27"/>
        </w:rPr>
        <w:t> </w:t>
      </w:r>
      <w:r>
        <w:rPr>
          <w:b/>
          <w:bCs/>
          <w:color w:val="000000"/>
        </w:rPr>
        <w:t>ADRES:</w:t>
      </w:r>
      <w:r>
        <w:rPr>
          <w:rFonts w:ascii="-webkit-standard" w:hAnsi="-webkit-standard"/>
          <w:color w:val="000000"/>
          <w:sz w:val="27"/>
          <w:szCs w:val="27"/>
        </w:rPr>
        <w:t> </w:t>
      </w:r>
      <w:r w:rsidRPr="000A3138">
        <w:rPr>
          <w:rFonts w:ascii="-webkit-standard" w:hAnsi="-webkit-standard"/>
          <w:color w:val="000000"/>
          <w:sz w:val="27"/>
          <w:szCs w:val="27"/>
          <w:highlight w:val="yellow"/>
        </w:rPr>
        <w:t>[Adres bilgisi]</w:t>
      </w:r>
    </w:p>
    <w:p w:rsidR="006142B8" w:rsidRPr="00EF61E1" w:rsidRDefault="006142B8" w:rsidP="00731EBC">
      <w:pPr>
        <w:pStyle w:val="NormalWeb"/>
        <w:ind w:left="1416" w:hanging="1416"/>
        <w:jc w:val="both"/>
        <w:rPr>
          <w:rFonts w:ascii="Palatino Linotype" w:hAnsi="Palatino Linotype"/>
          <w:color w:val="000000"/>
          <w:sz w:val="22"/>
          <w:szCs w:val="22"/>
        </w:rPr>
      </w:pPr>
      <w:r w:rsidRPr="00EF61E1">
        <w:rPr>
          <w:rFonts w:ascii="Palatino Linotype" w:hAnsi="Palatino Linotype"/>
          <w:b/>
          <w:bCs/>
          <w:color w:val="000000"/>
          <w:sz w:val="22"/>
          <w:szCs w:val="22"/>
        </w:rPr>
        <w:t>KONU</w:t>
      </w:r>
      <w:r w:rsidR="00731EBC">
        <w:rPr>
          <w:rFonts w:ascii="Palatino Linotype" w:hAnsi="Palatino Linotype"/>
          <w:b/>
          <w:bCs/>
          <w:color w:val="000000"/>
          <w:sz w:val="22"/>
          <w:szCs w:val="22"/>
        </w:rPr>
        <w:tab/>
      </w:r>
      <w:r w:rsidRPr="00EF61E1">
        <w:rPr>
          <w:rFonts w:ascii="Palatino Linotype" w:hAnsi="Palatino Linotype"/>
          <w:b/>
          <w:bCs/>
          <w:color w:val="000000"/>
          <w:sz w:val="22"/>
          <w:szCs w:val="22"/>
        </w:rPr>
        <w:t>:</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Avrupa İnsan Hakları Mahkemesi (AİHM) Büyük Dairesi'nin</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Yasak v. Türkiye</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 xml:space="preserve">(Başvuru No: 17389/20) kararı ve söz konusu kararın hukuki etkileri ışığında, atılı suça dair "manevi unsurun (kastın)" yokluğu hususundaki yazılı savunmalarımızın sunulması ve müvekkil hakkında </w:t>
      </w:r>
      <w:r>
        <w:rPr>
          <w:b/>
          <w:bCs/>
          <w:color w:val="000000"/>
        </w:rPr>
        <w:t xml:space="preserve">BERAAT kararı </w:t>
      </w:r>
      <w:r w:rsidRPr="00EF61E1">
        <w:rPr>
          <w:rFonts w:ascii="Palatino Linotype" w:hAnsi="Palatino Linotype"/>
          <w:color w:val="000000"/>
          <w:sz w:val="22"/>
          <w:szCs w:val="22"/>
        </w:rPr>
        <w:t>verilmesi talebidir.</w:t>
      </w:r>
    </w:p>
    <w:p w:rsidR="006142B8" w:rsidRDefault="006142B8" w:rsidP="00731EBC">
      <w:pPr>
        <w:pStyle w:val="NormalWeb"/>
        <w:jc w:val="center"/>
        <w:rPr>
          <w:rFonts w:ascii="Palatino Linotype" w:hAnsi="Palatino Linotype"/>
          <w:b/>
          <w:bCs/>
          <w:color w:val="000000"/>
          <w:sz w:val="22"/>
          <w:szCs w:val="22"/>
        </w:rPr>
      </w:pPr>
    </w:p>
    <w:p w:rsidR="006142B8" w:rsidRDefault="006142B8" w:rsidP="00731EBC">
      <w:pPr>
        <w:pStyle w:val="NormalWeb"/>
        <w:jc w:val="center"/>
        <w:rPr>
          <w:rFonts w:ascii="Palatino Linotype" w:hAnsi="Palatino Linotype"/>
          <w:b/>
          <w:bCs/>
          <w:color w:val="000000"/>
          <w:sz w:val="22"/>
          <w:szCs w:val="22"/>
        </w:rPr>
      </w:pPr>
      <w:r w:rsidRPr="00EF61E1">
        <w:rPr>
          <w:rFonts w:ascii="Palatino Linotype" w:hAnsi="Palatino Linotype"/>
          <w:b/>
          <w:bCs/>
          <w:color w:val="000000"/>
          <w:sz w:val="22"/>
          <w:szCs w:val="22"/>
        </w:rPr>
        <w:t>AÇIKLAMALAR:</w:t>
      </w:r>
    </w:p>
    <w:p w:rsidR="006142B8" w:rsidRPr="00EF61E1" w:rsidRDefault="006142B8" w:rsidP="00731EBC">
      <w:pPr>
        <w:pStyle w:val="NormalWeb"/>
        <w:jc w:val="center"/>
        <w:rPr>
          <w:rFonts w:ascii="Palatino Linotype" w:hAnsi="Palatino Linotype"/>
          <w:color w:val="000000"/>
          <w:sz w:val="22"/>
          <w:szCs w:val="22"/>
        </w:rPr>
      </w:pP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 xml:space="preserve">Müvekkil hakkında "silahlı terör örgütü üyeliği" (TCK md. 314/2) suçlamasıyla yürütülen işbu </w:t>
      </w:r>
      <w:r w:rsidRPr="006142B8">
        <w:rPr>
          <w:color w:val="000000"/>
        </w:rPr>
        <w:t>yargılama</w:t>
      </w:r>
      <w:r w:rsidRPr="00EF61E1">
        <w:rPr>
          <w:rFonts w:ascii="Palatino Linotype" w:hAnsi="Palatino Linotype"/>
          <w:color w:val="000000"/>
          <w:sz w:val="22"/>
          <w:szCs w:val="22"/>
        </w:rPr>
        <w:t xml:space="preserve"> kapsamında isnat edilen fiiller, esasen 15 Temmuz 2016 tarihi öncesinde gerçekleştirildiği iddia edilen ve o dönem itibarıyla tamamen yasal olan veya yasal bir görünüm arz eden, devletin denetimi altındaki rutin faaliyetlere dayanmaktadır. AİHM Büyük Dairesi'nin yakın zamanda verdiği</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Yasak v. Türkiye</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 xml:space="preserve">kararı, bu nitelikteki dosyalarda cezai sorumluluğun tespiti için gerekli olan "manevi unsur" (mens rea / suç kastı) şartını çok net sınırlarla çizmiş ve bu unsurun varlığının somut olarak tespit edilmemesi halinde verilecek mahkûmiyetlerin veya yürütülecek cezai süreçlerin Avrupa İnsan Hakları Sözleşmesi'nin (AİHS) 7. maddesini açıkça ihlal edeceğini hüküm altına almıştır. Sayın </w:t>
      </w:r>
      <w:r w:rsidRPr="006142B8">
        <w:rPr>
          <w:rFonts w:ascii="Palatino Linotype" w:hAnsi="Palatino Linotype"/>
          <w:color w:val="000000"/>
          <w:sz w:val="22"/>
          <w:szCs w:val="22"/>
        </w:rPr>
        <w:t>Mahkemenizce</w:t>
      </w:r>
      <w:r w:rsidRPr="006142B8">
        <w:rPr>
          <w:rStyle w:val="apple-converted-space"/>
          <w:rFonts w:ascii="Palatino Linotype" w:eastAsiaTheme="majorEastAsia" w:hAnsi="Palatino Linotype"/>
          <w:color w:val="000000"/>
          <w:sz w:val="22"/>
          <w:szCs w:val="22"/>
        </w:rPr>
        <w:t> </w:t>
      </w:r>
      <w:r w:rsidRPr="006142B8">
        <w:rPr>
          <w:rFonts w:ascii="Palatino Linotype" w:hAnsi="Palatino Linotype"/>
          <w:color w:val="000000"/>
          <w:sz w:val="22"/>
          <w:szCs w:val="22"/>
        </w:rPr>
        <w:t>yürütülen</w:t>
      </w:r>
      <w:r w:rsidRPr="006142B8">
        <w:rPr>
          <w:rStyle w:val="apple-converted-space"/>
          <w:rFonts w:ascii="Palatino Linotype" w:eastAsiaTheme="majorEastAsia" w:hAnsi="Palatino Linotype"/>
          <w:color w:val="000000"/>
          <w:sz w:val="22"/>
          <w:szCs w:val="22"/>
        </w:rPr>
        <w:t> </w:t>
      </w:r>
      <w:r w:rsidRPr="006142B8">
        <w:rPr>
          <w:rFonts w:ascii="Palatino Linotype" w:hAnsi="Palatino Linotype"/>
          <w:color w:val="000000"/>
          <w:sz w:val="22"/>
          <w:szCs w:val="22"/>
        </w:rPr>
        <w:t>kovuşturmada,</w:t>
      </w:r>
      <w:r>
        <w:rPr>
          <w:rFonts w:ascii="-webkit-standard" w:hAnsi="-webkit-standard"/>
          <w:color w:val="000000"/>
          <w:sz w:val="27"/>
          <w:szCs w:val="27"/>
        </w:rPr>
        <w:t xml:space="preserve"> </w:t>
      </w:r>
      <w:r w:rsidRPr="00EF61E1">
        <w:rPr>
          <w:rFonts w:ascii="Palatino Linotype" w:hAnsi="Palatino Linotype"/>
          <w:color w:val="000000"/>
          <w:sz w:val="22"/>
          <w:szCs w:val="22"/>
        </w:rPr>
        <w:t>atılı suçun maddi ve manevi unsurlarının oluşmadığı, bilhassa bu emsal karar ışığında tartışmasız biçimde ortaya çıkmıştır.</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Nitekim ülkemizin ceza ve ceza muhakemesi hukuku alanındaki en yetkin akademisyenleri</w:t>
      </w:r>
      <w:r w:rsidR="00030492" w:rsidRPr="00AF7557">
        <w:rPr>
          <w:rFonts w:ascii="Palatino Linotype" w:hAnsi="Palatino Linotype"/>
          <w:bCs/>
          <w:sz w:val="22"/>
        </w:rPr>
        <w:t xml:space="preserve">nden </w:t>
      </w:r>
      <w:r w:rsidRPr="00AF7557">
        <w:rPr>
          <w:rFonts w:ascii="Palatino Linotype" w:hAnsi="Palatino Linotype"/>
          <w:bCs/>
          <w:sz w:val="22"/>
        </w:rPr>
        <w:t>Prof. Dr. Adem SÖZÜER, Prof. Dr. İzzet ÖZGENÇ, Prof. Dr. Faruk TURHAN, Prof. Dr. Cumhur ŞAHİN ve Prof. Dr. Tolga ŞİRİN tarafından, Ceza Muhakemesi Kanunu’nun 67. maddesinin altıncı fıkrası hükmüne istinaden hazırlanan hukukî mütalaada da aynı yönde tespitlere yer verilmiştir. Söz konusu mütalaa, hâlen yürürlükte bulunan Türk Ceza Kanunu ile Ceza Muhakemesi Kanunu’nun hazırlık çalışmalarında bizzat görev almış ilim insanlarının ortak değerlendirmesi olması itibarıyla, isnat edilen suçun unsurlarının yorumlanması bakımından belirleyici niteliktedir (Mütalaa, s. 1).</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öncelikle, suç işlemek amacıyla kurulmuş örgüte üye olma suçunun oluşabilmesi için intisap edilen örgütsel yapının suç işlemek amacıyla oluşturulmuş ya da suç işlemek amacına evrilmiş olmasının zorunlu olduğu; bu itibarla “tamamlanmış veya en azından teşebbüs aşamasında kalmış suçlardan soyut olarak suç işlemek amacıyla kurulmuş bir örgütün varlığından söz edilemeyeceği”, aksi bir anlayışın ancak niyet okuma şeklinde tezahür edebileceği ifade edilmiştir (Mütalaa, s. 2).</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lastRenderedPageBreak/>
        <w:t>Bu bağlamda mütalaada, izlenmesi gereken yöntemin tümevarım yöntemi olduğu; yani bir örgütsel yapının suç veya terör örgütü vasfını taşıyıp taşımadığının, faaliyeti çerçevesinde işlenen somut suçlardan hareketle belirlenmesi gerektiği; bu tespitin ise “kişinin örgüt üyeliği suçlamasına maruz bırakıldığı fiillerin icra edildiği tarih itibarıyla” yapılmasının zorunlu olduğu vurgulanmıştır. Buna karşılık ülkemiz uygulamasında tümdengelim yönteminin izlendiği, yani önce bir yapının suç örgütü vasfını kazandığı kabul edildikten sonra birtakım suçların işlendiğinden söz edildiği tespit edilmiştir (Mütalaa, s. 3).</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bu yanlış yöntemin sonucu açık bir dille ortaya konulmuş</w:t>
      </w:r>
      <w:r w:rsidR="00030492" w:rsidRPr="00AF7557">
        <w:rPr>
          <w:rFonts w:ascii="Palatino Linotype" w:hAnsi="Palatino Linotype"/>
          <w:bCs/>
          <w:sz w:val="22"/>
        </w:rPr>
        <w:t xml:space="preserve"> ve</w:t>
      </w:r>
      <w:r w:rsidRPr="00AF7557">
        <w:rPr>
          <w:rFonts w:ascii="Palatino Linotype" w:hAnsi="Palatino Linotype"/>
          <w:bCs/>
          <w:sz w:val="22"/>
        </w:rPr>
        <w:t xml:space="preserve"> örgütten hareketle birtakım suçların işlendiği yargısına varılması hâlinde, “insanlığın çok acı tecrübelerle kurtulmaya çalıştığı itham sistemine geri dönülmüş” olaca</w:t>
      </w:r>
      <w:r w:rsidR="00030492" w:rsidRPr="00AF7557">
        <w:rPr>
          <w:rFonts w:ascii="Palatino Linotype" w:hAnsi="Palatino Linotype"/>
          <w:bCs/>
          <w:sz w:val="22"/>
        </w:rPr>
        <w:t>ğı belirtilmiştir</w:t>
      </w:r>
      <w:r w:rsidRPr="00AF7557">
        <w:rPr>
          <w:rFonts w:ascii="Palatino Linotype" w:hAnsi="Palatino Linotype"/>
          <w:bCs/>
          <w:sz w:val="22"/>
        </w:rPr>
        <w:t xml:space="preserve"> (Mütalaa, s. 2). Müvekkil hakkında yürütülen işbu yargılamada da tam olarak bu hatalı yöntem izlenmekte; müvekkilin </w:t>
      </w:r>
      <w:r w:rsidR="00030492" w:rsidRPr="00AF7557">
        <w:rPr>
          <w:rFonts w:ascii="Palatino Linotype" w:hAnsi="Palatino Linotype"/>
          <w:bCs/>
          <w:sz w:val="22"/>
        </w:rPr>
        <w:t>zamansal</w:t>
      </w:r>
      <w:r w:rsidRPr="00AF7557">
        <w:rPr>
          <w:rFonts w:ascii="Palatino Linotype" w:hAnsi="Palatino Linotype"/>
          <w:bCs/>
          <w:sz w:val="22"/>
        </w:rPr>
        <w:t xml:space="preserve"> olarak tamamen yasal olan gündelik faaliyetleri, önceden kabul edilmiş bir sonucun içine yerleştirilmek suretiyle suç delili hâline getirilmek istenm</w:t>
      </w:r>
      <w:r w:rsidR="00030492" w:rsidRPr="00AF7557">
        <w:rPr>
          <w:rFonts w:ascii="Palatino Linotype" w:hAnsi="Palatino Linotype"/>
          <w:bCs/>
          <w:sz w:val="22"/>
        </w:rPr>
        <w:t>iştir</w:t>
      </w:r>
      <w:r w:rsidRPr="00AF7557">
        <w:rPr>
          <w:rFonts w:ascii="Palatino Linotype" w:hAnsi="Palatino Linotype"/>
          <w:bCs/>
          <w:sz w:val="22"/>
        </w:rPr>
        <w:t>.</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AİHM Büyük Dairesi,</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Yasak</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kararında, hem maddi hem de manevi unsurların somut bir biçimde incelenmeksizin ihlal kararı verilen</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Yalçınkaya</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kararından farklı ve daha spesifik bir inceleme yapmıştır.</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Yalçınkaya</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kararında salt ByLock kullanımından otomatik mahkûmiyet verilmesi ihlal sebebi sayılmışken,</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Yasak</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dosyasında çok daha geniş bir delil yelpazesi temelinde aynı suçtan mahkûmiyet kurulmuş olmasına rağmen, konunun yine</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Yalçınkaya</w:t>
      </w:r>
      <w:r w:rsidRPr="00EF61E1">
        <w:rPr>
          <w:rFonts w:ascii="Palatino Linotype" w:hAnsi="Palatino Linotype"/>
          <w:color w:val="000000"/>
          <w:sz w:val="22"/>
          <w:szCs w:val="22"/>
        </w:rPr>
        <w:t>’daki aynı yapısal sorunu gündeme getirdiği belirtilmiştir (§§ 201-202). AİHM, bu kararda ulusal mahkemelerin suçun maddi ve manevi unsurlarını bireyselleştirme yaparak ortaya koyup koymadıklarını inceleyeceğini belirtmiş</w:t>
      </w:r>
      <w:r>
        <w:rPr>
          <w:rFonts w:ascii="Palatino Linotype" w:hAnsi="Palatino Linotype"/>
          <w:color w:val="000000"/>
          <w:sz w:val="22"/>
          <w:szCs w:val="22"/>
        </w:rPr>
        <w:t xml:space="preserve"> ve</w:t>
      </w:r>
      <w:r w:rsidRPr="00EF61E1">
        <w:rPr>
          <w:rFonts w:ascii="Palatino Linotype" w:hAnsi="Palatino Linotype"/>
          <w:color w:val="000000"/>
          <w:sz w:val="22"/>
          <w:szCs w:val="22"/>
        </w:rPr>
        <w:t xml:space="preserve"> devamında manevi unsur (kasıt) yokluğu bakımından çok kapsamlı bir değerlendirme yaparak ihlal olduğu sonucuna varmıştır (§§ 200-201). Bu durum, eylemleri ne denli çeşitli olursa olsun, kastın yokluğu halinde suçun oluşmayacağının en net göstergesidir.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Mahkeme, söz konusu kararda eylemlerin zamansal yönü (15 Temmuz öncesi olması) ve türü (örneğin eğitim alanında veya yasal zeminde olması) bakımından manevi unsurun titizlikle değerlendirilmesini özellikle önemsemiş ve bu unsurun değerlendirmesinin somut delillerle yapılmamış olmasını doğrudan 7. maddenin ihlaline dayanak yapmıştır. Kararda kolektif suçluluk ya da suç ortaklığı (aidiyet/iltisak temelli cezalandırma) yaklaşımı açıkça ve kesin bir dille reddedilmiş, cezai sorumluluğun tamamen bireysel olarak ve "suç kastıyla" birlikte tespitinin zorunlu olduğu kabul edilmiştir (§§ 202-203). Mahkeme, örtülü olarak da olsa, bu tür dosyalarda yerel mahkemelerin kolektif suçluluk yaklaşımıyla mahkûmiyet verdiklerini kayda geçirmiş ve bu hukuka aykırı pratiği mahkûm etmiştir.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Kararda bilhassa vurgulanan bir diğer hayati husus, TCK'nın 314. maddesinde düzenlenen suçun mahiyetidir. Mahkemeye göre, bu suç sıradan veya suç faaliyetlerinde bulunan herhangi bir yapıya üyeliği değil, doğrudan doğruya "şiddete" başvurmakta olan bir silahlı terör örgütü üyeliğini ilgilendirmektedir. Bu nedenle sanığın, suç tarihinde örgütün amaçları ve "şiddet içeren yöntemlerinden" haberdar olduğunu somut olarak göstermek, cezalandırmanın vazgeçilmez bir ön koşuludur. Yargıtay tarafından geliştirilen kasıt içtihadı da kişinin bilerek ve isteyerek hareket ettiğinin, yani bizzat şiddete başvuran böyle bir terör örgütünün parçası olmayı arzuladığının ortaya konulmasını gerektirmektedir. AİHM'e göre, bir eylemi sadece örgütle temas kurmaktan ya da açıkça suç işleme kastı olmaksızın örgüte salt üye olmaktan ayıran yegane husus budur (§ 203). Yani Mahkeme, salt yapı üyeliğinin değil, ancak amaçları ve şiddet içeren yöntemlerinden haberdar olunduğu kanıtlanabilen kişilerin terör örgütü üyesi olarak cezalandırılabileceğini belirtmektedir.</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Mütalaada da aynı doğrultuda, örgüt üyeliği suçunun ancak doğrudan kastla işlenebileceği, bu suçun olası kastla işlenmesinin mümkün olmadığı; kişinin bu örgütsel yapıya </w:t>
      </w:r>
      <w:r w:rsidRPr="00AF7557">
        <w:rPr>
          <w:rFonts w:ascii="Palatino Linotype" w:hAnsi="Palatino Linotype"/>
          <w:bCs/>
          <w:sz w:val="22"/>
        </w:rPr>
        <w:lastRenderedPageBreak/>
        <w:t>suç işlemek amacıyla intisap etmiş olması gerektiği ve bu itibarla söz konusu suçun “amaç suç” niteliği taşıdığı belirtilmiştir (Mütalaa, s. 3).</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Mütalaaya göre bu suçtan mahkûmiyet için kişinin ya “intisap edilen suç örgütünün faaliyeti çerçevesinde veya bağlı olmamakla birlikte suç örgütünün korkutucu gücünden yararlanılarak bir suç işlemesi” ya da “suç örgütü bünyesindeki hiyerarşik yapıya dahil olmamakla birlikte, örgüte bu özelliğini bilerek ve isteyerek yardım etmesi” gerekmektedir. Mütalaada bu husus tereddüde yer </w:t>
      </w:r>
      <w:r w:rsidR="00030492" w:rsidRPr="00AF7557">
        <w:rPr>
          <w:rFonts w:ascii="Palatino Linotype" w:hAnsi="Palatino Linotype"/>
          <w:bCs/>
          <w:sz w:val="22"/>
        </w:rPr>
        <w:t>vermeyecek</w:t>
      </w:r>
      <w:r w:rsidRPr="00AF7557">
        <w:rPr>
          <w:rFonts w:ascii="Palatino Linotype" w:hAnsi="Palatino Linotype"/>
          <w:bCs/>
          <w:sz w:val="22"/>
        </w:rPr>
        <w:t xml:space="preserve"> biçi</w:t>
      </w:r>
      <w:r w:rsidR="00030492" w:rsidRPr="00AF7557">
        <w:rPr>
          <w:rFonts w:ascii="Palatino Linotype" w:hAnsi="Palatino Linotype"/>
          <w:bCs/>
          <w:sz w:val="22"/>
        </w:rPr>
        <w:t xml:space="preserve">mde ve şu şekilde </w:t>
      </w:r>
      <w:r w:rsidRPr="00AF7557">
        <w:rPr>
          <w:rFonts w:ascii="Palatino Linotype" w:hAnsi="Palatino Linotype"/>
          <w:bCs/>
          <w:sz w:val="22"/>
        </w:rPr>
        <w:t>ifade edilmiştir: “TCK ve TMK düzenlemeleri, bu fiiller olmadan örgüt üyeliğinden mahkûmiyete asla izin vermemektedir.” (Mütalaa, s. 3-4).</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Yine mütalaada, kanun metninde geçen “bilerek” ibaresinin doğrudan kastı ifade ettiği; “isteyerek” ibaresinin ise kişinin iradesinin cebir veya tehdit etkisiyle ifsat edilmemiş olmasını gerektirdiği; ayrıca yardımın, örgütün suç işlemek amacını gerçekleştirmeye hizmet eden bir yardım olmasının zorunlu bulunduğu belirtilmiştir (Mütalaa, s. 4). Somut olayda müvekkile atfedilen fiillerin hiçbiri, ne örgüt faaliyeti çerçevesinde işlenmiş bir suç ne de </w:t>
      </w:r>
      <w:r w:rsidR="00030492" w:rsidRPr="00AF7557">
        <w:rPr>
          <w:rFonts w:ascii="Palatino Linotype" w:hAnsi="Palatino Linotype"/>
          <w:bCs/>
          <w:sz w:val="22"/>
        </w:rPr>
        <w:t xml:space="preserve">iddia edilen </w:t>
      </w:r>
      <w:r w:rsidRPr="00AF7557">
        <w:rPr>
          <w:rFonts w:ascii="Palatino Linotype" w:hAnsi="Palatino Linotype"/>
          <w:bCs/>
          <w:sz w:val="22"/>
        </w:rPr>
        <w:t>ama</w:t>
      </w:r>
      <w:r w:rsidR="00030492" w:rsidRPr="00AF7557">
        <w:rPr>
          <w:rFonts w:ascii="Palatino Linotype" w:hAnsi="Palatino Linotype"/>
          <w:bCs/>
          <w:sz w:val="22"/>
        </w:rPr>
        <w:t>ç suçu (anayasal düzeni ortadan kaldırmak)</w:t>
      </w:r>
      <w:r w:rsidRPr="00AF7557">
        <w:rPr>
          <w:rFonts w:ascii="Palatino Linotype" w:hAnsi="Palatino Linotype"/>
          <w:bCs/>
          <w:sz w:val="22"/>
        </w:rPr>
        <w:t xml:space="preserve"> gerçekleştirmeye hizmet eden bir yardım niteliği taşımaktadır.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AİHM, kasıt unsurunun nasıl tespit edileceğine ve çıkarım yapılacağına dair ulusal mahkemelerin uygulamasını incelemiş ve izlenen yöntemi son derece sorunlu bulmuştur. Mahkemeye göre bu tespit, varsayımlarla değil bireysel olarak her kişi özelinde yapılmalıdır. Toplumun her kesiminde yer edinmiş Cemaat/Yapı yargılamalarında bu zorunluluk bilhassa elzemdir. Zira salt Cemaat mensubiyetinin veya temasının doğrudan terör örgütü üyeliği olarak cezalandırılmaması için bu ayrımın yapılması şarttır. Başvuranın atfedilen fiillerinin gerçekleştiği zaman ve fiilin kendi bağlamından hareketle manevi unsur çıkarımı büyük bir titizlikle yapılmak zorundadır (§ 204). Müvekkilin dosyasında da atılı yasal eylemlerden suç kastı çıkarılması, AİHM'in aradığı bu titizlikten tamamen yoksundur.</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da, suç işlemek amacının örgüt mensuplarının ortak amacı olarak belirlenmesi gerektiği; bu itibarla “örgütsel yapı mahiyetindeki bir oluşumun çekirdeğini oluşturan kişiler suç işlemek amacıyla hareket etmekle birlikte, bu oluşumun içinde yer alan ve fakat bu amaçtan habersiz olan kişilerin, suç işlemek amacıyla kurulmuş bir örgüte üye olmaktan sorumlu tutulamayacakları”</w:t>
      </w:r>
      <w:r w:rsidR="00030492" w:rsidRPr="00AF7557">
        <w:rPr>
          <w:rFonts w:ascii="Palatino Linotype" w:hAnsi="Palatino Linotype"/>
          <w:bCs/>
          <w:sz w:val="22"/>
        </w:rPr>
        <w:t xml:space="preserve"> </w:t>
      </w:r>
      <w:r w:rsidRPr="00AF7557">
        <w:rPr>
          <w:rFonts w:ascii="Palatino Linotype" w:hAnsi="Palatino Linotype"/>
          <w:bCs/>
          <w:sz w:val="22"/>
        </w:rPr>
        <w:t>ifade edilmiştir (Mütalaa, s. 7).</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Bununla bağlantılı olarak mütalaada, ceza sorumluluğunun ancak kanunda tanımlanan statüler bakımından doğabileceği; kurucu, yönetici, üye, örgüt adına suç işlemek, örgüte yardım etmek ve propagandasını yapmak dışında bir ilişki biçiminin yaptırım uygulanmasını gerektirmeyeceği; buna karşılık “sempatizan, radikal, köktenci, irtibatlı” gibi terimlerin ceza hukuku sistemimizde sorumluluk doğuracak bir temellendirme veya gerekçelendirmeye esas alınamayacağı belirtilmiştir. Bu husus, suçta ve cezada kanunilik ilkesinin doğal bir sonucudur (Mütalaa, s. 66).</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 xml:space="preserve">Büyük Daire, kararında çok </w:t>
      </w:r>
      <w:r>
        <w:rPr>
          <w:rFonts w:ascii="Palatino Linotype" w:hAnsi="Palatino Linotype"/>
          <w:color w:val="000000"/>
          <w:sz w:val="22"/>
          <w:szCs w:val="22"/>
        </w:rPr>
        <w:t>önemli</w:t>
      </w:r>
      <w:r w:rsidRPr="00EF61E1">
        <w:rPr>
          <w:rFonts w:ascii="Palatino Linotype" w:hAnsi="Palatino Linotype"/>
          <w:color w:val="000000"/>
          <w:sz w:val="22"/>
          <w:szCs w:val="22"/>
        </w:rPr>
        <w:t xml:space="preserve"> bir "zamansal" değerlendirme yapmıştır. Başvurucuya atfedilen eylemlerin ne zaman gerçekleştirildiği dahi tam belirlenmeden, iddialar üzerine mahkûmiyet kurulması eleştirilmiştir. İlgili yapının önce idari makamlar tarafından, sonra da mahkemeler tarafından 15 Temmuz darbe girişimi sonrası terör örgütü olarak tanındığı gerçeği karşısında AİHM, ulusal makamların ve mahkemelerin, başvuranın söz konusu yapı içinde bulunmasının "masum bir katılımla mı" yoksa bilinçli bir "terörist projeye katılma kastıyla mı" olduğunu değerlendirmek zorunda olduğunu açıkça ifade etmiştir. 2014 yılına veya 15 Temmuz öncesine kadar gerçekleştirilen eylemlerin kasıt unsurunu nasıl oluşturduğu, varsayımlarla değil maddi gerçeklikle açıklanmalıdır (§ 205).</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lastRenderedPageBreak/>
        <w:t>Mütalaada da, bir örgütsel yapının suç örgütüne evrilmesinin bir maddi vakıa sorunu olduğu; bir yapının suç veya terör örgütü olarak kabul edilebilmesi için mutlaka faaliyeti çerçevesinde birtakım suçların işlenmiş olması gerektiği; ayrıca örgütsel yapı içindeki hiyerarşik ilişkinin suç işlemek amacına yönelik olması ve bu çerçevede bir işlev görmesinin zorunlu olduğu ifade edilmiştir (Mütalaa, s. 4).</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Bu çerçevede mütalaada, bir yapının Millî Güvenlik Kurulu kararlarıyla suç örgütüne evrildiğini kabul etmenin ve bu karar tarihleri itibarıyla bir terör örgütünün varlığını kabul etmenin “yargı faaliyeti bakımından hiçbir öneminin bulunmadığı” önemle vurgulanmıştır (Mütalaa, s. 5). Nitekim yargı uygulamasında MGK’nın 30 Ekim 2014, 29 Nisan 2015 ve 26 Mayıs 2016 tarihli toplantılarında alınan kararların, söz konusu yapının somut suçlarla ilişkilendirilmeksizin terör örgütü olarak nitelendirilmesine gerekçe yapıldığı; bunun ise bu yapının hangi tarih itibarıyla teşekkül ettiği sorununu doğurduğu </w:t>
      </w:r>
      <w:r w:rsidR="006048D1" w:rsidRPr="00AF7557">
        <w:rPr>
          <w:rFonts w:ascii="Palatino Linotype" w:hAnsi="Palatino Linotype"/>
          <w:bCs/>
          <w:sz w:val="22"/>
        </w:rPr>
        <w:t>belirtil</w:t>
      </w:r>
      <w:r w:rsidRPr="00AF7557">
        <w:rPr>
          <w:rFonts w:ascii="Palatino Linotype" w:hAnsi="Palatino Linotype"/>
          <w:bCs/>
          <w:sz w:val="22"/>
        </w:rPr>
        <w:t>miştir (Mütalaa, s. 9).</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Mütalaada ayrıca, suç örgütünün bidayetinin belirsizliği sorununun “toplumda travma etkisi meydana getiren bir uygulamaya sebebiyet verdiği”; buna karşılık konular hukuk zemininde ele alındığı takdirde hiçbir “çözümsüz” sosyal sorundan söz etmenin mümkün olmadığı </w:t>
      </w:r>
      <w:r w:rsidR="006048D1" w:rsidRPr="00AF7557">
        <w:rPr>
          <w:rFonts w:ascii="Palatino Linotype" w:hAnsi="Palatino Linotype"/>
          <w:bCs/>
          <w:sz w:val="22"/>
        </w:rPr>
        <w:t>vurgulanmıştır</w:t>
      </w:r>
      <w:r w:rsidRPr="00AF7557">
        <w:rPr>
          <w:rFonts w:ascii="Palatino Linotype" w:hAnsi="Palatino Linotype"/>
          <w:bCs/>
          <w:sz w:val="22"/>
        </w:rPr>
        <w:t xml:space="preserve"> (Mütalaa, s. 5).</w:t>
      </w:r>
    </w:p>
    <w:p w:rsidR="006142B8" w:rsidRPr="00EF61E1" w:rsidRDefault="006048D1" w:rsidP="00731EBC">
      <w:pPr>
        <w:pStyle w:val="NormalWeb"/>
        <w:numPr>
          <w:ilvl w:val="0"/>
          <w:numId w:val="1"/>
        </w:numPr>
        <w:ind w:left="0" w:firstLine="0"/>
        <w:jc w:val="both"/>
        <w:rPr>
          <w:rFonts w:ascii="Palatino Linotype" w:hAnsi="Palatino Linotype"/>
          <w:color w:val="000000"/>
          <w:sz w:val="22"/>
          <w:szCs w:val="22"/>
        </w:rPr>
      </w:pPr>
      <w:r>
        <w:rPr>
          <w:rFonts w:ascii="Palatino Linotype" w:hAnsi="Palatino Linotype"/>
          <w:color w:val="000000"/>
          <w:sz w:val="22"/>
          <w:szCs w:val="22"/>
        </w:rPr>
        <w:t>AİHM</w:t>
      </w:r>
      <w:r w:rsidR="006142B8" w:rsidRPr="00EF61E1">
        <w:rPr>
          <w:rFonts w:ascii="Palatino Linotype" w:hAnsi="Palatino Linotype"/>
          <w:color w:val="000000"/>
          <w:sz w:val="22"/>
          <w:szCs w:val="22"/>
        </w:rPr>
        <w:t>, kişilerin 17/25 Aralık sürecinden sonra da bağlarını sürdürmesini ulusal mahkemelerin bir faktör olarak ele almasını ikincillik ilkesi gereği ulusal takdir marjında görse de, bu durumun kişilere karşı gelişi</w:t>
      </w:r>
      <w:r>
        <w:rPr>
          <w:rFonts w:ascii="Palatino Linotype" w:hAnsi="Palatino Linotype"/>
          <w:color w:val="000000"/>
          <w:sz w:val="22"/>
          <w:szCs w:val="22"/>
        </w:rPr>
        <w:t xml:space="preserve"> </w:t>
      </w:r>
      <w:r w:rsidR="006142B8" w:rsidRPr="00EF61E1">
        <w:rPr>
          <w:rFonts w:ascii="Palatino Linotype" w:hAnsi="Palatino Linotype"/>
          <w:color w:val="000000"/>
          <w:sz w:val="22"/>
          <w:szCs w:val="22"/>
        </w:rPr>
        <w:t>güzel bir silaha dönüştürülemeyeceğini hükme bağlamıştır. Ulusal mahkemeler bu bağlantıyı sürdüren herkes için otomatik suçlu muamelesi yapamaz; mensubiyetin devam ettiği zamana ve kişinin icra ettiği faaliyetlerin bağlamına bakıp kasıt unsurunun gerçekten var olup olmadığını somut olarak incelemek zorundadır (§ 206). Hele ki iddia edilen olguların şiddet eylemleriyle doğrudan hiçbir bağlantısı yoksa buna çok daha özel bir dikkat gösterilmelidir. Müvekkile atfedilen eylemlerin tamamı hukuka uygun eylemlerdir ve bu eylemlerin sırf belirli bir tarihten sonra yapıldığı varsayımıyla terör kastına yorulması Sözleşme'ye açıkça aykırıdır.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Mahkeme, suç veya terör örgütlerine üyelikle ilgili davalarda kişinin belirli bir süre devam eden davranışlarının bir bütün olarak değerlendirilip kasıt çıkarımı yapılmasını teorik olarak kabul edilebilir bulsa da, bunun mutlak surette 7. maddeye uygun yapılması gerektiğini belirtmektedir (§ 207). İtirafın az olduğu dosyalarda yargı makamlarının varsayımsal örgüt çıkarımı yapmasının yaygın olduğu kabul edilmekle birlikte, somut dosyalarda zamansal durumun dikkate alınmaması ve bağlamsal analizin yapılmaması doğrudan hak ihlali yaratmaktadır.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AİHM'in kararda "bağlamsal analiz" ile neyi kastettiği de detaylandırılmıştır. Söz konusu yapının uzun yıllar boyunca toplumun değişik alanlarına, özellikle eğitim, sağlık ve finans alanlarına derinlemesine yerleştiği, yasal olarak ve devletin denetiminde faaliyet gösterdiği vurgulanmıştır. Dolayısıyla toplumun geniş bir kesimini oluşturan çok sayıda kişinin, bu yapının (iddia edilen) gerçek amaçlarından veya gizli niyetlerinden hiçbir şekilde haberdar olmadan örgütün görünür ve yasal yapılarıyla temas kurmuş, faaliyet sürdürmüş olması son derece olağandır. Hal böyleyken, terör örgütü üyeliği suçunun en zorunlu unsuru olan "kasıt" unsurunun tespitinin önemi bir kat daha artmaktadır (§ 208). Müvekkilin rutin yaşam çizgisi içerisindeki faaliyetlerinin de bu bağlamsal gerçeklikten kopuk değerlendirilmesi hukuken mümkün değildir.</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Mütalaada da bu bağlamsal gerçekliğe işaret edilerek, bir sosyal oluşumun bünyesinde kabul gören dinî inanç ve uygulamaların tasvip edilmemesi ve hatta yanlış olarak değerlendirilmesinin mümkün olduğu; ancak somut bir suça sebebiyet vermediği sürece bu </w:t>
      </w:r>
      <w:r w:rsidRPr="00AF7557">
        <w:rPr>
          <w:rFonts w:ascii="Palatino Linotype" w:hAnsi="Palatino Linotype"/>
          <w:bCs/>
          <w:sz w:val="22"/>
        </w:rPr>
        <w:lastRenderedPageBreak/>
        <w:t>durumun ceza hukuku sorumluluğunu ilgilendirmediğinin izahtan vareste bulunduğu ifade edilmiştir (Mütalaa, s. 4).</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karşılaştırmalı hukuk bakımından da önemli bir tespite yer verilmiştir: Avrupa Birliği üyesi devletlerde, bu tür oluşumların mensuplarıyla ilgili yargılamalarda mahkemeler, münhasıran oluşum adının terör listelerinde yer almasını, o oluşumun “terör örgütü”, mensuplarının da “terörist” olarak kabulü için dayanak ittihaz etmemekte; yapılan yargılamalarda kişilerin esasen suç oluşturan faaliyetleri göz önünde bulundurulmaktadır (Mütalaa, s. 8).</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AİHM, yargılama makamlarının "kişinin bir görev üstlendiği</w:t>
      </w:r>
      <w:r w:rsidR="00CE0CB4">
        <w:rPr>
          <w:rFonts w:ascii="Palatino Linotype" w:hAnsi="Palatino Linotype"/>
          <w:color w:val="000000"/>
          <w:sz w:val="22"/>
          <w:szCs w:val="22"/>
        </w:rPr>
        <w:t xml:space="preserve"> veya</w:t>
      </w:r>
      <w:r w:rsidRPr="00EF61E1">
        <w:rPr>
          <w:rFonts w:ascii="Palatino Linotype" w:hAnsi="Palatino Linotype"/>
          <w:color w:val="000000"/>
          <w:sz w:val="22"/>
          <w:szCs w:val="22"/>
        </w:rPr>
        <w:t xml:space="preserve"> şiddet kullanımını öngörebilecek durumda olduğu" şeklindeki niyet okuyucu yaklaşımını açıkça ve kesin bir dille reddetmiştir. Mahkeme burada çok temel bir ilke ortaya koymaktadır: Ulusal mahkemelerin, kişinin </w:t>
      </w:r>
      <w:r w:rsidR="00073776">
        <w:rPr>
          <w:rFonts w:ascii="Palatino Linotype" w:hAnsi="Palatino Linotype"/>
          <w:color w:val="000000"/>
          <w:sz w:val="22"/>
          <w:szCs w:val="22"/>
        </w:rPr>
        <w:t>o yapının</w:t>
      </w:r>
      <w:r w:rsidRPr="00EF61E1">
        <w:rPr>
          <w:rFonts w:ascii="Palatino Linotype" w:hAnsi="Palatino Linotype"/>
          <w:color w:val="000000"/>
          <w:sz w:val="22"/>
          <w:szCs w:val="22"/>
        </w:rPr>
        <w:t xml:space="preserve"> merkezi veya stratejik bileşenleri arasında fiili bir bağlantısı olduğunu ileri sürmeleri veya ortaya koymaları dahi cezalandırma için yeterli değildir. Aynı zamanda bu bağlantının niteliğini ortaya koymalı; tespit edilen bu niteliğin ise kişinin kasta sahip olduğunun (şiddet amacını bildiğinin ve benimsediğinin) meşru bir biçimde çıkarılmasını sağlayacak ağırlıkta olup olmadığını tespit etmeleri gerekir. Yani kişinin eyleminin bir "terörist projeye" katılma kastı ve bilinciyle olduğu şüpheye mahal bırakmayacak şekilde ispatlanmalıdır.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 xml:space="preserve">AİHM, kararının 209. paragrafında sadece yerel mahkemelerin eksikliğini göstermekle yetinmemiş, ne yapılması gerektiğini de pozitif bir hukuk kuralı olarak tarif etmiştir. Büyük Daire, makamların bu bileşenlerle yalnızca bir bağlantının varlığını değil, bu bağlantının somut içeriğini ve suç kastını ortaya koyup koymadığını araştırması gerektiğini açıkça emretmektedir. Buna göre </w:t>
      </w:r>
      <w:r>
        <w:rPr>
          <w:rFonts w:ascii="Palatino Linotype" w:hAnsi="Palatino Linotype"/>
          <w:color w:val="000000"/>
          <w:sz w:val="22"/>
          <w:szCs w:val="22"/>
        </w:rPr>
        <w:t>yargılama</w:t>
      </w:r>
      <w:r w:rsidRPr="00EF61E1">
        <w:rPr>
          <w:rFonts w:ascii="Palatino Linotype" w:hAnsi="Palatino Linotype"/>
          <w:color w:val="000000"/>
          <w:sz w:val="22"/>
          <w:szCs w:val="22"/>
        </w:rPr>
        <w:t xml:space="preserve"> makamları, kişinin </w:t>
      </w:r>
      <w:r w:rsidR="00073776">
        <w:rPr>
          <w:rFonts w:ascii="Palatino Linotype" w:hAnsi="Palatino Linotype"/>
          <w:color w:val="000000"/>
          <w:sz w:val="22"/>
          <w:szCs w:val="22"/>
        </w:rPr>
        <w:t>yapının</w:t>
      </w:r>
      <w:r w:rsidRPr="00EF61E1">
        <w:rPr>
          <w:rFonts w:ascii="Palatino Linotype" w:hAnsi="Palatino Linotype"/>
          <w:color w:val="000000"/>
          <w:sz w:val="22"/>
          <w:szCs w:val="22"/>
        </w:rPr>
        <w:t xml:space="preserve"> merkezi veya stratejik yapılarıyla "gerçek, işlevsel ve hiyerarşik bir bağının" bulunup bulunmadığını, bu bağın kapsamını ve niteliğini, ayrıca kişinin </w:t>
      </w:r>
      <w:r w:rsidR="00073776">
        <w:rPr>
          <w:rFonts w:ascii="Palatino Linotype" w:hAnsi="Palatino Linotype"/>
          <w:color w:val="000000"/>
          <w:sz w:val="22"/>
          <w:szCs w:val="22"/>
        </w:rPr>
        <w:t>yapının iddia edilen</w:t>
      </w:r>
      <w:r w:rsidRPr="00EF61E1">
        <w:rPr>
          <w:rFonts w:ascii="Palatino Linotype" w:hAnsi="Palatino Linotype"/>
          <w:color w:val="000000"/>
          <w:sz w:val="22"/>
          <w:szCs w:val="22"/>
        </w:rPr>
        <w:t xml:space="preserve"> şiddet içeren amaçlarını "bilerek ve isteyerek hareket edip etmediğini" somut delillerle ispat etmek zorundadır. Daha da önemlisi, sorumluluk, sonradan </w:t>
      </w:r>
      <w:r w:rsidR="00073776">
        <w:rPr>
          <w:rFonts w:ascii="Palatino Linotype" w:hAnsi="Palatino Linotype"/>
          <w:color w:val="000000"/>
          <w:sz w:val="22"/>
          <w:szCs w:val="22"/>
        </w:rPr>
        <w:t>yapıya</w:t>
      </w:r>
      <w:r w:rsidRPr="00EF61E1">
        <w:rPr>
          <w:rFonts w:ascii="Palatino Linotype" w:hAnsi="Palatino Linotype"/>
          <w:color w:val="000000"/>
          <w:sz w:val="22"/>
          <w:szCs w:val="22"/>
        </w:rPr>
        <w:t xml:space="preserve"> atfedilen şiddet veya terör niteliği üzerinden değil, yalnızca fiillerin işlendiği o dönemdeki bilgi, kast ve bağlam üzerinden değerlendirilebilir. </w:t>
      </w:r>
      <w:r w:rsidR="00073776">
        <w:rPr>
          <w:rFonts w:ascii="Palatino Linotype" w:hAnsi="Palatino Linotype"/>
          <w:color w:val="000000"/>
          <w:sz w:val="22"/>
          <w:szCs w:val="22"/>
        </w:rPr>
        <w:t>Yapıya</w:t>
      </w:r>
      <w:r w:rsidRPr="00EF61E1">
        <w:rPr>
          <w:rFonts w:ascii="Palatino Linotype" w:hAnsi="Palatino Linotype"/>
          <w:color w:val="000000"/>
          <w:sz w:val="22"/>
          <w:szCs w:val="22"/>
        </w:rPr>
        <w:t xml:space="preserve"> henüz hiçbir şiddet eyleminin atfedilmediği ve devletin tüm kurumlarıyla bu yapının yasal yüzüyle temas halinde olduğu bir dönemde, kişinin şiddet amaçlarını bildiği somut olarak gösterilmeden cezai yollara başvurulması 7. maddenin açık ihlalidir (§ 209).</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Kararda Yargıtay'ın söz konusu yapıya atfettiği 7 katmanlı hiyerarşik yapının muğlaklığına da özel olarak değinilmiştir. Büyük Daire, bu katmanların hukuki bir öngörülebilirlik sunmaktan ne kadar uzak olduğunu tartışmış ve ulusal makamların bir kişinin eylemlerinin bu katmanlardan hangisine girdiğini ve bu durumun kişinin kastına nasıl etki ettiğini netleştirmediklerini tespit etmiştir (§ 210). Atıf yapılan bu katmanlı yapının muğlak tasvirlerinin varsayımsal cezalandırmalara dayanak yapılması, AİHM tarafından doğrudan 7. madde aleyhine yorumlanmıştır.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 xml:space="preserve">AİHM, benzer davalarda kasta dair çıkarım yapmak isteyen ulusal yargı organlarına yol göstererek standardı belirlemiştir: Kasıt çıkarımı ancak ve ancak davanın "somut olgularıyla sıkı sıkıya bağlı kalınarak" ve "bireyselleştirilmiş bir analize dayanarak" yapılırsa 7. maddeye uygun olabilir. İlgili dönemde büyük ölçüde "dini/sosyal bir grup" olarak algılanan bir yapıya mensup olma olgusu, tek başına, kişinin mahkûmiyetine dayanak teşkil eden fiilleri gerçekleştirirken suç için gerekli kasıt unsuruna sahip olduğu sonucuna asla yol açamaz. Mahkeme, her ne düzeyde olursa olsun veya hangi görevi yaparsa yapsın "Cemaat/Yapı üyesi eşittir terör örgütü üyesi" şeklindeki toptancı anlayışı kökten reddetmiştir. Dosyadaki var olan (ve aslen yasal olan) delilleri alt alta sıralayıp, bu delillerin kişinin </w:t>
      </w:r>
      <w:r w:rsidR="00073776">
        <w:rPr>
          <w:rFonts w:ascii="Palatino Linotype" w:hAnsi="Palatino Linotype"/>
          <w:color w:val="000000"/>
          <w:sz w:val="22"/>
          <w:szCs w:val="22"/>
        </w:rPr>
        <w:t xml:space="preserve">yapının iddia edilen nihai </w:t>
      </w:r>
      <w:r w:rsidRPr="00EF61E1">
        <w:rPr>
          <w:rFonts w:ascii="Palatino Linotype" w:hAnsi="Palatino Linotype"/>
          <w:color w:val="000000"/>
          <w:sz w:val="22"/>
          <w:szCs w:val="22"/>
        </w:rPr>
        <w:lastRenderedPageBreak/>
        <w:t xml:space="preserve">amaçlarından gerçekten haberdar olduğunu ve bu bilgiyle </w:t>
      </w:r>
      <w:r w:rsidR="00073776">
        <w:rPr>
          <w:rFonts w:ascii="Palatino Linotype" w:hAnsi="Palatino Linotype"/>
          <w:color w:val="000000"/>
          <w:sz w:val="22"/>
          <w:szCs w:val="22"/>
        </w:rPr>
        <w:t>yapıya</w:t>
      </w:r>
      <w:r w:rsidRPr="00EF61E1">
        <w:rPr>
          <w:rFonts w:ascii="Palatino Linotype" w:hAnsi="Palatino Linotype"/>
          <w:color w:val="000000"/>
          <w:sz w:val="22"/>
          <w:szCs w:val="22"/>
        </w:rPr>
        <w:t xml:space="preserve"> katıldığını açıklamaya çalışmaksızın "kastın varlığına" hükmedilmesi kabul edilemez (§ 211).</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bu toptancı yaklaşımın hukuken kabul edilemezliği, hiçbir tereddüde yer bırakmayacak bir sonuç cümlesiyle ortaya konulmuştur: “özellikle 15 Temmuz 2016 tarihli darbe teşebbüsü öncesinde, herhangi somut bir suçun icrasına iştirak etmemiş olmak kaydıyla, sırf hayrî mülahazalarla, çeşitli derneklere, vakıflara veya sosyal etkinliklere maddi veya manevi yardımda bulunan, çeşitli derneklerde veya vakıflarda kurucu veya yönetici olarak görev alan ya da üye olan kişilerin alelıtlak, sadece bu sebeple terör örgütü üyesi olarak ceza hukuku bakımından sorumlu tutulması hukuken mümkün değildir.” (Mütalaa, s. 9 ve s. 66).</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Aynı şekilde mütalaada, bilahare suç ve terör örgütü vasfı izafe edilen bir sosyal oluşumla geçmişte çeşitli vesilelerle irtibat kurmuş kişilerin, herhangi somut bir suç işlemedikleri hâlde suç ve terör örgütü üyesi olarak suçlanamayacakları; evrilme öncesinde bu yapıyla bir şekilde irtibat içinde olan kişilerin salt bu sebeple sorumlu tutulmasının hukuken mümkün olmadığı belirtilmiştir (Mütalaa, s. 66).</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 xml:space="preserve">Mahkemenin nihai sonucuna göre; ulusal makamlar ve mahkemeler, başvurucuların </w:t>
      </w:r>
      <w:r w:rsidR="00073776">
        <w:rPr>
          <w:rFonts w:ascii="Palatino Linotype" w:hAnsi="Palatino Linotype"/>
          <w:color w:val="000000"/>
          <w:sz w:val="22"/>
          <w:szCs w:val="22"/>
        </w:rPr>
        <w:t>yapının</w:t>
      </w:r>
      <w:r w:rsidRPr="00EF61E1">
        <w:rPr>
          <w:rFonts w:ascii="Palatino Linotype" w:hAnsi="Palatino Linotype"/>
          <w:color w:val="000000"/>
          <w:sz w:val="22"/>
          <w:szCs w:val="22"/>
        </w:rPr>
        <w:t xml:space="preserve"> terör örgütü olarak tanımlanmasından çok önce iç hukukta sahip olduğu yasal statü etrafında belirli eylemlerde bulunmalarının, onların "</w:t>
      </w:r>
      <w:r w:rsidR="00073776">
        <w:rPr>
          <w:rFonts w:ascii="Palatino Linotype" w:hAnsi="Palatino Linotype"/>
          <w:color w:val="000000"/>
          <w:sz w:val="22"/>
          <w:szCs w:val="22"/>
        </w:rPr>
        <w:t>yapının</w:t>
      </w:r>
      <w:r w:rsidRPr="00EF61E1">
        <w:rPr>
          <w:rFonts w:ascii="Palatino Linotype" w:hAnsi="Palatino Linotype"/>
          <w:color w:val="000000"/>
          <w:sz w:val="22"/>
          <w:szCs w:val="22"/>
        </w:rPr>
        <w:t xml:space="preserve"> niteliği ve amaçlarından haberdar oldukları", "bu </w:t>
      </w:r>
      <w:r w:rsidR="00073776">
        <w:rPr>
          <w:rFonts w:ascii="Palatino Linotype" w:hAnsi="Palatino Linotype"/>
          <w:color w:val="000000"/>
          <w:sz w:val="22"/>
          <w:szCs w:val="22"/>
        </w:rPr>
        <w:t>yapının</w:t>
      </w:r>
      <w:r w:rsidRPr="00EF61E1">
        <w:rPr>
          <w:rFonts w:ascii="Palatino Linotype" w:hAnsi="Palatino Linotype"/>
          <w:color w:val="000000"/>
          <w:sz w:val="22"/>
          <w:szCs w:val="22"/>
        </w:rPr>
        <w:t xml:space="preserve"> bir parçası olmayı amaçladıkları" ve </w:t>
      </w:r>
      <w:r w:rsidR="00073776">
        <w:rPr>
          <w:rFonts w:ascii="Palatino Linotype" w:hAnsi="Palatino Linotype"/>
          <w:color w:val="000000"/>
          <w:sz w:val="22"/>
          <w:szCs w:val="22"/>
        </w:rPr>
        <w:t>yapını</w:t>
      </w:r>
      <w:r w:rsidRPr="00EF61E1">
        <w:rPr>
          <w:rFonts w:ascii="Palatino Linotype" w:hAnsi="Palatino Linotype"/>
          <w:color w:val="000000"/>
          <w:sz w:val="22"/>
          <w:szCs w:val="22"/>
        </w:rPr>
        <w:t>n</w:t>
      </w:r>
      <w:r w:rsidR="00073776">
        <w:rPr>
          <w:rFonts w:ascii="Palatino Linotype" w:hAnsi="Palatino Linotype"/>
          <w:color w:val="000000"/>
          <w:sz w:val="22"/>
          <w:szCs w:val="22"/>
        </w:rPr>
        <w:t xml:space="preserve"> iddia edilen</w:t>
      </w:r>
      <w:r w:rsidRPr="00EF61E1">
        <w:rPr>
          <w:rFonts w:ascii="Palatino Linotype" w:hAnsi="Palatino Linotype"/>
          <w:color w:val="000000"/>
          <w:sz w:val="22"/>
          <w:szCs w:val="22"/>
        </w:rPr>
        <w:t xml:space="preserve"> amaçlarına "aktif, sürekli bir şekilde katkıda bulundukları" sonucuna nasıl yol açtığını hukuken açıklayamamışlardır. Bu durum doğrudan doğruya, cezai sorumluluk atfı için zorunlu olan manevi unsur tespit edilmeden kişinin cezalandırılmama hakkını garanti eden Sözleşmenin 7. maddesinin ihlalidir (§ 212-213).</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AİHM'in</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Yasak</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kararı, özellikle 15 Temmuz darbe girişimi öncesi döneme dayalı isnatlarla yürütülen tüm soruşturma ve kovuşturmalar bakımından çok önemli bir kırılma noktası ve bağlayıcı bir içtihat niteliğindedir. Büyük Daire bu kararla, belirleyici hukuki meselenin kişinin bir yapıyla fiziki veya yasal bağlantısının bulunup bulunmadığı değil; bu bağlantının suçun manevi unsurunu somut olarak ortaya koyup koymadığı olduğunu kesinleştirmiştir. İlgili dönemde büyük ölçüde dini, sosyal ve sivil bir yapı olarak algılanan bir oluşumla yasal zeminlerde kurulan bağların, tek başına TCK 314 anlamında "silahlı terör örgütü üyeliği" suçuna dayanak oluşturamayacağı net bir şekilde tescillenmiştir.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 xml:space="preserve">Artık AİHM'in bağlayıcı standardına göre; 15 Temmuz öncesi döneme ilişkin atılı bir fiilin suça vücut verdiğinin Sözleşme'ye uygun kabul edilebilmesi için, kişinin tam da o dönemde söz konusu yapının şiddet içeren </w:t>
      </w:r>
      <w:r>
        <w:rPr>
          <w:rFonts w:ascii="Palatino Linotype" w:hAnsi="Palatino Linotype"/>
          <w:color w:val="000000"/>
          <w:sz w:val="22"/>
          <w:szCs w:val="22"/>
        </w:rPr>
        <w:t xml:space="preserve">iddia edilen </w:t>
      </w:r>
      <w:r w:rsidRPr="00EF61E1">
        <w:rPr>
          <w:rFonts w:ascii="Palatino Linotype" w:hAnsi="Palatino Linotype"/>
          <w:color w:val="000000"/>
          <w:sz w:val="22"/>
          <w:szCs w:val="22"/>
        </w:rPr>
        <w:t xml:space="preserve">amaçlarını "bildiğinin" hiçbir şüpheye yer bırakmayacak şekilde somut delillerle ortaya konulması gerekmektedir. Dahası, müvekkilin bu bilgiye rağmen yapıyla bağını "bilerek ve isteyerek" sürdürdüğü ve bu bağın salt sosyal ya da mesleki bir ilişki olmanın ötesinde, doğrudan </w:t>
      </w:r>
      <w:r>
        <w:rPr>
          <w:rFonts w:ascii="Palatino Linotype" w:hAnsi="Palatino Linotype"/>
          <w:color w:val="000000"/>
          <w:sz w:val="22"/>
          <w:szCs w:val="22"/>
        </w:rPr>
        <w:t xml:space="preserve">bu yapının iddia edilen </w:t>
      </w:r>
      <w:r w:rsidRPr="00EF61E1">
        <w:rPr>
          <w:rFonts w:ascii="Palatino Linotype" w:hAnsi="Palatino Linotype"/>
          <w:color w:val="000000"/>
          <w:sz w:val="22"/>
          <w:szCs w:val="22"/>
        </w:rPr>
        <w:t>suç teşkil eden amaçlarına "bilinçli bir bağlılık ve katkı" gösterecek nitelikte olduğu kanıtlanmak zorundadır. Bu unsurlar varsayımla, genellemeyle, aidiyet kavramıyla veya yasal faaliyetlerin birikimiyle değil, bireyselleştirilmiş somut delillerle ortaya konulmadıkça yürütülecek hiçbir cezai süreç Anayasa'nın 90. maddesi delaletiyle AİHS 7. maddeyle bağdaşmayacaktır.</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 xml:space="preserve">Müvekkil hakkında yürütülen </w:t>
      </w:r>
      <w:r>
        <w:rPr>
          <w:rFonts w:ascii="Palatino Linotype" w:hAnsi="Palatino Linotype"/>
          <w:color w:val="000000"/>
          <w:sz w:val="22"/>
          <w:szCs w:val="22"/>
        </w:rPr>
        <w:t>yargılamada</w:t>
      </w:r>
      <w:r w:rsidRPr="00EF61E1">
        <w:rPr>
          <w:rFonts w:ascii="Palatino Linotype" w:hAnsi="Palatino Linotype"/>
          <w:color w:val="000000"/>
          <w:sz w:val="22"/>
          <w:szCs w:val="22"/>
        </w:rPr>
        <w:t xml:space="preserve"> bu bağlayıcı kararlar ekseninde temel mesele, müvekkilin fiillerinin suç olup olmadığının tartışılmasından ziyade, bu eylemlerin "suç kastını" gösterip göstermediğidir. Müvekkil, söz konusu yapının sonradan ilan edilen şiddet amaçlarını hiçbir zaman bilmemiş, hissetmemiş ve bu amaçlara yönelik en ufak bir suç iradesi taşımamıştır. Fiillerin </w:t>
      </w:r>
      <w:r w:rsidRPr="00586ED5">
        <w:rPr>
          <w:rFonts w:ascii="Palatino Linotype" w:hAnsi="Palatino Linotype"/>
          <w:color w:val="000000"/>
          <w:sz w:val="22"/>
          <w:szCs w:val="22"/>
          <w:highlight w:val="yellow"/>
        </w:rPr>
        <w:t>(dernek/sendika üyeliği, banka hesabı kullanımı, eğitim kurumu faaliyetleri, dini sohbetler vb. yasal faaliyetlerin)</w:t>
      </w:r>
      <w:r w:rsidRPr="00EF61E1">
        <w:rPr>
          <w:rFonts w:ascii="Palatino Linotype" w:hAnsi="Palatino Linotype"/>
          <w:color w:val="000000"/>
          <w:sz w:val="22"/>
          <w:szCs w:val="22"/>
        </w:rPr>
        <w:t xml:space="preserve"> işlendiği o dönemde, yapının bir </w:t>
      </w:r>
      <w:r w:rsidR="00073776">
        <w:rPr>
          <w:rFonts w:ascii="Palatino Linotype" w:hAnsi="Palatino Linotype"/>
          <w:color w:val="000000"/>
          <w:sz w:val="22"/>
          <w:szCs w:val="22"/>
        </w:rPr>
        <w:t>‘’</w:t>
      </w:r>
      <w:r w:rsidRPr="00EF61E1">
        <w:rPr>
          <w:rFonts w:ascii="Palatino Linotype" w:hAnsi="Palatino Linotype"/>
          <w:color w:val="000000"/>
          <w:sz w:val="22"/>
          <w:szCs w:val="22"/>
        </w:rPr>
        <w:t>terör</w:t>
      </w:r>
      <w:r w:rsidR="00073776">
        <w:rPr>
          <w:rFonts w:ascii="Palatino Linotype" w:hAnsi="Palatino Linotype"/>
          <w:color w:val="000000"/>
          <w:sz w:val="22"/>
          <w:szCs w:val="22"/>
        </w:rPr>
        <w:t xml:space="preserve"> örgüt</w:t>
      </w:r>
      <w:r w:rsidRPr="00EF61E1">
        <w:rPr>
          <w:rFonts w:ascii="Palatino Linotype" w:hAnsi="Palatino Linotype"/>
          <w:color w:val="000000"/>
          <w:sz w:val="22"/>
          <w:szCs w:val="22"/>
        </w:rPr>
        <w:t>ü</w:t>
      </w:r>
      <w:r w:rsidR="00073776">
        <w:rPr>
          <w:rFonts w:ascii="Palatino Linotype" w:hAnsi="Palatino Linotype"/>
          <w:color w:val="000000"/>
          <w:sz w:val="22"/>
          <w:szCs w:val="22"/>
        </w:rPr>
        <w:t>’’</w:t>
      </w:r>
      <w:r w:rsidRPr="00EF61E1">
        <w:rPr>
          <w:rFonts w:ascii="Palatino Linotype" w:hAnsi="Palatino Linotype"/>
          <w:color w:val="000000"/>
          <w:sz w:val="22"/>
          <w:szCs w:val="22"/>
        </w:rPr>
        <w:t xml:space="preserve"> niteliğinde olduğunun vatandaşlar tarafından öngörülebilmesi imkansızdır. </w:t>
      </w:r>
      <w:r w:rsidRPr="00EF61E1">
        <w:rPr>
          <w:rFonts w:ascii="Palatino Linotype" w:hAnsi="Palatino Linotype"/>
          <w:color w:val="000000"/>
          <w:sz w:val="22"/>
          <w:szCs w:val="22"/>
        </w:rPr>
        <w:lastRenderedPageBreak/>
        <w:t>Müvekkilin kurduğu temas, hukuki çerçevede işlevsel, hiyerarşik veya şiddet amaçlı stratejik bir nitelik taşımamaktadır.</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Müvekkile atfedilen </w:t>
      </w:r>
      <w:r w:rsidRPr="00AF7557">
        <w:rPr>
          <w:rFonts w:ascii="Palatino Linotype" w:hAnsi="Palatino Linotype"/>
          <w:bCs/>
          <w:sz w:val="22"/>
          <w:highlight w:val="yellow"/>
        </w:rPr>
        <w:t>banka hesabı, dernek ve sendika üyeliği, eğitim kurumlarıyla kurulan ilişki</w:t>
      </w:r>
      <w:r w:rsidRPr="00AF7557">
        <w:rPr>
          <w:rFonts w:ascii="Palatino Linotype" w:hAnsi="Palatino Linotype"/>
          <w:bCs/>
          <w:sz w:val="22"/>
        </w:rPr>
        <w:t xml:space="preserve"> gibi olguların hukuki niteliği bakımından da mütalaada belirleyici tespitler yer almaktadır. Buna göre AİHM, bu eylemlerin gerçekleştirildikleri tarihte “yasallık karinesinden yararlanan görünüşte yasal eylemler” olduğunu; sendika ve dernek üyelikleri bakımından öne sürülen iddianın ise Sözleşme çerçevesindeki hakların kullanımıyla ilgili bulunduğunu belirtmiş; yerel mahkemelerin bu eylemlerin silahlı terör örgütüne üye olma suçu kapsamında değerlendirilmesi hususunda anlamlı bir tartışma yapmadığını kaydetmiştir (Mütalaa, s. 34).</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bu hususta AİHM’in Çakar ve diğerleri/Türkiye ile Yaman ve diğerleri/Türkiye kararlarına da atıf yapılarak, yasal yayınlarına abone olmak, hukuka uygun şekilde faaliyet gösteren okullara çocukları kaydettirmek ve ilgili bankada hesap bulundurmak gibi eylemlerin “yalnızca dolaylı nitelikte” olduğu, ek deliller bulunmadıkça isnat edilen suçun işlendiğine dair makul bir şüphe dahi doğuramayacağı ve bu eylemlerin hukuka uygunluk karinesinden yararlandığı vurgulanmıştır. Mütalaanın isabetle belirttiği üzere, “tutuklama için gereken şüphe düzeyini karşılamayan bir delilin hüküm için de yetmeyeceği açıktır.” (Mütalaa, s. 50-51).</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Nitekim mütalaada, Anayasa Mahkemesi’nin M.G. ve Hüda Kaya kararlarına atıfla; içeriği belli olmayan görüşme verilerinin, detaylandırılmamış HTS kayıtlarının, öğrencilik yıllarında cemaate ait evlerde kalmanın veya sohbetlere katılmanın, kapatılan sendikaya üyeliğin ve banka hesabı bulundurmanın, örgütsel talimatla gerçekleştiği ortaya konulmadıkça kuvvetli suç belirtisi oluşturmayacağı da kaydedilmiştir (Mütalaa, s. 51-52).</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Mütalaada ayrıca, ByLock ile diğer deliller arasında hukuki nitelik ve ispat gücü bakımından bir fark bulunmadığı; ağırlıklı delilin ByLock olması veya yan delillerle desteklenmesinin, suçun unsurları yerine ikame edilen kriterlerle cezalandırma yapıldığı gerçeğini değiştirmediği vurgulanmıştır. </w:t>
      </w:r>
      <w:r w:rsidR="00073776">
        <w:rPr>
          <w:rFonts w:ascii="Palatino Linotype" w:hAnsi="Palatino Linotype"/>
          <w:bCs/>
          <w:sz w:val="22"/>
        </w:rPr>
        <w:t>Kişinin, o yapının iddia edilen</w:t>
      </w:r>
      <w:r w:rsidRPr="00AF7557">
        <w:rPr>
          <w:rFonts w:ascii="Palatino Linotype" w:hAnsi="Palatino Linotype"/>
          <w:bCs/>
          <w:sz w:val="22"/>
        </w:rPr>
        <w:t xml:space="preserve"> nihai cebir ve şiddet içeren amacını bildiği ve benimsediği bağımsız olgularla kanıtlanmadıkça, bu nitelikteki kriterlerin kitlesel bir kümeleme mantığıyla “tamamlayıcı delil” adı altında cezalandırmaya gerekçe yapılması, AİHS m. 7’nin ihlaliyle malul olan toptancı yaklaşımın farklı bir kılıf altında yeniden üretilmesinden ibarettir (Mütalaa, s. 50).</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i/>
          <w:iCs/>
          <w:color w:val="000000"/>
          <w:sz w:val="22"/>
          <w:szCs w:val="22"/>
        </w:rPr>
        <w:t>Yalçınkaya</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ve</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Yasak</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Büyük Daire kararları birbirinden bağımsız kararlar değil, yargı sistemimizdeki aynı yapısal sorunun birbirini tamamlayan iki farklı görünümüne aittir ve birlikte uygulanmak zorundadır.</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Yalçınkaya</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kararı otomatik mahkûmiyet, öngörülebilirlik, kanunilik ve delillerin bireyselleştirilmeden kullanılmasının hukuka aykırılığını tespit etmişken;</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Yasak</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kararı sorunu daha da temele indirerek kişinin yapının şiddet içeren amaçlarını bilip bilmediğinin (manevi unsurun) mutlaka bireysel olarak ispat edilmesi gerektiğini şart koşmuştur. 15 Temmuz öncesi yasal veya görünür faaliyetlerin, sonradan geriye yürütülerek terör örgütü deliline dönüştürülmesi ve kişinin terör kastı ispatlanmadan cezalandırma yoluna gidilmesi evrensel hukuka aykırıdır.</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anılan AİHM kararlarının hukuki niteliği de ayrıca değerlendirilmiş ve bu kararların “yarı-pilot” (quasi-pilot) nitelikte, diğer bir ifadeyle “madde 46 kararları” olduğu; yapısal veya sistemik sorunları tespit eden bu tür kararlar bakımından bağlayıcılığın aynen geçerli bulunduğu belirtilmiştir (Mütalaa, s. 43-44).</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Mütalaada, dosyası hâlen derece mahkemeleri önünde bulunan kişiler bakımından “sözcüğün tam anlamıyla dikkate alma yükümlülüğü”nün söz konusu olduğu; Anayasa m. 90/5 hükmünün bir zımnî ilga kuralı olup temel hak ve özgürlüklere ilişkin sözleşme hükümleriyle çatışan kanun hükümlerinin uygulanma kabiliyetini ortadan kaldırdığı; Anayasa </w:t>
      </w:r>
      <w:r w:rsidRPr="00AF7557">
        <w:rPr>
          <w:rFonts w:ascii="Palatino Linotype" w:hAnsi="Palatino Linotype"/>
          <w:bCs/>
          <w:sz w:val="22"/>
        </w:rPr>
        <w:lastRenderedPageBreak/>
        <w:t>Mahkemesi’nin de AİHM kararlarına uymamanın aynı zamanda Anayasa’nın ihlali anlamına geldiğini kabul ettiği ifade edilmiştir (Mütalaa, s. 46). İşbu dosya da tam olarak bu kapsamda olup, Sayın Mahkemenizin anılan kararları re’sen dikkate alma yükümlülüğü bulunmaktadır.</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ayrıca, AİHM’in sistematik ve yapısal sorun saptadığı kararların yalnızca davadaki münferit başvuranla sınırlı kalmayan objektif bir etkiye (erga omnes) sahip olduğu; Türk yargısının, henüz münferit bir ihlal kararı almamış ancak aynı hukuki nitelendirme hatasıyla malul olan on binlerce benzer derdest veya kesinleşmiş dosyada da Yalçınkaya ve Yasak standartlarını re’sen uygulamakla yükümlü bulunduğu belirtilmiştir (Mütalaa, s. 70).</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Bu bağlamda mütalaada, Anayasa Mahkemesi’nin kendi kararlarında benimsediği “objektif etki” görüşüne de yer verilmiş; kamu gücünü kullanan organların, ihlalin saptandığı andan itibaren Mahkemenin benzer davalarda ihlal tespitlerini yinelemesine gerek kalmadan gerekli tedbirleri almakla yükümlü olduğu, yapısal bir sorun tespit edilmişse kararın objektif etkisinin çok daha kuvvetli olduğunun kabul edilmesi gerektiği; aksi hâlde aynı hukuksal durumda bulunan kişilerden yalnızca bir kısmının hukuki korunmadan yararlanacağı ve bunun anayasanın üstünlüğü ile hukuk devleti ilkesine aykırı düşeceği vurgulanmıştır (Mütalaa, s. 46-47).</w:t>
      </w:r>
    </w:p>
    <w:p w:rsidR="006142B8" w:rsidRPr="00EF61E1" w:rsidRDefault="006142B8" w:rsidP="00731EBC">
      <w:pPr>
        <w:pStyle w:val="NormalWeb"/>
        <w:numPr>
          <w:ilvl w:val="0"/>
          <w:numId w:val="1"/>
        </w:numPr>
        <w:ind w:left="0" w:firstLine="0"/>
        <w:jc w:val="both"/>
        <w:rPr>
          <w:rFonts w:ascii="Palatino Linotype" w:hAnsi="Palatino Linotype"/>
          <w:color w:val="000000"/>
          <w:sz w:val="22"/>
          <w:szCs w:val="22"/>
        </w:rPr>
      </w:pPr>
      <w:r w:rsidRPr="00EF61E1">
        <w:rPr>
          <w:rFonts w:ascii="Palatino Linotype" w:hAnsi="Palatino Linotype"/>
          <w:color w:val="000000"/>
          <w:sz w:val="22"/>
          <w:szCs w:val="22"/>
        </w:rPr>
        <w:t xml:space="preserve">Tüm bu hukuki ve fiili gerçekler muvacehesinde; müvekkilin </w:t>
      </w:r>
      <w:r>
        <w:rPr>
          <w:rFonts w:ascii="Palatino Linotype" w:hAnsi="Palatino Linotype"/>
          <w:color w:val="000000"/>
          <w:sz w:val="22"/>
          <w:szCs w:val="22"/>
        </w:rPr>
        <w:t>dava</w:t>
      </w:r>
      <w:r w:rsidRPr="00EF61E1">
        <w:rPr>
          <w:rFonts w:ascii="Palatino Linotype" w:hAnsi="Palatino Linotype"/>
          <w:color w:val="000000"/>
          <w:sz w:val="22"/>
          <w:szCs w:val="22"/>
        </w:rPr>
        <w:t xml:space="preserve"> dosyasına yansıyan, esasen devletin izni ve bilgisi dahilinde gerçekleşen rutin, sosyal, yasal ve sivil nitelikteki eylemlerinden hareketle TCK md. 314/2 anlamında "silahlı terör örgütüne üye olma" kastı çıkarılamaz. Failin fiili işlediği sıradaki kastı, sonradan yaşanan olaylara ve yapının sonradan kazandığı terör örgütü statüsüne bakılarak geriye dönük olarak var sayılamaz. Müvekkilin hiçbir şiddet eylemine karışmadığı, </w:t>
      </w:r>
      <w:r w:rsidR="00073776">
        <w:rPr>
          <w:rFonts w:ascii="Palatino Linotype" w:hAnsi="Palatino Linotype"/>
          <w:color w:val="000000"/>
          <w:sz w:val="22"/>
          <w:szCs w:val="22"/>
        </w:rPr>
        <w:t>yapının</w:t>
      </w:r>
      <w:r w:rsidRPr="00EF61E1">
        <w:rPr>
          <w:rFonts w:ascii="Palatino Linotype" w:hAnsi="Palatino Linotype"/>
          <w:color w:val="000000"/>
          <w:sz w:val="22"/>
          <w:szCs w:val="22"/>
        </w:rPr>
        <w:t xml:space="preserve"> stratejik </w:t>
      </w:r>
      <w:r>
        <w:rPr>
          <w:rFonts w:ascii="Palatino Linotype" w:hAnsi="Palatino Linotype"/>
          <w:color w:val="000000"/>
          <w:sz w:val="22"/>
          <w:szCs w:val="22"/>
        </w:rPr>
        <w:t xml:space="preserve">veya merkezi </w:t>
      </w:r>
      <w:r w:rsidRPr="00EF61E1">
        <w:rPr>
          <w:rFonts w:ascii="Palatino Linotype" w:hAnsi="Palatino Linotype"/>
          <w:color w:val="000000"/>
          <w:sz w:val="22"/>
          <w:szCs w:val="22"/>
        </w:rPr>
        <w:t xml:space="preserve">yapısıyla hiçbir hiyerarşik bağının bulunmadığı ve suç işleme kastıyla hareket etmediği açık olduğundan, </w:t>
      </w:r>
      <w:r>
        <w:rPr>
          <w:rFonts w:ascii="Palatino Linotype" w:hAnsi="Palatino Linotype"/>
          <w:color w:val="000000"/>
          <w:sz w:val="22"/>
          <w:szCs w:val="22"/>
        </w:rPr>
        <w:t>Sayın Mahkemenizce</w:t>
      </w:r>
      <w:r w:rsidRPr="00EF61E1">
        <w:rPr>
          <w:rFonts w:ascii="Palatino Linotype" w:hAnsi="Palatino Linotype"/>
          <w:color w:val="000000"/>
          <w:sz w:val="22"/>
          <w:szCs w:val="22"/>
        </w:rPr>
        <w:t xml:space="preserve"> varsayımlara ve kolektif suçluluk algısına dayalı bir cezalandırma yoluna gidilmemesi hukukun ve hakkaniyetin gereğidir.</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Mütalaada, derece mahkemelerinin uluslararası ihlal kararlarına yalnızca şeklen uyup kararların gerekçesini salt biçimsel bir revizyona tabi tutmasının ya da suç vasfını değiştirmek suretiyle AİHM içtihadını göz ardı etmekte ısrar etmesinin “özde bir direnme” anlamına geleceği; bu durumun mağduriyetleri kronikleştirdiği gibi Türk yargı mekanizmalarını da sürdürülemez bir iş yükü altında bıraktığı belirtilmiştir (Mütalaa, s. 70).</w:t>
      </w:r>
    </w:p>
    <w:p w:rsidR="006142B8" w:rsidRPr="00AF7557" w:rsidRDefault="006142B8" w:rsidP="00731EBC">
      <w:pPr>
        <w:pStyle w:val="NormalWeb"/>
        <w:numPr>
          <w:ilvl w:val="0"/>
          <w:numId w:val="1"/>
        </w:numPr>
        <w:ind w:left="0" w:firstLine="0"/>
        <w:jc w:val="both"/>
        <w:rPr>
          <w:rFonts w:ascii="Palatino Linotype" w:hAnsi="Palatino Linotype"/>
          <w:bCs/>
          <w:color w:val="000000"/>
          <w:sz w:val="22"/>
          <w:szCs w:val="22"/>
        </w:rPr>
      </w:pPr>
      <w:r w:rsidRPr="00AF7557">
        <w:rPr>
          <w:rFonts w:ascii="Palatino Linotype" w:hAnsi="Palatino Linotype"/>
          <w:bCs/>
          <w:sz w:val="22"/>
        </w:rPr>
        <w:t xml:space="preserve">Mütalaanın vardığı nihai sonuç </w:t>
      </w:r>
      <w:r w:rsidR="006048D1" w:rsidRPr="00AF7557">
        <w:rPr>
          <w:rFonts w:ascii="Palatino Linotype" w:hAnsi="Palatino Linotype"/>
          <w:bCs/>
          <w:sz w:val="22"/>
        </w:rPr>
        <w:t>da</w:t>
      </w:r>
      <w:r w:rsidRPr="00AF7557">
        <w:rPr>
          <w:rFonts w:ascii="Palatino Linotype" w:hAnsi="Palatino Linotype"/>
          <w:bCs/>
          <w:sz w:val="22"/>
        </w:rPr>
        <w:t xml:space="preserve"> açıktır</w:t>
      </w:r>
      <w:r w:rsidR="006048D1" w:rsidRPr="00AF7557">
        <w:rPr>
          <w:rFonts w:ascii="Palatino Linotype" w:hAnsi="Palatino Linotype"/>
          <w:bCs/>
          <w:sz w:val="22"/>
        </w:rPr>
        <w:t xml:space="preserve"> ve</w:t>
      </w:r>
      <w:r w:rsidRPr="00AF7557">
        <w:rPr>
          <w:rFonts w:ascii="Palatino Linotype" w:hAnsi="Palatino Linotype"/>
          <w:bCs/>
          <w:sz w:val="22"/>
        </w:rPr>
        <w:t xml:space="preserve"> ByLock ve yukarıda sayılan diğer delillere dayalı isnatların bulunduğu tüm vakalarda, konunun basit bir biçimsel usul olarak görülmeyip esastan incelenmesi ve beraat kararı verilmesi gerekmektedir. Zira anılan delillerin manipülasyona açık niteliği ve seçici/tutarsız uygulaması, bu delillerden türetilecek çıkarımları da kuşkulu hâle getirmekte olup, şüpheden sanık yararlanır (in dubio pro reo) ilkesi gereğince bu dava kümelerindeki mahkûmiyetler açısından “beraat” kararı kaçınılmaz görünmektedir (Mütalaa, s. 62).</w:t>
      </w:r>
    </w:p>
    <w:p w:rsidR="006142B8" w:rsidRPr="00EF61E1" w:rsidRDefault="006142B8" w:rsidP="00731EBC">
      <w:pPr>
        <w:pStyle w:val="NormalWeb"/>
        <w:jc w:val="both"/>
        <w:rPr>
          <w:rFonts w:ascii="Palatino Linotype" w:hAnsi="Palatino Linotype"/>
          <w:color w:val="000000"/>
          <w:sz w:val="22"/>
          <w:szCs w:val="22"/>
        </w:rPr>
      </w:pPr>
      <w:r w:rsidRPr="00EF61E1">
        <w:rPr>
          <w:rFonts w:ascii="Palatino Linotype" w:hAnsi="Palatino Linotype"/>
          <w:b/>
          <w:bCs/>
          <w:color w:val="000000"/>
          <w:sz w:val="22"/>
          <w:szCs w:val="22"/>
        </w:rPr>
        <w:t>SONUÇ VE İSTEM:</w:t>
      </w:r>
    </w:p>
    <w:p w:rsidR="006142B8" w:rsidRPr="00EF61E1" w:rsidRDefault="006142B8" w:rsidP="00731EBC">
      <w:pPr>
        <w:pStyle w:val="NormalWeb"/>
        <w:jc w:val="both"/>
        <w:rPr>
          <w:rFonts w:ascii="Palatino Linotype" w:hAnsi="Palatino Linotype"/>
          <w:color w:val="000000"/>
          <w:sz w:val="22"/>
          <w:szCs w:val="22"/>
        </w:rPr>
      </w:pPr>
      <w:r w:rsidRPr="00EF61E1">
        <w:rPr>
          <w:rFonts w:ascii="Palatino Linotype" w:hAnsi="Palatino Linotype"/>
          <w:color w:val="000000"/>
          <w:sz w:val="22"/>
          <w:szCs w:val="22"/>
        </w:rPr>
        <w:t>Yukarıda arz ve izah edilen ve re'sen nazara alınacak nedenlerle;</w:t>
      </w:r>
    </w:p>
    <w:p w:rsidR="006142B8" w:rsidRPr="006142B8" w:rsidRDefault="006142B8" w:rsidP="00731EBC">
      <w:pPr>
        <w:pStyle w:val="NormalWeb"/>
        <w:jc w:val="both"/>
        <w:rPr>
          <w:rFonts w:ascii="Palatino Linotype" w:hAnsi="Palatino Linotype"/>
          <w:color w:val="000000"/>
        </w:rPr>
      </w:pPr>
      <w:r w:rsidRPr="00EF61E1">
        <w:rPr>
          <w:rFonts w:ascii="Palatino Linotype" w:hAnsi="Palatino Linotype"/>
          <w:color w:val="000000"/>
          <w:sz w:val="22"/>
          <w:szCs w:val="22"/>
        </w:rPr>
        <w:t>Anayasa'nın 90. maddesi uyarınca iç hukukumuzun bir parçası olan ve bağlayıcılığı tartışmasız olan Avrupa İnsan Hakları Mahkemesi Büyük Dairesi'nin</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Yasak v. Türkiye</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ve</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i/>
          <w:iCs/>
          <w:color w:val="000000"/>
          <w:sz w:val="22"/>
          <w:szCs w:val="22"/>
        </w:rPr>
        <w:t>Yalçınkaya v. Türkiye</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color w:val="000000"/>
          <w:sz w:val="22"/>
          <w:szCs w:val="22"/>
        </w:rPr>
        <w:t xml:space="preserve">kararlarında ortaya konulan evrensel hukuk standartları ışığında; müvekkile atfedilen 15 Temmuz öncesine ait yasal eylemlerin suçun "manevi unsurunu (kasıt)" hiçbir şekilde ihtiva etmediği, fiillerin işlendiği o dönem itibarıyla yapının şiddet ve terör amacının müvekkil </w:t>
      </w:r>
      <w:r w:rsidRPr="00EF61E1">
        <w:rPr>
          <w:rFonts w:ascii="Palatino Linotype" w:hAnsi="Palatino Linotype"/>
          <w:color w:val="000000"/>
          <w:sz w:val="22"/>
          <w:szCs w:val="22"/>
        </w:rPr>
        <w:lastRenderedPageBreak/>
        <w:t xml:space="preserve">tarafından bilinmesinin hukuken ve fiilen mümkün olmadığı, varsayıma veya aidiyete dayalı kolektif cezalandırma yapılamayacağı hususları ve </w:t>
      </w:r>
      <w:r w:rsidRPr="006142B8">
        <w:rPr>
          <w:rFonts w:ascii="Palatino Linotype" w:hAnsi="Palatino Linotype"/>
          <w:color w:val="000000"/>
        </w:rPr>
        <w:t>şüpheden sanık yararlanır evrensel ilkesi gözetilerek;</w:t>
      </w:r>
    </w:p>
    <w:p w:rsidR="006142B8" w:rsidRPr="00AF7557" w:rsidRDefault="006142B8" w:rsidP="00731EBC">
      <w:pPr>
        <w:pStyle w:val="NormalWeb"/>
        <w:jc w:val="both"/>
        <w:rPr>
          <w:rFonts w:ascii="Palatino Linotype" w:hAnsi="Palatino Linotype"/>
          <w:bCs/>
          <w:color w:val="000000"/>
        </w:rPr>
      </w:pPr>
      <w:r w:rsidRPr="00AF7557">
        <w:rPr>
          <w:rFonts w:ascii="Palatino Linotype" w:hAnsi="Palatino Linotype"/>
          <w:bCs/>
          <w:sz w:val="22"/>
        </w:rPr>
        <w:t>Ayrıca; Prof. Dr. Adem SÖZÜER, Prof. Dr. İzzet ÖZGENÇ, Prof. Dr. Faruk TURHAN, Prof. Dr. Cumhur ŞAHİN ve Prof. Dr. Tolga ŞİRİN tarafından hazırlanan hukukî mütalaada ortaya konulduğu üzere; örgüt üyeliği suçunun ancak doğrudan kastla işlenebileceği, suç işlemek amacından habersiz kişilerin bu suçtan sorumlu tutulamayacağı, kanunda sayılan statüler dışında “sempatizan” veya “irtibatlı” gibi kavramlara dayalı bir sorumluluk biçiminin bulunmadığı ve 15 Temmuz 2016 tarihli darbe teşebbüsü öncesinde herhangi somut bir suça iştirak etmemiş kişilerin salt hayrî mülahazalarla gerçekleştirdikleri faaliyetler sebebiyle terör örgütü üyesi sayılmalarının hukuken mümkün olmadığı hususları da gözetilerek (Mütalaa, s. 3, 7, 66);</w:t>
      </w:r>
    </w:p>
    <w:p w:rsidR="006142B8" w:rsidRPr="006142B8" w:rsidRDefault="006142B8" w:rsidP="00731EBC">
      <w:pPr>
        <w:pStyle w:val="NormalWeb"/>
        <w:jc w:val="both"/>
        <w:rPr>
          <w:color w:val="000000"/>
        </w:rPr>
      </w:pPr>
      <w:r w:rsidRPr="006142B8">
        <w:rPr>
          <w:rFonts w:ascii="Palatino Linotype" w:hAnsi="Palatino Linotype"/>
          <w:color w:val="000000"/>
        </w:rPr>
        <w:t>Üzerine atılı "</w:t>
      </w:r>
      <w:r w:rsidR="008663BE">
        <w:rPr>
          <w:rFonts w:ascii="Palatino Linotype" w:hAnsi="Palatino Linotype"/>
          <w:color w:val="000000"/>
        </w:rPr>
        <w:t>s</w:t>
      </w:r>
      <w:r w:rsidRPr="006142B8">
        <w:rPr>
          <w:rFonts w:ascii="Palatino Linotype" w:hAnsi="Palatino Linotype"/>
          <w:color w:val="000000"/>
        </w:rPr>
        <w:t xml:space="preserve">ilahlı </w:t>
      </w:r>
      <w:r w:rsidR="008663BE">
        <w:rPr>
          <w:rFonts w:ascii="Palatino Linotype" w:hAnsi="Palatino Linotype"/>
          <w:color w:val="000000"/>
        </w:rPr>
        <w:t>s</w:t>
      </w:r>
      <w:r w:rsidRPr="006142B8">
        <w:rPr>
          <w:rFonts w:ascii="Palatino Linotype" w:hAnsi="Palatino Linotype"/>
          <w:color w:val="000000"/>
        </w:rPr>
        <w:t xml:space="preserve">erör </w:t>
      </w:r>
      <w:r w:rsidR="008663BE">
        <w:rPr>
          <w:rFonts w:ascii="Palatino Linotype" w:hAnsi="Palatino Linotype"/>
          <w:color w:val="000000"/>
        </w:rPr>
        <w:t>ö</w:t>
      </w:r>
      <w:r w:rsidRPr="006142B8">
        <w:rPr>
          <w:rFonts w:ascii="Palatino Linotype" w:hAnsi="Palatino Linotype"/>
          <w:color w:val="000000"/>
        </w:rPr>
        <w:t xml:space="preserve">rgütü </w:t>
      </w:r>
      <w:r w:rsidR="008663BE">
        <w:rPr>
          <w:rFonts w:ascii="Palatino Linotype" w:hAnsi="Palatino Linotype"/>
          <w:color w:val="000000"/>
        </w:rPr>
        <w:t>ü</w:t>
      </w:r>
      <w:r w:rsidRPr="006142B8">
        <w:rPr>
          <w:rFonts w:ascii="Palatino Linotype" w:hAnsi="Palatino Linotype"/>
          <w:color w:val="000000"/>
        </w:rPr>
        <w:t>yeliği" suçunun yasal unsurları oluşmayan müvekkilin</w:t>
      </w:r>
      <w:r w:rsidRPr="006142B8">
        <w:rPr>
          <w:rStyle w:val="apple-converted-space"/>
          <w:rFonts w:ascii="Palatino Linotype" w:eastAsiaTheme="majorEastAsia" w:hAnsi="Palatino Linotype"/>
          <w:color w:val="000000"/>
        </w:rPr>
        <w:t> </w:t>
      </w:r>
      <w:r w:rsidRPr="006142B8">
        <w:rPr>
          <w:rFonts w:ascii="Palatino Linotype" w:hAnsi="Palatino Linotype"/>
          <w:b/>
          <w:bCs/>
          <w:color w:val="000000"/>
        </w:rPr>
        <w:t>BERAATİNE karar</w:t>
      </w:r>
      <w:r>
        <w:rPr>
          <w:rFonts w:ascii="Palatino Linotype" w:hAnsi="Palatino Linotype"/>
          <w:b/>
          <w:bCs/>
          <w:color w:val="000000"/>
        </w:rPr>
        <w:t xml:space="preserve"> </w:t>
      </w:r>
      <w:r w:rsidRPr="006142B8">
        <w:rPr>
          <w:rFonts w:ascii="Palatino Linotype" w:hAnsi="Palatino Linotype"/>
          <w:color w:val="000000"/>
        </w:rPr>
        <w:t>verilmesi, saygılarım</w:t>
      </w:r>
      <w:r>
        <w:rPr>
          <w:rFonts w:ascii="Palatino Linotype" w:hAnsi="Palatino Linotype"/>
          <w:color w:val="000000"/>
        </w:rPr>
        <w:t>ızla</w:t>
      </w:r>
      <w:r w:rsidRPr="006142B8">
        <w:rPr>
          <w:rFonts w:ascii="Palatino Linotype" w:hAnsi="Palatino Linotype"/>
          <w:color w:val="000000"/>
        </w:rPr>
        <w:t xml:space="preserve"> vekâleten talep </w:t>
      </w:r>
      <w:r>
        <w:rPr>
          <w:rFonts w:ascii="Palatino Linotype" w:hAnsi="Palatino Linotype"/>
          <w:color w:val="000000"/>
        </w:rPr>
        <w:t>olunur</w:t>
      </w:r>
      <w:r w:rsidRPr="006142B8">
        <w:rPr>
          <w:rFonts w:ascii="Palatino Linotype" w:hAnsi="Palatino Linotype"/>
          <w:color w:val="000000"/>
        </w:rPr>
        <w:t>.</w:t>
      </w:r>
      <w:r w:rsidRPr="00586ED5">
        <w:rPr>
          <w:rFonts w:ascii="Palatino Linotype" w:hAnsi="Palatino Linotype"/>
          <w:color w:val="000000"/>
          <w:sz w:val="22"/>
          <w:szCs w:val="22"/>
        </w:rPr>
        <w:t xml:space="preserve"> </w:t>
      </w:r>
      <w:r w:rsidRPr="00586ED5">
        <w:rPr>
          <w:rFonts w:ascii="Palatino Linotype" w:hAnsi="Palatino Linotype"/>
          <w:color w:val="000000"/>
          <w:sz w:val="22"/>
          <w:szCs w:val="22"/>
          <w:highlight w:val="yellow"/>
        </w:rPr>
        <w:t>…/…./2026</w:t>
      </w:r>
    </w:p>
    <w:p w:rsidR="006142B8" w:rsidRDefault="006142B8" w:rsidP="00731EBC">
      <w:pPr>
        <w:pStyle w:val="NormalWeb"/>
        <w:jc w:val="both"/>
        <w:rPr>
          <w:rFonts w:ascii="Palatino Linotype" w:hAnsi="Palatino Linotype"/>
          <w:b/>
          <w:bCs/>
          <w:color w:val="000000"/>
          <w:sz w:val="22"/>
          <w:szCs w:val="22"/>
        </w:rPr>
      </w:pPr>
    </w:p>
    <w:p w:rsidR="006142B8" w:rsidRDefault="006142B8" w:rsidP="00731EBC">
      <w:pPr>
        <w:pStyle w:val="NormalWeb"/>
        <w:jc w:val="both"/>
        <w:rPr>
          <w:rFonts w:ascii="Palatino Linotype" w:hAnsi="Palatino Linotype"/>
          <w:b/>
          <w:bCs/>
          <w:color w:val="000000"/>
          <w:sz w:val="22"/>
          <w:szCs w:val="22"/>
        </w:rPr>
      </w:pPr>
    </w:p>
    <w:p w:rsidR="006142B8" w:rsidRDefault="006142B8" w:rsidP="00731EBC">
      <w:pPr>
        <w:pStyle w:val="NormalWeb"/>
        <w:jc w:val="both"/>
        <w:rPr>
          <w:rStyle w:val="apple-converted-space"/>
          <w:rFonts w:ascii="Palatino Linotype" w:eastAsiaTheme="majorEastAsia" w:hAnsi="Palatino Linotype"/>
          <w:color w:val="000000"/>
          <w:sz w:val="22"/>
          <w:szCs w:val="22"/>
        </w:rPr>
      </w:pPr>
      <w:r>
        <w:rPr>
          <w:rFonts w:ascii="Palatino Linotype" w:hAnsi="Palatino Linotype"/>
          <w:b/>
          <w:bCs/>
          <w:color w:val="000000"/>
          <w:sz w:val="22"/>
          <w:szCs w:val="22"/>
        </w:rPr>
        <w:t xml:space="preserve">        </w:t>
      </w:r>
      <w:r w:rsidRPr="00EF61E1">
        <w:rPr>
          <w:rFonts w:ascii="Palatino Linotype" w:hAnsi="Palatino Linotype"/>
          <w:b/>
          <w:bCs/>
          <w:color w:val="000000"/>
          <w:sz w:val="22"/>
          <w:szCs w:val="22"/>
        </w:rPr>
        <w:t>Şüpheli Müdafii</w:t>
      </w:r>
      <w:r w:rsidRPr="00EF61E1">
        <w:rPr>
          <w:rStyle w:val="apple-converted-space"/>
          <w:rFonts w:ascii="Palatino Linotype" w:eastAsiaTheme="majorEastAsia" w:hAnsi="Palatino Linotype"/>
          <w:color w:val="000000"/>
          <w:sz w:val="22"/>
          <w:szCs w:val="22"/>
        </w:rPr>
        <w:t> </w:t>
      </w:r>
      <w:r w:rsidRPr="00EF61E1">
        <w:rPr>
          <w:rFonts w:ascii="Palatino Linotype" w:hAnsi="Palatino Linotype"/>
          <w:b/>
          <w:bCs/>
          <w:color w:val="000000"/>
          <w:sz w:val="22"/>
          <w:szCs w:val="22"/>
        </w:rPr>
        <w:t>Av. [İsim Soyisim]</w:t>
      </w:r>
      <w:r w:rsidRPr="00EF61E1">
        <w:rPr>
          <w:rStyle w:val="apple-converted-space"/>
          <w:rFonts w:ascii="Palatino Linotype" w:eastAsiaTheme="majorEastAsia" w:hAnsi="Palatino Linotype"/>
          <w:color w:val="000000"/>
          <w:sz w:val="22"/>
          <w:szCs w:val="22"/>
        </w:rPr>
        <w:t> </w:t>
      </w:r>
    </w:p>
    <w:p w:rsidR="006142B8" w:rsidRDefault="006142B8" w:rsidP="00731EBC">
      <w:pPr>
        <w:pStyle w:val="NormalWeb"/>
        <w:jc w:val="both"/>
        <w:rPr>
          <w:rFonts w:ascii="Palatino Linotype" w:eastAsiaTheme="majorEastAsia" w:hAnsi="Palatino Linotype"/>
          <w:color w:val="000000"/>
          <w:sz w:val="22"/>
          <w:szCs w:val="22"/>
        </w:rPr>
      </w:pPr>
    </w:p>
    <w:p w:rsidR="006142B8" w:rsidRPr="00586ED5" w:rsidRDefault="006142B8" w:rsidP="00731EBC">
      <w:pPr>
        <w:pStyle w:val="NormalWeb"/>
        <w:jc w:val="both"/>
        <w:rPr>
          <w:rFonts w:ascii="Palatino Linotype" w:eastAsiaTheme="majorEastAsia" w:hAnsi="Palatino Linotype"/>
          <w:b/>
          <w:bCs/>
          <w:color w:val="000000"/>
          <w:sz w:val="22"/>
          <w:szCs w:val="22"/>
        </w:rPr>
      </w:pPr>
      <w:r w:rsidRPr="00586ED5">
        <w:rPr>
          <w:rFonts w:ascii="Palatino Linotype" w:eastAsiaTheme="majorEastAsia" w:hAnsi="Palatino Linotype"/>
          <w:b/>
          <w:bCs/>
          <w:color w:val="000000"/>
          <w:sz w:val="22"/>
          <w:szCs w:val="22"/>
        </w:rPr>
        <w:t xml:space="preserve">EK:  </w:t>
      </w:r>
    </w:p>
    <w:p w:rsidR="006B4A68" w:rsidRDefault="006142B8" w:rsidP="00731EBC">
      <w:pPr>
        <w:pStyle w:val="NormalWeb"/>
        <w:numPr>
          <w:ilvl w:val="0"/>
          <w:numId w:val="2"/>
        </w:numPr>
        <w:jc w:val="both"/>
      </w:pPr>
      <w:r w:rsidRPr="00586ED5">
        <w:rPr>
          <w:rFonts w:ascii="Palatino Linotype" w:eastAsiaTheme="majorEastAsia" w:hAnsi="Palatino Linotype"/>
          <w:color w:val="000000"/>
          <w:sz w:val="22"/>
          <w:szCs w:val="22"/>
        </w:rPr>
        <w:t>AİHM Yasak/Türkiye Büyük Daire Kararı</w:t>
      </w:r>
      <w:r>
        <w:rPr>
          <w:rFonts w:ascii="Palatino Linotype" w:eastAsiaTheme="majorEastAsia" w:hAnsi="Palatino Linotype"/>
          <w:color w:val="000000"/>
          <w:sz w:val="22"/>
          <w:szCs w:val="22"/>
        </w:rPr>
        <w:t>nın Türkçe Çevirisi</w:t>
      </w:r>
    </w:p>
    <w:p w:rsidR="00731EBC" w:rsidRPr="00AF7557" w:rsidRDefault="006142B8" w:rsidP="00731EBC">
      <w:pPr>
        <w:pStyle w:val="NormalWeb"/>
        <w:numPr>
          <w:ilvl w:val="0"/>
          <w:numId w:val="2"/>
        </w:numPr>
        <w:jc w:val="both"/>
        <w:rPr>
          <w:bCs/>
        </w:rPr>
      </w:pPr>
      <w:r w:rsidRPr="00AF7557">
        <w:rPr>
          <w:rFonts w:ascii="Palatino Linotype" w:hAnsi="Palatino Linotype"/>
          <w:bCs/>
          <w:sz w:val="22"/>
        </w:rPr>
        <w:t>Prof. Dr. Adem SÖZÜER, Prof. Dr. İzzet ÖZGENÇ, Prof. Dr. Faruk TURHAN, Prof. Dr. Cumhur ŞAHİN ve Prof. Dr. Tolga ŞİRİN tarafından hazırlanan Hukukî Mütalaa</w:t>
      </w:r>
    </w:p>
    <w:sectPr w:rsidR="00731EBC" w:rsidRPr="00AF7557" w:rsidSect="00731EBC">
      <w:pgSz w:w="11906" w:h="16838"/>
      <w:pgMar w:top="1440" w:right="1252"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C25C3"/>
    <w:multiLevelType w:val="multilevel"/>
    <w:tmpl w:val="1BEA58E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A46D3"/>
    <w:multiLevelType w:val="hybridMultilevel"/>
    <w:tmpl w:val="923ED4B2"/>
    <w:lvl w:ilvl="0" w:tplc="4ACE42F8">
      <w:start w:val="1"/>
      <w:numFmt w:val="decimal"/>
      <w:lvlText w:val="%1."/>
      <w:lvlJc w:val="left"/>
      <w:pPr>
        <w:ind w:left="720" w:hanging="360"/>
      </w:pPr>
      <w:rPr>
        <w:rFonts w:ascii="Palatino Linotype" w:eastAsiaTheme="majorEastAsia" w:hAnsi="Palatino Linotype" w:hint="default"/>
        <w:color w:val="00000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6855132">
    <w:abstractNumId w:val="0"/>
  </w:num>
  <w:num w:numId="2" w16cid:durableId="139004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B8"/>
    <w:rsid w:val="00030492"/>
    <w:rsid w:val="00073776"/>
    <w:rsid w:val="000A3138"/>
    <w:rsid w:val="004575F0"/>
    <w:rsid w:val="006048D1"/>
    <w:rsid w:val="006142B8"/>
    <w:rsid w:val="006B4A68"/>
    <w:rsid w:val="00731EBC"/>
    <w:rsid w:val="00732FDB"/>
    <w:rsid w:val="007D5A7D"/>
    <w:rsid w:val="0083363B"/>
    <w:rsid w:val="008663BE"/>
    <w:rsid w:val="00916833"/>
    <w:rsid w:val="00AE7E0B"/>
    <w:rsid w:val="00AF7557"/>
    <w:rsid w:val="00BD2DC3"/>
    <w:rsid w:val="00CB4B31"/>
    <w:rsid w:val="00CE0CB4"/>
    <w:rsid w:val="00D6259C"/>
  </w:rsids>
  <m:mathPr>
    <m:mathFont m:val="Cambria Math"/>
    <m:brkBin m:val="before"/>
    <m:brkBinSub m:val="--"/>
    <m:smallFrac m:val="0"/>
    <m:dispDef/>
    <m:lMargin m:val="0"/>
    <m:rMargin m:val="0"/>
    <m:defJc m:val="centerGroup"/>
    <m:wrapIndent m:val="1440"/>
    <m:intLim m:val="subSup"/>
    <m:naryLim m:val="undOvr"/>
  </m:mathPr>
  <w:themeFontLang w:val="tr-NL"/>
  <w:clrSchemeMapping w:bg1="light1" w:t1="dark1" w:bg2="light2" w:t2="dark2" w:accent1="accent1" w:accent2="accent2" w:accent3="accent3" w:accent4="accent4" w:accent5="accent5" w:accent6="accent6" w:hyperlink="hyperlink" w:followedHyperlink="followedHyperlink"/>
  <w:decimalSymbol w:val=","/>
  <w:listSeparator w:val=";"/>
  <w14:docId w14:val="753F00FF"/>
  <w15:chartTrackingRefBased/>
  <w15:docId w15:val="{1AA5B1CB-17C3-8A4F-B432-908C30A8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2B8"/>
  </w:style>
  <w:style w:type="paragraph" w:styleId="Balk1">
    <w:name w:val="heading 1"/>
    <w:basedOn w:val="Normal"/>
    <w:next w:val="Normal"/>
    <w:link w:val="Balk1Char"/>
    <w:uiPriority w:val="9"/>
    <w:qFormat/>
    <w:rsid w:val="00614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14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142B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142B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142B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142B8"/>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142B8"/>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142B8"/>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142B8"/>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42B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142B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142B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142B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142B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142B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142B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142B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142B8"/>
    <w:rPr>
      <w:rFonts w:eastAsiaTheme="majorEastAsia" w:cstheme="majorBidi"/>
      <w:color w:val="272727" w:themeColor="text1" w:themeTint="D8"/>
    </w:rPr>
  </w:style>
  <w:style w:type="paragraph" w:styleId="KonuBal">
    <w:name w:val="Title"/>
    <w:basedOn w:val="Normal"/>
    <w:next w:val="Normal"/>
    <w:link w:val="KonuBalChar"/>
    <w:uiPriority w:val="10"/>
    <w:qFormat/>
    <w:rsid w:val="006142B8"/>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142B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142B8"/>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142B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142B8"/>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6142B8"/>
    <w:rPr>
      <w:i/>
      <w:iCs/>
      <w:color w:val="404040" w:themeColor="text1" w:themeTint="BF"/>
    </w:rPr>
  </w:style>
  <w:style w:type="paragraph" w:styleId="ListeParagraf">
    <w:name w:val="List Paragraph"/>
    <w:basedOn w:val="Normal"/>
    <w:uiPriority w:val="34"/>
    <w:qFormat/>
    <w:rsid w:val="006142B8"/>
    <w:pPr>
      <w:ind w:left="720"/>
      <w:contextualSpacing/>
    </w:pPr>
  </w:style>
  <w:style w:type="character" w:styleId="GlVurgulama">
    <w:name w:val="Intense Emphasis"/>
    <w:basedOn w:val="VarsaylanParagrafYazTipi"/>
    <w:uiPriority w:val="21"/>
    <w:qFormat/>
    <w:rsid w:val="006142B8"/>
    <w:rPr>
      <w:i/>
      <w:iCs/>
      <w:color w:val="0F4761" w:themeColor="accent1" w:themeShade="BF"/>
    </w:rPr>
  </w:style>
  <w:style w:type="paragraph" w:styleId="GlAlnt">
    <w:name w:val="Intense Quote"/>
    <w:basedOn w:val="Normal"/>
    <w:next w:val="Normal"/>
    <w:link w:val="GlAlntChar"/>
    <w:uiPriority w:val="30"/>
    <w:qFormat/>
    <w:rsid w:val="00614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142B8"/>
    <w:rPr>
      <w:i/>
      <w:iCs/>
      <w:color w:val="0F4761" w:themeColor="accent1" w:themeShade="BF"/>
    </w:rPr>
  </w:style>
  <w:style w:type="character" w:styleId="GlBavuru">
    <w:name w:val="Intense Reference"/>
    <w:basedOn w:val="VarsaylanParagrafYazTipi"/>
    <w:uiPriority w:val="32"/>
    <w:qFormat/>
    <w:rsid w:val="006142B8"/>
    <w:rPr>
      <w:b/>
      <w:bCs/>
      <w:smallCaps/>
      <w:color w:val="0F4761" w:themeColor="accent1" w:themeShade="BF"/>
      <w:spacing w:val="5"/>
    </w:rPr>
  </w:style>
  <w:style w:type="paragraph" w:styleId="NormalWeb">
    <w:name w:val="Normal (Web)"/>
    <w:basedOn w:val="Normal"/>
    <w:uiPriority w:val="99"/>
    <w:unhideWhenUsed/>
    <w:rsid w:val="006142B8"/>
    <w:pPr>
      <w:spacing w:before="100" w:beforeAutospacing="1" w:after="100" w:afterAutospacing="1"/>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614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4661</Words>
  <Characters>26574</Characters>
  <Application>Microsoft Office Word</Application>
  <DocSecurity>0</DocSecurity>
  <Lines>221</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Y</dc:creator>
  <cp:keywords/>
  <dc:description/>
  <cp:lastModifiedBy>U Y</cp:lastModifiedBy>
  <cp:revision>4</cp:revision>
  <dcterms:created xsi:type="dcterms:W3CDTF">2026-08-07T22:00:00Z</dcterms:created>
  <dcterms:modified xsi:type="dcterms:W3CDTF">2026-08-08T07:58:00Z</dcterms:modified>
</cp:coreProperties>
</file>