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E0554" w:rsidRDefault="00000000" w:rsidP="00B763D9">
      <w:pPr>
        <w:tabs>
          <w:tab w:val="left" w:pos="709"/>
          <w:tab w:val="left" w:pos="851"/>
        </w:tabs>
        <w:spacing w:line="23" w:lineRule="atLeast"/>
        <w:jc w:val="center"/>
        <w:rPr>
          <w:rFonts w:ascii="Palatino Linotype" w:eastAsia="Palatino Linotype" w:hAnsi="Palatino Linotype" w:cs="Palatino Linotype"/>
          <w:b/>
        </w:rPr>
      </w:pPr>
      <w:r>
        <w:rPr>
          <w:rFonts w:ascii="Palatino Linotype" w:eastAsia="Palatino Linotype" w:hAnsi="Palatino Linotype" w:cs="Palatino Linotype"/>
          <w:b/>
        </w:rPr>
        <w:t>…………AĞIR CEZA MAHKEMESİ BAŞKANLIĞINA</w:t>
      </w:r>
    </w:p>
    <w:p w14:paraId="00000002" w14:textId="77777777" w:rsidR="009E0554" w:rsidRDefault="00000000" w:rsidP="00B763D9">
      <w:pPr>
        <w:tabs>
          <w:tab w:val="left" w:pos="709"/>
          <w:tab w:val="left" w:pos="851"/>
        </w:tabs>
        <w:spacing w:line="23" w:lineRule="atLeast"/>
        <w:jc w:val="center"/>
        <w:rPr>
          <w:rFonts w:ascii="Palatino Linotype" w:eastAsia="Palatino Linotype" w:hAnsi="Palatino Linotype" w:cs="Palatino Linotype"/>
          <w:b/>
        </w:rPr>
      </w:pPr>
      <w:r>
        <w:rPr>
          <w:rFonts w:ascii="Palatino Linotype" w:eastAsia="Palatino Linotype" w:hAnsi="Palatino Linotype" w:cs="Palatino Linotype"/>
          <w:b/>
          <w:highlight w:val="yellow"/>
        </w:rPr>
        <w:t>(Hükmü veren ilk derece ağır ceza mahkemesinin adı yazılmalı)</w:t>
      </w:r>
    </w:p>
    <w:p w14:paraId="00000003" w14:textId="77777777" w:rsidR="009E0554" w:rsidRDefault="00000000" w:rsidP="00B763D9">
      <w:pPr>
        <w:tabs>
          <w:tab w:val="left" w:pos="709"/>
          <w:tab w:val="left" w:pos="851"/>
        </w:tabs>
        <w:spacing w:line="23" w:lineRule="atLeast"/>
        <w:jc w:val="center"/>
        <w:rPr>
          <w:rFonts w:ascii="Palatino Linotype" w:eastAsia="Palatino Linotype" w:hAnsi="Palatino Linotype" w:cs="Palatino Linotype"/>
          <w:b/>
        </w:rPr>
      </w:pPr>
      <w:r>
        <w:rPr>
          <w:rFonts w:ascii="Palatino Linotype" w:eastAsia="Palatino Linotype" w:hAnsi="Palatino Linotype" w:cs="Palatino Linotype"/>
          <w:b/>
        </w:rPr>
        <w:t xml:space="preserve">                                                                                                                                           </w:t>
      </w:r>
    </w:p>
    <w:p w14:paraId="00000004" w14:textId="77777777" w:rsidR="009E0554" w:rsidRDefault="00000000" w:rsidP="00B763D9">
      <w:pPr>
        <w:tabs>
          <w:tab w:val="left" w:pos="709"/>
          <w:tab w:val="left" w:pos="851"/>
        </w:tabs>
        <w:spacing w:line="23" w:lineRule="atLeast"/>
        <w:rPr>
          <w:rFonts w:ascii="Palatino Linotype" w:eastAsia="Palatino Linotype" w:hAnsi="Palatino Linotype" w:cs="Palatino Linotype"/>
          <w:b/>
        </w:rPr>
      </w:pPr>
      <w:r>
        <w:rPr>
          <w:rFonts w:ascii="Palatino Linotype" w:eastAsia="Palatino Linotype" w:hAnsi="Palatino Linotype" w:cs="Palatino Linotype"/>
          <w:b/>
        </w:rPr>
        <w:t xml:space="preserve"> </w:t>
      </w:r>
      <w:r>
        <w:rPr>
          <w:rFonts w:ascii="Palatino Linotype" w:eastAsia="Palatino Linotype" w:hAnsi="Palatino Linotype" w:cs="Palatino Linotype"/>
          <w:b/>
          <w:u w:val="single"/>
        </w:rPr>
        <w:t>Dosya No:</w:t>
      </w:r>
      <w:r>
        <w:rPr>
          <w:rFonts w:ascii="Palatino Linotype" w:eastAsia="Palatino Linotype" w:hAnsi="Palatino Linotype" w:cs="Palatino Linotype"/>
          <w:b/>
        </w:rPr>
        <w:t xml:space="preserve">…/...E,/… K.  </w:t>
      </w:r>
      <w:r>
        <w:rPr>
          <w:rFonts w:ascii="Palatino Linotype" w:eastAsia="Palatino Linotype" w:hAnsi="Palatino Linotype" w:cs="Palatino Linotype"/>
          <w:b/>
          <w:highlight w:val="yellow"/>
        </w:rPr>
        <w:t>(İlk derece mahkemesi dava dosya numarası yazılmalı)</w:t>
      </w:r>
    </w:p>
    <w:p w14:paraId="00000005" w14:textId="77777777" w:rsidR="009E0554" w:rsidRDefault="009E0554" w:rsidP="00B763D9">
      <w:pPr>
        <w:tabs>
          <w:tab w:val="left" w:pos="709"/>
          <w:tab w:val="left" w:pos="851"/>
        </w:tabs>
        <w:spacing w:line="23" w:lineRule="atLeast"/>
        <w:rPr>
          <w:rFonts w:ascii="Palatino Linotype" w:eastAsia="Palatino Linotype" w:hAnsi="Palatino Linotype" w:cs="Palatino Linotype"/>
          <w:b/>
        </w:rPr>
      </w:pPr>
    </w:p>
    <w:p w14:paraId="00000006" w14:textId="77777777" w:rsidR="009E0554" w:rsidRDefault="009E0554" w:rsidP="00B763D9">
      <w:pPr>
        <w:tabs>
          <w:tab w:val="left" w:pos="709"/>
          <w:tab w:val="left" w:pos="851"/>
        </w:tabs>
        <w:spacing w:line="23" w:lineRule="atLeast"/>
        <w:jc w:val="center"/>
        <w:rPr>
          <w:rFonts w:ascii="Palatino Linotype" w:eastAsia="Palatino Linotype" w:hAnsi="Palatino Linotype" w:cs="Palatino Linotype"/>
          <w:b/>
        </w:rPr>
      </w:pPr>
    </w:p>
    <w:p w14:paraId="00000007" w14:textId="77777777" w:rsidR="009E0554" w:rsidRDefault="00000000" w:rsidP="00B763D9">
      <w:pPr>
        <w:tabs>
          <w:tab w:val="left" w:pos="709"/>
          <w:tab w:val="left" w:pos="851"/>
          <w:tab w:val="left" w:pos="3870"/>
        </w:tabs>
        <w:spacing w:line="23" w:lineRule="atLeast"/>
        <w:jc w:val="both"/>
        <w:rPr>
          <w:rFonts w:ascii="Palatino Linotype" w:eastAsia="Palatino Linotype" w:hAnsi="Palatino Linotype" w:cs="Palatino Linotype"/>
          <w:b/>
        </w:rPr>
      </w:pPr>
      <w:r>
        <w:rPr>
          <w:rFonts w:ascii="Palatino Linotype" w:eastAsia="Palatino Linotype" w:hAnsi="Palatino Linotype" w:cs="Palatino Linotype"/>
          <w:b/>
          <w:u w:val="single"/>
        </w:rPr>
        <w:t xml:space="preserve">Talepte Bulunan Hükümlü                         : </w:t>
      </w:r>
    </w:p>
    <w:p w14:paraId="00000008" w14:textId="77777777" w:rsidR="009E0554" w:rsidRDefault="00000000" w:rsidP="00B763D9">
      <w:pPr>
        <w:tabs>
          <w:tab w:val="left" w:pos="709"/>
          <w:tab w:val="left" w:pos="851"/>
          <w:tab w:val="left" w:pos="3870"/>
        </w:tabs>
        <w:spacing w:line="23" w:lineRule="atLeast"/>
        <w:jc w:val="both"/>
        <w:rPr>
          <w:rFonts w:ascii="Palatino Linotype" w:eastAsia="Palatino Linotype" w:hAnsi="Palatino Linotype" w:cs="Palatino Linotype"/>
          <w:b/>
          <w:u w:val="single"/>
        </w:rPr>
      </w:pPr>
      <w:r>
        <w:rPr>
          <w:rFonts w:ascii="Palatino Linotype" w:eastAsia="Palatino Linotype" w:hAnsi="Palatino Linotype" w:cs="Palatino Linotype"/>
          <w:b/>
        </w:rPr>
        <w:t xml:space="preserve">Talepte Bulunan                                       : </w:t>
      </w:r>
      <w:r>
        <w:rPr>
          <w:rFonts w:ascii="Palatino Linotype" w:eastAsia="Palatino Linotype" w:hAnsi="Palatino Linotype" w:cs="Palatino Linotype"/>
          <w:b/>
          <w:highlight w:val="yellow"/>
        </w:rPr>
        <w:t>(Vasi ya da eş talepte bulunuyorsa, o kişinin bilgileri.  Eğer kişi kendisi başvuru yapacaksa bu kısmı doldurmaya gerek yok)</w:t>
      </w:r>
    </w:p>
    <w:p w14:paraId="64B47E67" w14:textId="32B60F3D" w:rsidR="00E51CE3" w:rsidRDefault="00000000" w:rsidP="00B763D9">
      <w:pPr>
        <w:tabs>
          <w:tab w:val="left" w:pos="709"/>
          <w:tab w:val="left" w:pos="851"/>
          <w:tab w:val="left" w:pos="3780"/>
        </w:tabs>
        <w:spacing w:line="23" w:lineRule="atLeast"/>
        <w:ind w:left="3960" w:hanging="3960"/>
        <w:jc w:val="both"/>
        <w:rPr>
          <w:rFonts w:ascii="Palatino Linotype" w:eastAsia="Palatino Linotype" w:hAnsi="Palatino Linotype" w:cs="Palatino Linotype"/>
        </w:rPr>
      </w:pPr>
      <w:r>
        <w:rPr>
          <w:rFonts w:ascii="Palatino Linotype" w:eastAsia="Palatino Linotype" w:hAnsi="Palatino Linotype" w:cs="Palatino Linotype"/>
          <w:b/>
          <w:u w:val="single"/>
        </w:rPr>
        <w:t xml:space="preserve">Talep Konusu                                      </w:t>
      </w:r>
      <w:r>
        <w:rPr>
          <w:rFonts w:ascii="Palatino Linotype" w:eastAsia="Palatino Linotype" w:hAnsi="Palatino Linotype" w:cs="Palatino Linotype"/>
          <w:b/>
          <w:u w:val="single"/>
        </w:rPr>
        <w:tab/>
        <w:t xml:space="preserve"> :</w:t>
      </w:r>
      <w:r>
        <w:rPr>
          <w:rFonts w:ascii="Palatino Linotype" w:eastAsia="Palatino Linotype" w:hAnsi="Palatino Linotype" w:cs="Palatino Linotype"/>
          <w:b/>
        </w:rPr>
        <w:t xml:space="preserve">  </w:t>
      </w:r>
      <w:r>
        <w:rPr>
          <w:rFonts w:ascii="Palatino Linotype" w:eastAsia="Palatino Linotype" w:hAnsi="Palatino Linotype" w:cs="Palatino Linotype"/>
        </w:rPr>
        <w:t xml:space="preserve">Avrupa İnsan Hakları Mahkemesi’nin (AİHM) </w:t>
      </w:r>
      <w:r w:rsidR="00BE5008" w:rsidRPr="00D669DC">
        <w:rPr>
          <w:rFonts w:ascii="Palatino Linotype" w:eastAsia="Palatino Linotype" w:hAnsi="Palatino Linotype" w:cs="Palatino Linotype"/>
          <w:b/>
          <w:bCs/>
        </w:rPr>
        <w:t xml:space="preserve">Seyhan </w:t>
      </w:r>
      <w:r w:rsidRPr="00D669DC">
        <w:rPr>
          <w:rFonts w:ascii="Palatino Linotype" w:eastAsia="Palatino Linotype" w:hAnsi="Palatino Linotype" w:cs="Palatino Linotype"/>
          <w:b/>
          <w:bCs/>
        </w:rPr>
        <w:t>ve Diğerleri/Türkiye</w:t>
      </w:r>
      <w:r>
        <w:rPr>
          <w:rFonts w:ascii="Palatino Linotype" w:eastAsia="Palatino Linotype" w:hAnsi="Palatino Linotype" w:cs="Palatino Linotype"/>
        </w:rPr>
        <w:t xml:space="preserve"> </w:t>
      </w:r>
      <w:r w:rsidR="00E51CE3">
        <w:rPr>
          <w:rFonts w:ascii="Palatino Linotype" w:eastAsia="Palatino Linotype" w:hAnsi="Palatino Linotype" w:cs="Palatino Linotype"/>
        </w:rPr>
        <w:t>başvurusunda</w:t>
      </w:r>
      <w:r>
        <w:rPr>
          <w:rFonts w:ascii="Palatino Linotype" w:eastAsia="Palatino Linotype" w:hAnsi="Palatino Linotype" w:cs="Palatino Linotype"/>
        </w:rPr>
        <w:t xml:space="preserve">, AİHS’in 6 ve 7. maddelerinden </w:t>
      </w:r>
      <w:r w:rsidR="005B7BEB">
        <w:rPr>
          <w:rFonts w:ascii="Palatino Linotype" w:eastAsia="Palatino Linotype" w:hAnsi="Palatino Linotype" w:cs="Palatino Linotype"/>
        </w:rPr>
        <w:t xml:space="preserve">ve </w:t>
      </w:r>
      <w:r w:rsidR="005B7BEB" w:rsidRPr="005B7BEB">
        <w:rPr>
          <w:rFonts w:ascii="Palatino Linotype" w:eastAsia="Palatino Linotype" w:hAnsi="Palatino Linotype" w:cs="Palatino Linotype"/>
          <w:b/>
          <w:bCs/>
        </w:rPr>
        <w:t>Yasak/Türkiye</w:t>
      </w:r>
      <w:r w:rsidR="005B7BEB">
        <w:rPr>
          <w:rFonts w:ascii="Palatino Linotype" w:eastAsia="Palatino Linotype" w:hAnsi="Palatino Linotype" w:cs="Palatino Linotype"/>
        </w:rPr>
        <w:t xml:space="preserve"> kararında </w:t>
      </w:r>
      <w:r>
        <w:rPr>
          <w:rFonts w:ascii="Palatino Linotype" w:eastAsia="Palatino Linotype" w:hAnsi="Palatino Linotype" w:cs="Palatino Linotype"/>
        </w:rPr>
        <w:t xml:space="preserve">verdiği ihlal kararı sonrası, Mahkemenizin …………. </w:t>
      </w:r>
      <w:r w:rsidR="00E51CE3">
        <w:rPr>
          <w:rFonts w:ascii="Palatino Linotype" w:eastAsia="Palatino Linotype" w:hAnsi="Palatino Linotype" w:cs="Palatino Linotype"/>
        </w:rPr>
        <w:t>T</w:t>
      </w:r>
      <w:r>
        <w:rPr>
          <w:rFonts w:ascii="Palatino Linotype" w:eastAsia="Palatino Linotype" w:hAnsi="Palatino Linotype" w:cs="Palatino Linotype"/>
        </w:rPr>
        <w:t>arih</w:t>
      </w:r>
      <w:r w:rsidR="00E51CE3">
        <w:rPr>
          <w:rFonts w:ascii="Palatino Linotype" w:eastAsia="Palatino Linotype" w:hAnsi="Palatino Linotype" w:cs="Palatino Linotype"/>
        </w:rPr>
        <w:t>li,</w:t>
      </w:r>
      <w:r>
        <w:rPr>
          <w:rFonts w:ascii="Palatino Linotype" w:eastAsia="Palatino Linotype" w:hAnsi="Palatino Linotype" w:cs="Palatino Linotype"/>
        </w:rPr>
        <w:t xml:space="preserve"> ………. E. </w:t>
      </w:r>
      <w:r w:rsidR="00E51CE3">
        <w:rPr>
          <w:rFonts w:ascii="Palatino Linotype" w:eastAsia="Palatino Linotype" w:hAnsi="Palatino Linotype" w:cs="Palatino Linotype"/>
        </w:rPr>
        <w:t xml:space="preserve">ve </w:t>
      </w:r>
      <w:r>
        <w:rPr>
          <w:rFonts w:ascii="Palatino Linotype" w:eastAsia="Palatino Linotype" w:hAnsi="Palatino Linotype" w:cs="Palatino Linotype"/>
        </w:rPr>
        <w:t>………..K.  sayılı</w:t>
      </w:r>
      <w:r w:rsidR="00E51CE3" w:rsidRPr="00496041">
        <w:rPr>
          <w:rFonts w:ascii="Palatino Linotype" w:eastAsia="Palatino Linotype" w:hAnsi="Palatino Linotype" w:cs="Palatino Linotype"/>
        </w:rPr>
        <w:t xml:space="preserve"> </w:t>
      </w:r>
      <w:r>
        <w:rPr>
          <w:rFonts w:ascii="Palatino Linotype" w:eastAsia="Palatino Linotype" w:hAnsi="Palatino Linotype" w:cs="Palatino Linotype"/>
        </w:rPr>
        <w:t>kesinleşmiş kararın</w:t>
      </w:r>
      <w:r w:rsidR="00E51CE3">
        <w:rPr>
          <w:rFonts w:ascii="Palatino Linotype" w:eastAsia="Palatino Linotype" w:hAnsi="Palatino Linotype" w:cs="Palatino Linotype"/>
        </w:rPr>
        <w:t>;</w:t>
      </w:r>
    </w:p>
    <w:p w14:paraId="5B1F6CB8" w14:textId="7DFF80FE" w:rsidR="00E51CE3" w:rsidRDefault="00E51CE3" w:rsidP="00B763D9">
      <w:pPr>
        <w:tabs>
          <w:tab w:val="left" w:pos="709"/>
          <w:tab w:val="left" w:pos="851"/>
          <w:tab w:val="left" w:pos="3780"/>
        </w:tabs>
        <w:spacing w:line="23" w:lineRule="atLeast"/>
        <w:ind w:left="3960" w:hanging="3960"/>
        <w:jc w:val="both"/>
        <w:rPr>
          <w:rFonts w:ascii="Palatino Linotype" w:eastAsia="Palatino Linotype" w:hAnsi="Palatino Linotype" w:cs="Palatino Linotype"/>
        </w:rPr>
      </w:pPr>
      <w:r>
        <w:rPr>
          <w:rFonts w:ascii="Palatino Linotype" w:eastAsia="Palatino Linotype" w:hAnsi="Palatino Linotype" w:cs="Palatino Linotype"/>
        </w:rPr>
        <w:tab/>
      </w:r>
      <w:r>
        <w:rPr>
          <w:rFonts w:ascii="Palatino Linotype" w:eastAsia="Palatino Linotype" w:hAnsi="Palatino Linotype" w:cs="Palatino Linotype"/>
        </w:rPr>
        <w:tab/>
      </w:r>
      <w:r>
        <w:rPr>
          <w:rFonts w:ascii="Palatino Linotype" w:eastAsia="Palatino Linotype" w:hAnsi="Palatino Linotype" w:cs="Palatino Linotype"/>
        </w:rPr>
        <w:tab/>
      </w:r>
      <w:r>
        <w:rPr>
          <w:rFonts w:ascii="Palatino Linotype" w:eastAsia="Palatino Linotype" w:hAnsi="Palatino Linotype" w:cs="Palatino Linotype"/>
        </w:rPr>
        <w:tab/>
      </w:r>
      <w:r>
        <w:rPr>
          <w:rFonts w:ascii="Palatino Linotype" w:eastAsia="Palatino Linotype" w:hAnsi="Palatino Linotype" w:cs="Palatino Linotype"/>
        </w:rPr>
        <w:tab/>
        <w:t xml:space="preserve">- </w:t>
      </w:r>
      <w:r w:rsidR="007A7CFE">
        <w:rPr>
          <w:rFonts w:ascii="Palatino Linotype" w:eastAsia="Palatino Linotype" w:hAnsi="Palatino Linotype" w:cs="Palatino Linotype"/>
        </w:rPr>
        <w:t>Ö</w:t>
      </w:r>
      <w:r>
        <w:rPr>
          <w:rFonts w:ascii="Palatino Linotype" w:eastAsia="Palatino Linotype" w:hAnsi="Palatino Linotype" w:cs="Palatino Linotype"/>
        </w:rPr>
        <w:t xml:space="preserve">ncelikle </w:t>
      </w:r>
      <w:r>
        <w:rPr>
          <w:rFonts w:ascii="Palatino Linotype" w:eastAsia="Palatino Linotype" w:hAnsi="Palatino Linotype" w:cs="Palatino Linotype"/>
          <w:b/>
        </w:rPr>
        <w:t>CMK’nın 311/1-f maddesi uyarınca yeniden yargılamaya konu yapılmasına,</w:t>
      </w:r>
      <w:r>
        <w:rPr>
          <w:rFonts w:ascii="Palatino Linotype" w:eastAsia="Palatino Linotype" w:hAnsi="Palatino Linotype" w:cs="Palatino Linotype"/>
        </w:rPr>
        <w:t xml:space="preserve"> </w:t>
      </w:r>
    </w:p>
    <w:p w14:paraId="39463EF2" w14:textId="77777777" w:rsidR="00DF3D5D" w:rsidRDefault="00E51CE3" w:rsidP="00B763D9">
      <w:pPr>
        <w:tabs>
          <w:tab w:val="left" w:pos="709"/>
          <w:tab w:val="left" w:pos="851"/>
          <w:tab w:val="left" w:pos="3780"/>
        </w:tabs>
        <w:spacing w:line="23" w:lineRule="atLeast"/>
        <w:ind w:left="3960" w:hanging="3960"/>
        <w:jc w:val="both"/>
        <w:rPr>
          <w:rFonts w:ascii="Palatino Linotype" w:eastAsia="Palatino Linotype" w:hAnsi="Palatino Linotype" w:cs="Palatino Linotype"/>
        </w:rPr>
      </w:pPr>
      <w:r>
        <w:rPr>
          <w:rFonts w:ascii="Palatino Linotype" w:eastAsia="Palatino Linotype" w:hAnsi="Palatino Linotype" w:cs="Palatino Linotype"/>
        </w:rPr>
        <w:tab/>
      </w:r>
      <w:r>
        <w:rPr>
          <w:rFonts w:ascii="Palatino Linotype" w:eastAsia="Palatino Linotype" w:hAnsi="Palatino Linotype" w:cs="Palatino Linotype"/>
        </w:rPr>
        <w:tab/>
      </w:r>
      <w:r>
        <w:rPr>
          <w:rFonts w:ascii="Palatino Linotype" w:eastAsia="Palatino Linotype" w:hAnsi="Palatino Linotype" w:cs="Palatino Linotype"/>
        </w:rPr>
        <w:tab/>
      </w:r>
      <w:r>
        <w:rPr>
          <w:rFonts w:ascii="Palatino Linotype" w:eastAsia="Palatino Linotype" w:hAnsi="Palatino Linotype" w:cs="Palatino Linotype"/>
        </w:rPr>
        <w:tab/>
      </w:r>
      <w:r>
        <w:rPr>
          <w:rFonts w:ascii="Palatino Linotype" w:eastAsia="Palatino Linotype" w:hAnsi="Palatino Linotype" w:cs="Palatino Linotype"/>
        </w:rPr>
        <w:tab/>
        <w:t xml:space="preserve">- </w:t>
      </w:r>
      <w:r w:rsidR="007A7CFE">
        <w:rPr>
          <w:rFonts w:ascii="Palatino Linotype" w:eastAsia="Palatino Linotype" w:hAnsi="Palatino Linotype" w:cs="Palatino Linotype"/>
        </w:rPr>
        <w:t>A</w:t>
      </w:r>
      <w:r>
        <w:rPr>
          <w:rFonts w:ascii="Palatino Linotype" w:eastAsia="Palatino Linotype" w:hAnsi="Palatino Linotype" w:cs="Palatino Linotype"/>
        </w:rPr>
        <w:t xml:space="preserve">kabinde ise suçun yasal unsurları oluşmadan mahkumiyet kararı verildiği AİHM kararı ile tespit edildiğinden dolayı derhal </w:t>
      </w:r>
      <w:r>
        <w:rPr>
          <w:rFonts w:ascii="Palatino Linotype" w:eastAsia="Palatino Linotype" w:hAnsi="Palatino Linotype" w:cs="Palatino Linotype"/>
          <w:highlight w:val="yellow"/>
        </w:rPr>
        <w:t>beraatıma/eşimin/vasisi olduğum ....’in/müvekkilin beraatına</w:t>
      </w:r>
      <w:r>
        <w:rPr>
          <w:rFonts w:ascii="Palatino Linotype" w:eastAsia="Palatino Linotype" w:hAnsi="Palatino Linotype" w:cs="Palatino Linotype"/>
        </w:rPr>
        <w:t xml:space="preserve"> karar verilmesine</w:t>
      </w:r>
    </w:p>
    <w:p w14:paraId="5588CA68" w14:textId="28C8D0C8" w:rsidR="00E51CE3" w:rsidRDefault="00DF3D5D" w:rsidP="00B763D9">
      <w:pPr>
        <w:tabs>
          <w:tab w:val="left" w:pos="709"/>
          <w:tab w:val="left" w:pos="851"/>
          <w:tab w:val="left" w:pos="3780"/>
        </w:tabs>
        <w:spacing w:line="23" w:lineRule="atLeast"/>
        <w:ind w:left="3960" w:hanging="3960"/>
        <w:jc w:val="both"/>
        <w:rPr>
          <w:rFonts w:ascii="Palatino Linotype" w:eastAsia="Palatino Linotype" w:hAnsi="Palatino Linotype" w:cs="Palatino Linotype"/>
        </w:rPr>
      </w:pPr>
      <w:r>
        <w:rPr>
          <w:rFonts w:ascii="Palatino Linotype" w:eastAsia="Palatino Linotype" w:hAnsi="Palatino Linotype" w:cs="Palatino Linotype"/>
        </w:rPr>
        <w:tab/>
      </w:r>
      <w:r>
        <w:rPr>
          <w:rFonts w:ascii="Palatino Linotype" w:eastAsia="Palatino Linotype" w:hAnsi="Palatino Linotype" w:cs="Palatino Linotype"/>
        </w:rPr>
        <w:tab/>
      </w:r>
      <w:r>
        <w:rPr>
          <w:rFonts w:ascii="Palatino Linotype" w:eastAsia="Palatino Linotype" w:hAnsi="Palatino Linotype" w:cs="Palatino Linotype"/>
        </w:rPr>
        <w:tab/>
      </w:r>
      <w:r>
        <w:rPr>
          <w:rFonts w:ascii="Palatino Linotype" w:eastAsia="Palatino Linotype" w:hAnsi="Palatino Linotype" w:cs="Palatino Linotype"/>
        </w:rPr>
        <w:tab/>
      </w:r>
      <w:r>
        <w:rPr>
          <w:rFonts w:ascii="Palatino Linotype" w:eastAsia="Palatino Linotype" w:hAnsi="Palatino Linotype" w:cs="Palatino Linotype"/>
        </w:rPr>
        <w:tab/>
        <w:t>- Y</w:t>
      </w:r>
      <w:r w:rsidR="00E51CE3">
        <w:rPr>
          <w:rFonts w:ascii="Palatino Linotype" w:eastAsia="Palatino Linotype" w:hAnsi="Palatino Linotype" w:cs="Palatino Linotype"/>
        </w:rPr>
        <w:t xml:space="preserve">argılama sonuna kadar </w:t>
      </w:r>
      <w:r w:rsidR="00E51CE3">
        <w:rPr>
          <w:rFonts w:ascii="Palatino Linotype" w:eastAsia="Palatino Linotype" w:hAnsi="Palatino Linotype" w:cs="Palatino Linotype"/>
          <w:highlight w:val="yellow"/>
        </w:rPr>
        <w:t>infazın/infazını (ilgili kişi tutukluysa)</w:t>
      </w:r>
      <w:r w:rsidR="00E51CE3">
        <w:rPr>
          <w:rFonts w:ascii="Palatino Linotype" w:eastAsia="Palatino Linotype" w:hAnsi="Palatino Linotype" w:cs="Palatino Linotype"/>
        </w:rPr>
        <w:t xml:space="preserve"> tedbiren durdurulmasına,</w:t>
      </w:r>
    </w:p>
    <w:p w14:paraId="33D4EEA8" w14:textId="059CF5E1" w:rsidR="00DF3D5D" w:rsidRPr="00DF3D5D" w:rsidRDefault="00DF3D5D" w:rsidP="00DF3D5D">
      <w:pPr>
        <w:tabs>
          <w:tab w:val="left" w:pos="851"/>
        </w:tabs>
        <w:spacing w:line="23" w:lineRule="atLeast"/>
        <w:ind w:left="3969" w:hanging="2976"/>
        <w:jc w:val="both"/>
        <w:rPr>
          <w:rFonts w:ascii="Palatino Linotype" w:eastAsia="Palatino Linotype" w:hAnsi="Palatino Linotype" w:cs="Palatino Linotype"/>
          <w:color w:val="000000" w:themeColor="text1"/>
          <w:lang w:val="tr-TR"/>
        </w:rPr>
      </w:pPr>
      <w:r>
        <w:rPr>
          <w:rFonts w:ascii="Palatino Linotype" w:eastAsia="Palatino Linotype" w:hAnsi="Palatino Linotype" w:cs="Palatino Linotype"/>
        </w:rPr>
        <w:tab/>
      </w:r>
      <w:r>
        <w:rPr>
          <w:rFonts w:ascii="Palatino Linotype" w:eastAsia="Palatino Linotype" w:hAnsi="Palatino Linotype" w:cs="Palatino Linotype"/>
        </w:rPr>
        <w:tab/>
      </w:r>
      <w:r w:rsidRPr="00DF3D5D">
        <w:rPr>
          <w:rFonts w:ascii="Palatino Linotype" w:eastAsia="Palatino Linotype" w:hAnsi="Palatino Linotype" w:cs="Palatino Linotype"/>
          <w:color w:val="000000" w:themeColor="text1"/>
        </w:rPr>
        <w:t>- A</w:t>
      </w:r>
      <w:r w:rsidRPr="00DF3D5D">
        <w:rPr>
          <w:rFonts w:ascii="Palatino Linotype" w:eastAsia="Palatino Linotype" w:hAnsi="Palatino Linotype" w:cs="Palatino Linotype"/>
          <w:color w:val="000000" w:themeColor="text1"/>
          <w:lang w:val="tr-TR"/>
        </w:rPr>
        <w:t>dli Sicil Yönetmeli</w:t>
      </w:r>
      <w:r w:rsidR="005B7BEB">
        <w:rPr>
          <w:rFonts w:ascii="Palatino Linotype" w:eastAsia="Palatino Linotype" w:hAnsi="Palatino Linotype" w:cs="Palatino Linotype"/>
          <w:color w:val="000000" w:themeColor="text1"/>
          <w:lang w:val="tr-TR"/>
        </w:rPr>
        <w:t>ğ</w:t>
      </w:r>
      <w:r w:rsidRPr="00DF3D5D">
        <w:rPr>
          <w:rFonts w:ascii="Palatino Linotype" w:eastAsia="Palatino Linotype" w:hAnsi="Palatino Linotype" w:cs="Palatino Linotype"/>
          <w:color w:val="000000" w:themeColor="text1"/>
          <w:lang w:val="tr-TR"/>
        </w:rPr>
        <w:t>inin 3. ve 13/3. maddesi gere</w:t>
      </w:r>
      <w:r w:rsidR="005B7BEB">
        <w:rPr>
          <w:rFonts w:ascii="Palatino Linotype" w:eastAsia="Palatino Linotype" w:hAnsi="Palatino Linotype" w:cs="Palatino Linotype"/>
          <w:color w:val="000000" w:themeColor="text1"/>
          <w:lang w:val="tr-TR"/>
        </w:rPr>
        <w:t>ğ</w:t>
      </w:r>
      <w:r w:rsidRPr="00DF3D5D">
        <w:rPr>
          <w:rFonts w:ascii="Palatino Linotype" w:eastAsia="Palatino Linotype" w:hAnsi="Palatino Linotype" w:cs="Palatino Linotype"/>
          <w:color w:val="000000" w:themeColor="text1"/>
          <w:lang w:val="tr-TR"/>
        </w:rPr>
        <w:t xml:space="preserve">ince tali karar fişi </w:t>
      </w:r>
      <w:r w:rsidRPr="00DF3D5D">
        <w:rPr>
          <w:rFonts w:ascii="Palatino Linotype" w:eastAsia="Palatino Linotype" w:hAnsi="Palatino Linotype" w:cs="Palatino Linotype"/>
          <w:b/>
          <w:bCs/>
          <w:color w:val="000000" w:themeColor="text1"/>
          <w:lang w:val="tr-TR"/>
        </w:rPr>
        <w:t>DÜZENLENMESİNE,</w:t>
      </w:r>
      <w:r w:rsidRPr="00DF3D5D">
        <w:rPr>
          <w:rFonts w:ascii="Palatino Linotype" w:eastAsia="Palatino Linotype" w:hAnsi="Palatino Linotype" w:cs="Palatino Linotype"/>
          <w:color w:val="000000" w:themeColor="text1"/>
          <w:lang w:val="tr-TR"/>
        </w:rPr>
        <w:t xml:space="preserve"> </w:t>
      </w:r>
      <w:r w:rsidRPr="00DF3D5D">
        <w:rPr>
          <w:rFonts w:ascii="Palatino Linotype" w:eastAsia="Palatino Linotype" w:hAnsi="Palatino Linotype" w:cs="Palatino Linotype"/>
          <w:color w:val="000000" w:themeColor="text1"/>
        </w:rPr>
        <w:t xml:space="preserve">AİHM karar gereği yargılamanın yenilenmesi sonucunda verilecek beraat kararının kesinleşmesi ile birlikte önceki mahkûmiyet kararına ilişkin adlî sicil ve arşiv kaydının tamamen </w:t>
      </w:r>
      <w:r w:rsidRPr="00DF3D5D">
        <w:rPr>
          <w:rFonts w:ascii="Palatino Linotype" w:eastAsia="Palatino Linotype" w:hAnsi="Palatino Linotype" w:cs="Palatino Linotype"/>
          <w:color w:val="000000" w:themeColor="text1"/>
          <w:lang w:val="tr-TR"/>
        </w:rPr>
        <w:t>silinmesi amacıyla ek kararın ve düzenlenen tali karar fişinin adli sicil kaydına işlenmek üzere Adli Sicil istatistik Müdürlü</w:t>
      </w:r>
      <w:r w:rsidR="005B7BEB">
        <w:rPr>
          <w:rFonts w:ascii="Palatino Linotype" w:eastAsia="Palatino Linotype" w:hAnsi="Palatino Linotype" w:cs="Palatino Linotype"/>
          <w:color w:val="000000" w:themeColor="text1"/>
          <w:lang w:val="tr-TR"/>
        </w:rPr>
        <w:t>ğ</w:t>
      </w:r>
      <w:r w:rsidRPr="00DF3D5D">
        <w:rPr>
          <w:rFonts w:ascii="Palatino Linotype" w:eastAsia="Palatino Linotype" w:hAnsi="Palatino Linotype" w:cs="Palatino Linotype"/>
          <w:color w:val="000000" w:themeColor="text1"/>
          <w:lang w:val="tr-TR"/>
        </w:rPr>
        <w:t xml:space="preserve">üne </w:t>
      </w:r>
      <w:r w:rsidRPr="00DF3D5D">
        <w:rPr>
          <w:rFonts w:ascii="Palatino Linotype" w:eastAsia="Palatino Linotype" w:hAnsi="Palatino Linotype" w:cs="Palatino Linotype"/>
          <w:b/>
          <w:bCs/>
          <w:color w:val="000000" w:themeColor="text1"/>
          <w:lang w:val="tr-TR"/>
        </w:rPr>
        <w:t xml:space="preserve">GÖNDERİLMESİNE,                                                                       </w:t>
      </w:r>
    </w:p>
    <w:p w14:paraId="4B2F7E27" w14:textId="71915954" w:rsidR="00DF3D5D" w:rsidRPr="00DF3D5D" w:rsidRDefault="00DF3D5D" w:rsidP="00DF3D5D">
      <w:pPr>
        <w:tabs>
          <w:tab w:val="left" w:pos="851"/>
        </w:tabs>
        <w:spacing w:line="23" w:lineRule="atLeast"/>
        <w:ind w:left="3969"/>
        <w:jc w:val="both"/>
        <w:rPr>
          <w:rFonts w:ascii="Palatino Linotype" w:eastAsia="Palatino Linotype" w:hAnsi="Palatino Linotype" w:cs="Palatino Linotype"/>
          <w:color w:val="000000" w:themeColor="text1"/>
          <w:lang w:val="tr-TR"/>
        </w:rPr>
      </w:pPr>
      <w:r w:rsidRPr="00DF3D5D">
        <w:rPr>
          <w:rFonts w:ascii="Palatino Linotype" w:eastAsia="Palatino Linotype" w:hAnsi="Palatino Linotype" w:cs="Palatino Linotype"/>
          <w:color w:val="000000" w:themeColor="text1"/>
          <w:lang w:val="tr-TR"/>
        </w:rPr>
        <w:t xml:space="preserve">        - İnfaz evraklar</w:t>
      </w:r>
      <w:r w:rsidR="005B7BEB">
        <w:rPr>
          <w:rFonts w:ascii="Palatino Linotype" w:eastAsia="Palatino Linotype" w:hAnsi="Palatino Linotype" w:cs="Palatino Linotype"/>
          <w:color w:val="000000" w:themeColor="text1"/>
          <w:lang w:val="tr-TR"/>
        </w:rPr>
        <w:t>ı</w:t>
      </w:r>
      <w:r w:rsidRPr="00DF3D5D">
        <w:rPr>
          <w:rFonts w:ascii="Palatino Linotype" w:eastAsia="Palatino Linotype" w:hAnsi="Palatino Linotype" w:cs="Palatino Linotype"/>
          <w:color w:val="000000" w:themeColor="text1"/>
          <w:lang w:val="tr-TR"/>
        </w:rPr>
        <w:t>n</w:t>
      </w:r>
      <w:r w:rsidRPr="00DF3D5D">
        <w:rPr>
          <w:rFonts w:ascii="Palatino Linotype" w:eastAsia="Palatino Linotype" w:hAnsi="Palatino Linotype" w:cs="Palatino Linotype"/>
          <w:color w:val="000000" w:themeColor="text1"/>
        </w:rPr>
        <w:t>ın</w:t>
      </w:r>
      <w:r w:rsidRPr="00DF3D5D">
        <w:rPr>
          <w:rFonts w:ascii="Palatino Linotype" w:eastAsia="Palatino Linotype" w:hAnsi="Palatino Linotype" w:cs="Palatino Linotype"/>
          <w:color w:val="000000" w:themeColor="text1"/>
          <w:lang w:val="tr-TR"/>
        </w:rPr>
        <w:t xml:space="preserve"> işlemsiz olarak mahkemenize gönderilmesi için Cumhuriyet Başsavcılığına </w:t>
      </w:r>
      <w:r w:rsidRPr="00DF3D5D">
        <w:rPr>
          <w:rFonts w:ascii="Palatino Linotype" w:eastAsia="Palatino Linotype" w:hAnsi="Palatino Linotype" w:cs="Palatino Linotype"/>
          <w:b/>
          <w:bCs/>
          <w:color w:val="000000" w:themeColor="text1"/>
          <w:lang w:val="tr-TR"/>
        </w:rPr>
        <w:t>MÜZEKKERE YAZILMASINA,</w:t>
      </w:r>
    </w:p>
    <w:p w14:paraId="00000009" w14:textId="42623914" w:rsidR="009E0554" w:rsidRDefault="00E51CE3" w:rsidP="00B763D9">
      <w:pPr>
        <w:tabs>
          <w:tab w:val="left" w:pos="709"/>
          <w:tab w:val="left" w:pos="851"/>
          <w:tab w:val="left" w:pos="3780"/>
        </w:tabs>
        <w:spacing w:line="23" w:lineRule="atLeast"/>
        <w:ind w:left="3960" w:hanging="3960"/>
        <w:jc w:val="both"/>
        <w:rPr>
          <w:rFonts w:ascii="Palatino Linotype" w:eastAsia="Palatino Linotype" w:hAnsi="Palatino Linotype" w:cs="Palatino Linotype"/>
        </w:rPr>
      </w:pPr>
      <w:r>
        <w:rPr>
          <w:rFonts w:ascii="Palatino Linotype" w:eastAsia="Palatino Linotype" w:hAnsi="Palatino Linotype" w:cs="Palatino Linotype"/>
        </w:rPr>
        <w:tab/>
      </w:r>
      <w:r>
        <w:rPr>
          <w:rFonts w:ascii="Palatino Linotype" w:eastAsia="Palatino Linotype" w:hAnsi="Palatino Linotype" w:cs="Palatino Linotype"/>
        </w:rPr>
        <w:tab/>
      </w:r>
      <w:r>
        <w:rPr>
          <w:rFonts w:ascii="Palatino Linotype" w:eastAsia="Palatino Linotype" w:hAnsi="Palatino Linotype" w:cs="Palatino Linotype"/>
        </w:rPr>
        <w:tab/>
      </w:r>
      <w:r>
        <w:rPr>
          <w:rFonts w:ascii="Palatino Linotype" w:eastAsia="Palatino Linotype" w:hAnsi="Palatino Linotype" w:cs="Palatino Linotype"/>
        </w:rPr>
        <w:tab/>
      </w:r>
      <w:r>
        <w:rPr>
          <w:rFonts w:ascii="Palatino Linotype" w:eastAsia="Palatino Linotype" w:hAnsi="Palatino Linotype" w:cs="Palatino Linotype"/>
        </w:rPr>
        <w:tab/>
        <w:t>karar verilmesi istemine ilişkindir.</w:t>
      </w:r>
    </w:p>
    <w:p w14:paraId="0000000A" w14:textId="1FAE3449" w:rsidR="009E0554" w:rsidRDefault="00000000" w:rsidP="00B763D9">
      <w:pPr>
        <w:tabs>
          <w:tab w:val="left" w:pos="709"/>
          <w:tab w:val="left" w:pos="851"/>
          <w:tab w:val="left" w:pos="3870"/>
        </w:tabs>
        <w:spacing w:line="23" w:lineRule="atLeast"/>
        <w:ind w:left="3960" w:hanging="3960"/>
        <w:jc w:val="both"/>
        <w:rPr>
          <w:rFonts w:ascii="Palatino Linotype" w:eastAsia="Palatino Linotype" w:hAnsi="Palatino Linotype" w:cs="Palatino Linotype"/>
        </w:rPr>
      </w:pPr>
      <w:r>
        <w:rPr>
          <w:rFonts w:ascii="Palatino Linotype" w:eastAsia="Palatino Linotype" w:hAnsi="Palatino Linotype" w:cs="Palatino Linotype"/>
          <w:b/>
          <w:u w:val="single"/>
        </w:rPr>
        <w:t xml:space="preserve">Dayanılan Hukuki Kurallar               </w:t>
      </w:r>
      <w:r w:rsidRPr="00E51CE3">
        <w:rPr>
          <w:rFonts w:ascii="Palatino Linotype" w:eastAsia="Palatino Linotype" w:hAnsi="Palatino Linotype" w:cs="Palatino Linotype"/>
          <w:b/>
          <w:bCs/>
          <w:u w:val="single"/>
        </w:rPr>
        <w:t>:</w:t>
      </w:r>
      <w:r>
        <w:rPr>
          <w:rFonts w:ascii="Palatino Linotype" w:eastAsia="Palatino Linotype" w:hAnsi="Palatino Linotype" w:cs="Palatino Linotype"/>
        </w:rPr>
        <w:t xml:space="preserve">    </w:t>
      </w:r>
      <w:r w:rsidRPr="00496041">
        <w:rPr>
          <w:rFonts w:ascii="Palatino Linotype" w:eastAsia="Palatino Linotype" w:hAnsi="Palatino Linotype" w:cs="Palatino Linotype"/>
        </w:rPr>
        <w:t>CMK’nın</w:t>
      </w:r>
      <w:r>
        <w:rPr>
          <w:rFonts w:ascii="Palatino Linotype" w:eastAsia="Palatino Linotype" w:hAnsi="Palatino Linotype" w:cs="Palatino Linotype"/>
          <w:highlight w:val="yellow"/>
        </w:rPr>
        <w:t xml:space="preserve"> 262//1 (eş veya vasi başvuracaksa bu madde yazılmalı, şahsi başvuru yapılacaksa çıkarılmalı)</w:t>
      </w:r>
      <w:r>
        <w:rPr>
          <w:rFonts w:ascii="Palatino Linotype" w:eastAsia="Palatino Linotype" w:hAnsi="Palatino Linotype" w:cs="Palatino Linotype"/>
        </w:rPr>
        <w:t xml:space="preserve"> 311/1-f maddesi</w:t>
      </w:r>
      <w:r w:rsidR="00E51CE3">
        <w:rPr>
          <w:rFonts w:ascii="Palatino Linotype" w:eastAsia="Palatino Linotype" w:hAnsi="Palatino Linotype" w:cs="Palatino Linotype"/>
        </w:rPr>
        <w:t>,</w:t>
      </w:r>
      <w:r>
        <w:rPr>
          <w:rFonts w:ascii="Palatino Linotype" w:eastAsia="Palatino Linotype" w:hAnsi="Palatino Linotype" w:cs="Palatino Linotype"/>
        </w:rPr>
        <w:t xml:space="preserve"> AY’n</w:t>
      </w:r>
      <w:r w:rsidR="00E51CE3">
        <w:rPr>
          <w:rFonts w:ascii="Palatino Linotype" w:eastAsia="Palatino Linotype" w:hAnsi="Palatino Linotype" w:cs="Palatino Linotype"/>
        </w:rPr>
        <w:t>i</w:t>
      </w:r>
      <w:r>
        <w:rPr>
          <w:rFonts w:ascii="Palatino Linotype" w:eastAsia="Palatino Linotype" w:hAnsi="Palatino Linotype" w:cs="Palatino Linotype"/>
        </w:rPr>
        <w:t>n 90. maddesi</w:t>
      </w:r>
      <w:r w:rsidR="00E51CE3">
        <w:rPr>
          <w:rFonts w:ascii="Palatino Linotype" w:eastAsia="Palatino Linotype" w:hAnsi="Palatino Linotype" w:cs="Palatino Linotype"/>
        </w:rPr>
        <w:t xml:space="preserve"> ve</w:t>
      </w:r>
      <w:r>
        <w:rPr>
          <w:rFonts w:ascii="Palatino Linotype" w:eastAsia="Palatino Linotype" w:hAnsi="Palatino Linotype" w:cs="Palatino Linotype"/>
        </w:rPr>
        <w:t xml:space="preserve"> AİHS’in 6</w:t>
      </w:r>
      <w:r w:rsidR="00E51CE3">
        <w:rPr>
          <w:rFonts w:ascii="Palatino Linotype" w:eastAsia="Palatino Linotype" w:hAnsi="Palatino Linotype" w:cs="Palatino Linotype"/>
        </w:rPr>
        <w:t>.</w:t>
      </w:r>
      <w:r>
        <w:rPr>
          <w:rFonts w:ascii="Palatino Linotype" w:eastAsia="Palatino Linotype" w:hAnsi="Palatino Linotype" w:cs="Palatino Linotype"/>
        </w:rPr>
        <w:t>, 7</w:t>
      </w:r>
      <w:r w:rsidR="00E51CE3">
        <w:rPr>
          <w:rFonts w:ascii="Palatino Linotype" w:eastAsia="Palatino Linotype" w:hAnsi="Palatino Linotype" w:cs="Palatino Linotype"/>
        </w:rPr>
        <w:t>.</w:t>
      </w:r>
      <w:r>
        <w:rPr>
          <w:rFonts w:ascii="Palatino Linotype" w:eastAsia="Palatino Linotype" w:hAnsi="Palatino Linotype" w:cs="Palatino Linotype"/>
        </w:rPr>
        <w:t xml:space="preserve"> ve 46. </w:t>
      </w:r>
      <w:r w:rsidR="00E51CE3">
        <w:rPr>
          <w:rFonts w:ascii="Palatino Linotype" w:eastAsia="Palatino Linotype" w:hAnsi="Palatino Linotype" w:cs="Palatino Linotype"/>
        </w:rPr>
        <w:t>m</w:t>
      </w:r>
      <w:r>
        <w:rPr>
          <w:rFonts w:ascii="Palatino Linotype" w:eastAsia="Palatino Linotype" w:hAnsi="Palatino Linotype" w:cs="Palatino Linotype"/>
        </w:rPr>
        <w:t>addeleri.</w:t>
      </w:r>
    </w:p>
    <w:p w14:paraId="0000000C" w14:textId="77777777" w:rsidR="009E0554" w:rsidRDefault="009E0554" w:rsidP="00841375">
      <w:pPr>
        <w:tabs>
          <w:tab w:val="left" w:pos="709"/>
          <w:tab w:val="left" w:pos="851"/>
          <w:tab w:val="left" w:pos="3870"/>
        </w:tabs>
        <w:spacing w:line="23" w:lineRule="atLeast"/>
        <w:rPr>
          <w:rFonts w:ascii="Palatino Linotype" w:eastAsia="Palatino Linotype" w:hAnsi="Palatino Linotype" w:cs="Palatino Linotype"/>
          <w:b/>
        </w:rPr>
      </w:pPr>
    </w:p>
    <w:p w14:paraId="0000000D" w14:textId="578FD331" w:rsidR="009E0554" w:rsidRPr="001B7936" w:rsidRDefault="00000000" w:rsidP="00B763D9">
      <w:pPr>
        <w:tabs>
          <w:tab w:val="left" w:pos="709"/>
          <w:tab w:val="left" w:pos="851"/>
          <w:tab w:val="left" w:pos="3870"/>
        </w:tabs>
        <w:spacing w:line="23" w:lineRule="atLeast"/>
        <w:ind w:left="3960" w:hanging="3960"/>
        <w:jc w:val="center"/>
        <w:rPr>
          <w:rFonts w:ascii="Palatino Linotype" w:eastAsia="Palatino Linotype" w:hAnsi="Palatino Linotype" w:cs="Palatino Linotype"/>
          <w:b/>
          <w:u w:val="single"/>
        </w:rPr>
      </w:pPr>
      <w:r w:rsidRPr="001B7936">
        <w:rPr>
          <w:rFonts w:ascii="Palatino Linotype" w:eastAsia="Palatino Linotype" w:hAnsi="Palatino Linotype" w:cs="Palatino Linotype"/>
          <w:b/>
          <w:u w:val="single"/>
        </w:rPr>
        <w:lastRenderedPageBreak/>
        <w:t>AÇIKLAMALAR</w:t>
      </w:r>
    </w:p>
    <w:p w14:paraId="0000000E" w14:textId="257160FB" w:rsidR="009E0554" w:rsidRDefault="00000000" w:rsidP="00B763D9">
      <w:pPr>
        <w:tabs>
          <w:tab w:val="left" w:pos="3870"/>
        </w:tabs>
        <w:spacing w:line="23" w:lineRule="atLeast"/>
        <w:ind w:left="709" w:hanging="425"/>
        <w:jc w:val="both"/>
        <w:rPr>
          <w:rFonts w:ascii="Palatino Linotype" w:eastAsia="Palatino Linotype" w:hAnsi="Palatino Linotype" w:cs="Palatino Linotype"/>
          <w:b/>
        </w:rPr>
      </w:pPr>
      <w:r>
        <w:rPr>
          <w:rFonts w:ascii="Palatino Linotype" w:eastAsia="Palatino Linotype" w:hAnsi="Palatino Linotype" w:cs="Palatino Linotype"/>
          <w:b/>
        </w:rPr>
        <w:t xml:space="preserve">I. </w:t>
      </w:r>
      <w:r w:rsidR="00D669DC">
        <w:rPr>
          <w:rFonts w:ascii="Palatino Linotype" w:eastAsia="Palatino Linotype" w:hAnsi="Palatino Linotype" w:cs="Palatino Linotype"/>
          <w:b/>
          <w:highlight w:val="yellow"/>
        </w:rPr>
        <w:t xml:space="preserve"> </w:t>
      </w:r>
      <w:r w:rsidR="00D669DC" w:rsidRPr="00D669DC">
        <w:rPr>
          <w:rFonts w:ascii="Palatino Linotype" w:eastAsia="Palatino Linotype" w:hAnsi="Palatino Linotype" w:cs="Palatino Linotype"/>
          <w:b/>
          <w:highlight w:val="yellow"/>
        </w:rPr>
        <w:t>HAKKIMDA VERİLEN/ EŞİM HAKKINDA VERİLEN/VASİSİ OLDUĞUM ... HAKKINDA VERİLEN/MÜVEKKİL HAKKINDA VERİLEN MAHKUMİYET GEREKÇESİ</w:t>
      </w:r>
    </w:p>
    <w:p w14:paraId="0000000F" w14:textId="40760D28" w:rsidR="009E0554" w:rsidRDefault="00000000" w:rsidP="000B7997">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Mahkemenizin </w:t>
      </w:r>
      <w:r w:rsidR="00340C74" w:rsidRPr="00D669DC">
        <w:rPr>
          <w:rFonts w:ascii="Palatino Linotype" w:eastAsia="Palatino Linotype" w:hAnsi="Palatino Linotype" w:cs="Palatino Linotype"/>
          <w:color w:val="000000"/>
          <w:highlight w:val="yellow"/>
        </w:rPr>
        <w:t xml:space="preserve">... tarihli, </w:t>
      </w:r>
      <w:r w:rsidRPr="00D669DC">
        <w:rPr>
          <w:rFonts w:ascii="Palatino Linotype" w:eastAsia="Palatino Linotype" w:hAnsi="Palatino Linotype" w:cs="Palatino Linotype"/>
          <w:color w:val="000000"/>
          <w:highlight w:val="yellow"/>
        </w:rPr>
        <w:t>….E. ve ….K….</w:t>
      </w:r>
      <w:r>
        <w:rPr>
          <w:rFonts w:ascii="Palatino Linotype" w:eastAsia="Palatino Linotype" w:hAnsi="Palatino Linotype" w:cs="Palatino Linotype"/>
          <w:color w:val="000000"/>
        </w:rPr>
        <w:t xml:space="preserve"> sayılı kararı ile </w:t>
      </w:r>
      <w:r w:rsidR="00340C74">
        <w:rPr>
          <w:rFonts w:ascii="Palatino Linotype" w:eastAsia="Palatino Linotype" w:hAnsi="Palatino Linotype" w:cs="Palatino Linotype"/>
          <w:color w:val="000000"/>
        </w:rPr>
        <w:t>TCK’nın 314/2. maddesi uyarınca</w:t>
      </w:r>
      <w:r>
        <w:rPr>
          <w:rFonts w:ascii="Palatino Linotype" w:eastAsia="Palatino Linotype" w:hAnsi="Palatino Linotype" w:cs="Palatino Linotype"/>
          <w:color w:val="000000"/>
        </w:rPr>
        <w:t xml:space="preserve"> silahlı terör örgütüne üyelik suçlaması ile …. hapis cezasına </w:t>
      </w:r>
      <w:r>
        <w:rPr>
          <w:rFonts w:ascii="Palatino Linotype" w:eastAsia="Palatino Linotype" w:hAnsi="Palatino Linotype" w:cs="Palatino Linotype"/>
          <w:color w:val="000000"/>
          <w:highlight w:val="yellow"/>
        </w:rPr>
        <w:t>mahkum edildim/eşim-vasisi olduğum(kişi ismi yazılacak)/müvekkil mahkum edildi</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highlight w:val="yellow"/>
        </w:rPr>
        <w:t>Hakkımdaki/hakkındaki</w:t>
      </w:r>
      <w:r>
        <w:rPr>
          <w:rFonts w:ascii="Palatino Linotype" w:eastAsia="Palatino Linotype" w:hAnsi="Palatino Linotype" w:cs="Palatino Linotype"/>
          <w:color w:val="000000"/>
        </w:rPr>
        <w:t xml:space="preserve"> karar …tarihinde kesinleşmiştir.</w:t>
      </w:r>
    </w:p>
    <w:p w14:paraId="17C706C1" w14:textId="77777777" w:rsidR="000B7997" w:rsidRDefault="00000000" w:rsidP="000B7997">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highlight w:val="yellow"/>
        </w:rPr>
        <w:t>Hakkımdaki/hakkındaki</w:t>
      </w:r>
      <w:r>
        <w:rPr>
          <w:rFonts w:ascii="Palatino Linotype" w:eastAsia="Palatino Linotype" w:hAnsi="Palatino Linotype" w:cs="Palatino Linotype"/>
          <w:color w:val="000000"/>
        </w:rPr>
        <w:t xml:space="preserve"> mahkumiyet gerekçesi; sırasıyla </w:t>
      </w:r>
      <w:r>
        <w:rPr>
          <w:rFonts w:ascii="Palatino Linotype" w:eastAsia="Palatino Linotype" w:hAnsi="Palatino Linotype" w:cs="Palatino Linotype"/>
          <w:color w:val="000000"/>
          <w:highlight w:val="yellow"/>
        </w:rPr>
        <w:t>(herkes kendi mahkumiyet gerekçesini yazmalı)</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highlight w:val="yellow"/>
        </w:rPr>
        <w:t>ByLock uygulamasını indirmek, Bank Asya’da hesap açmak, …derneğine ve …sendikasına üye olmak, …x okulunda okumak, …x gazetesi ve dergisine abone olmak, …x aboneliğini sonlandırmak, … 1 Amerikan Doları bulundurmak, …x derneğine yardım etmek, …x tanığın beyanı ile cemaat sohbetlerine katılmak, çocuğunu …x okulunda okutturmak, örgüte üyelikten hakkında soruşturma açılmış olan xyz kişiler ile görüşmek, seçimlerde …x partisine veya (HSK ve vb kurum seçimlerinde) x grubuna destek vermek (vb)</w:t>
      </w:r>
      <w:r>
        <w:rPr>
          <w:rFonts w:ascii="Palatino Linotype" w:eastAsia="Palatino Linotype" w:hAnsi="Palatino Linotype" w:cs="Palatino Linotype"/>
          <w:color w:val="000000"/>
        </w:rPr>
        <w:t xml:space="preserve"> hususlarına dayandırılmıştır. </w:t>
      </w:r>
    </w:p>
    <w:p w14:paraId="05818A44" w14:textId="77777777" w:rsidR="000B7997" w:rsidRPr="000B7997" w:rsidRDefault="00000000" w:rsidP="000B7997">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bCs/>
          <w:color w:val="000000"/>
        </w:rPr>
      </w:pPr>
      <w:r w:rsidRPr="000B7997">
        <w:rPr>
          <w:rFonts w:ascii="Palatino Linotype" w:hAnsi="Palatino Linotype"/>
          <w:bCs/>
        </w:rPr>
        <w:t>Mahkûmiyete gerekçe yapılan bu olguların hukuki niteliği, ülkemizin ceza ve ceza muhakemesi hukuku alanındaki en yetkin akademisyenleri</w:t>
      </w:r>
      <w:r w:rsidR="000B7997" w:rsidRPr="000B7997">
        <w:rPr>
          <w:rFonts w:ascii="Palatino Linotype" w:hAnsi="Palatino Linotype"/>
          <w:bCs/>
        </w:rPr>
        <w:t>nden</w:t>
      </w:r>
      <w:r w:rsidRPr="000B7997">
        <w:rPr>
          <w:rFonts w:ascii="Palatino Linotype" w:hAnsi="Palatino Linotype"/>
          <w:bCs/>
        </w:rPr>
        <w:t xml:space="preserve"> olan Prof. Dr. Adem SÖZÜER, Prof. Dr. İzzet ÖZGENÇ, Prof. Dr. Faruk TURHAN, Prof. Dr. Cumhur ŞAHİN ve Prof. Dr. Tolga ŞİRİN tarafından CMK m. 67/6 hükmüne istinaden hazırlanan hukukî mütalaada ayrıntılı biçimde ele alınmıştır (Mütalaa, s. 1). Mütalaada, AİHM’in banka hesabı ile sendika ve dernek üyeliklerini, gerçekleştirildikleri tarihte “yasallık karinesinden yararlanan görünüşte yasal eylemler” olarak nitelendirdiği ve yerel mahkemelerin bu eylemlerin örgüt üyeliği suçu kapsamında değerlendirilmesi hususunda anlamlı bir tartışma yapmadığını kaydettiği belirtilmiştir (Mütalaa, s. 34).</w:t>
      </w:r>
    </w:p>
    <w:p w14:paraId="7D87B7C9" w14:textId="7AE700C5" w:rsidR="009E0554" w:rsidRPr="000B7997" w:rsidRDefault="00000000" w:rsidP="000B7997">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bCs/>
          <w:color w:val="000000"/>
        </w:rPr>
      </w:pPr>
      <w:r w:rsidRPr="000B7997">
        <w:rPr>
          <w:rFonts w:ascii="Palatino Linotype" w:hAnsi="Palatino Linotype"/>
          <w:bCs/>
        </w:rPr>
        <w:t>Mütalaada bu hususta AİHM’in Çakar ve diğerleri/Türkiye ile Yaman ve diğerleri/Türkiye kararlarına atıf yapılarak, yasal yayınlara abone olmak, hukuka uygun şekilde faaliyet gösteren okullara çocukları kaydettirmek ve ilgili bankada hesap bulundurmak gibi eylemlerin “yalnızca dolaylı nitelikte” olduğu ve ek deliller bulunmadıkça makul bir şüphe dahi doğuramayacağı vurgulanmıştır. Mütalaanın isabetle belirttiği üzere, “tutuklama için gereken şüphe düzeyini karşılamayan bir delilin hüküm için de yetmeyeceği açıktır.” (Mütalaa, s. 50-51). Anayasa Mahkemesi de M.G. ve Hüda Kaya kararlarında, sohbetlere katılma, sendika üyeliği ve banka hesabı bulundurma gibi olguların talimatla gerçekleştiği ortaya konulmadıkça kuvvetli suç belirtisi dahi oluşturmayacağını kabul etmiştir (Mütalaa, s. 51-52).</w:t>
      </w:r>
    </w:p>
    <w:p w14:paraId="00000011" w14:textId="77232BC7" w:rsidR="009E0554" w:rsidRDefault="00000000" w:rsidP="000B7997">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Bununla birlikte AİHM, anılan mahkûmiyet kararına ilişkin olarak, AİHS</w:t>
      </w:r>
      <w:r w:rsidR="00340C74">
        <w:rPr>
          <w:rFonts w:ascii="Palatino Linotype" w:eastAsia="Palatino Linotype" w:hAnsi="Palatino Linotype" w:cs="Palatino Linotype"/>
          <w:color w:val="000000"/>
        </w:rPr>
        <w:t>’in</w:t>
      </w:r>
      <w:r>
        <w:rPr>
          <w:rFonts w:ascii="Palatino Linotype" w:eastAsia="Palatino Linotype" w:hAnsi="Palatino Linotype" w:cs="Palatino Linotype"/>
          <w:color w:val="000000"/>
        </w:rPr>
        <w:t xml:space="preserve"> 6. maddesinde güvence altına alınan adil yargılanma hakkı</w:t>
      </w:r>
      <w:r w:rsidR="00BE5008">
        <w:rPr>
          <w:rFonts w:ascii="Palatino Linotype" w:eastAsia="Palatino Linotype" w:hAnsi="Palatino Linotype" w:cs="Palatino Linotype"/>
          <w:color w:val="000000"/>
        </w:rPr>
        <w:t xml:space="preserve">nın </w:t>
      </w:r>
      <w:r>
        <w:rPr>
          <w:rFonts w:ascii="Palatino Linotype" w:eastAsia="Palatino Linotype" w:hAnsi="Palatino Linotype" w:cs="Palatino Linotype"/>
          <w:color w:val="000000"/>
        </w:rPr>
        <w:t xml:space="preserve">ihlal edildiğine karar vermiştir. İşbu dilekçe, </w:t>
      </w:r>
      <w:r>
        <w:rPr>
          <w:rFonts w:ascii="Palatino Linotype" w:eastAsia="Palatino Linotype" w:hAnsi="Palatino Linotype" w:cs="Palatino Linotype"/>
          <w:b/>
          <w:color w:val="000000"/>
        </w:rPr>
        <w:t>AİHM’in söz konusu ihlal kararı doğrultusunda yargılamanın yenilenmesi talebine ilişkindir.</w:t>
      </w:r>
    </w:p>
    <w:p w14:paraId="00000012" w14:textId="4F76486A" w:rsidR="009E0554" w:rsidRDefault="00000000" w:rsidP="000B7997">
      <w:pPr>
        <w:tabs>
          <w:tab w:val="left" w:pos="3870"/>
        </w:tabs>
        <w:spacing w:line="23" w:lineRule="atLeast"/>
        <w:ind w:left="284"/>
        <w:jc w:val="both"/>
        <w:rPr>
          <w:rFonts w:ascii="Palatino Linotype" w:eastAsia="Palatino Linotype" w:hAnsi="Palatino Linotype" w:cs="Palatino Linotype"/>
          <w:b/>
        </w:rPr>
      </w:pPr>
      <w:r>
        <w:rPr>
          <w:rFonts w:ascii="Palatino Linotype" w:eastAsia="Palatino Linotype" w:hAnsi="Palatino Linotype" w:cs="Palatino Linotype"/>
          <w:b/>
        </w:rPr>
        <w:t xml:space="preserve">II. </w:t>
      </w:r>
      <w:r w:rsidR="00D669DC" w:rsidRPr="00D669DC">
        <w:rPr>
          <w:rFonts w:ascii="Palatino Linotype" w:eastAsia="Palatino Linotype" w:hAnsi="Palatino Linotype" w:cs="Palatino Linotype"/>
          <w:b/>
        </w:rPr>
        <w:t>YARGILAMANIN YENİLENMESİ TALEBİNİN DAYANDIĞI HUKUKİ KURALLAR</w:t>
      </w:r>
    </w:p>
    <w:p w14:paraId="3B70A5B9" w14:textId="77777777" w:rsidR="000B7997" w:rsidRDefault="00000000" w:rsidP="000B7997">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Hükümlü lehine </w:t>
      </w:r>
      <w:r>
        <w:rPr>
          <w:rFonts w:ascii="Palatino Linotype" w:eastAsia="Palatino Linotype" w:hAnsi="Palatino Linotype" w:cs="Palatino Linotype"/>
          <w:b/>
          <w:color w:val="000000"/>
        </w:rPr>
        <w:t>yargılamanın yenilenmesi nedenleri CMK’nın 311. maddesinde</w:t>
      </w:r>
      <w:r>
        <w:rPr>
          <w:rFonts w:ascii="Palatino Linotype" w:eastAsia="Palatino Linotype" w:hAnsi="Palatino Linotype" w:cs="Palatino Linotype"/>
          <w:color w:val="000000"/>
        </w:rPr>
        <w:t xml:space="preserve"> düzenlenmiştir. </w:t>
      </w:r>
      <w:r w:rsidRPr="00173FAF">
        <w:rPr>
          <w:rFonts w:ascii="Palatino Linotype" w:eastAsia="Palatino Linotype" w:hAnsi="Palatino Linotype" w:cs="Palatino Linotype"/>
          <w:color w:val="000000"/>
          <w:highlight w:val="yellow"/>
        </w:rPr>
        <w:t>Lehime/eşimin lehine/Müvekkil açısından</w:t>
      </w:r>
      <w:r>
        <w:rPr>
          <w:rFonts w:ascii="Palatino Linotype" w:eastAsia="Palatino Linotype" w:hAnsi="Palatino Linotype" w:cs="Palatino Linotype"/>
          <w:color w:val="000000"/>
        </w:rPr>
        <w:t xml:space="preserve"> yargılamanın yenilenmesi dayanağını oluşturacak düzenleme aşağıdaki gibidir: </w:t>
      </w:r>
    </w:p>
    <w:p w14:paraId="1D6A12CE" w14:textId="77777777" w:rsidR="000B7997" w:rsidRDefault="00000000" w:rsidP="000B7997">
      <w:p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rPr>
      </w:pPr>
      <w:r w:rsidRPr="000B7997">
        <w:rPr>
          <w:rFonts w:ascii="Palatino Linotype" w:eastAsia="Palatino Linotype" w:hAnsi="Palatino Linotype" w:cs="Palatino Linotype"/>
          <w:b/>
          <w:i/>
          <w:color w:val="000000"/>
        </w:rPr>
        <w:lastRenderedPageBreak/>
        <w:t>“Madde 311 – (1)</w:t>
      </w:r>
      <w:r w:rsidRPr="000B7997">
        <w:rPr>
          <w:rFonts w:ascii="Palatino Linotype" w:eastAsia="Palatino Linotype" w:hAnsi="Palatino Linotype" w:cs="Palatino Linotype"/>
          <w:i/>
          <w:color w:val="000000"/>
        </w:rPr>
        <w:t xml:space="preserve"> Kesinleşen bir hükümle sonuçlanmış bir dava, aşağıda yazılı hâllerde hükümlü lehine olarak yargılamanın yenilenmesi yoluyla tekrar görülür:</w:t>
      </w:r>
    </w:p>
    <w:p w14:paraId="79FE79C7" w14:textId="77777777" w:rsidR="000B7997" w:rsidRDefault="00000000" w:rsidP="000B7997">
      <w:p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rPr>
      </w:pPr>
      <w:r w:rsidRPr="000B7997">
        <w:rPr>
          <w:rFonts w:ascii="Palatino Linotype" w:eastAsia="Palatino Linotype" w:hAnsi="Palatino Linotype" w:cs="Palatino Linotype"/>
          <w:i/>
          <w:color w:val="000000"/>
        </w:rPr>
        <w:t xml:space="preserve"> </w:t>
      </w:r>
      <w:r w:rsidRPr="000B7997">
        <w:rPr>
          <w:rFonts w:ascii="Palatino Linotype" w:eastAsia="Palatino Linotype" w:hAnsi="Palatino Linotype" w:cs="Palatino Linotype"/>
          <w:b/>
          <w:i/>
          <w:color w:val="000000"/>
        </w:rPr>
        <w:t>f)</w:t>
      </w:r>
      <w:r w:rsidRPr="000B7997">
        <w:rPr>
          <w:rFonts w:ascii="Palatino Linotype" w:eastAsia="Palatino Linotype" w:hAnsi="Palatino Linotype" w:cs="Palatino Linotype"/>
          <w:i/>
          <w:color w:val="000000"/>
        </w:rPr>
        <w:t xml:space="preserve"> Ceza hükmünün, İnsan Haklarını ve Ana Hürriyetleri Korumaya Dair Sözleşmenin veya eki protokollerin ihlâli suretiyle verildiğinin ve hükmün bu aykırılığa dayandığının, Avrupa İnsan Hakları Mahkemesinin kesinleşmiş kararıyla tespit edilmiş olması veya ceza hükmü aleyhine Avrupa İnsan Hakları Mahkemesine yapılan başvuru hakkında dostane çözüm ya da tek taraflı deklarasyon sonucunda düşme kararı verilmesi. </w:t>
      </w:r>
      <w:r w:rsidRPr="000B7997">
        <w:rPr>
          <w:rFonts w:ascii="Palatino Linotype" w:eastAsia="Palatino Linotype" w:hAnsi="Palatino Linotype" w:cs="Palatino Linotype"/>
          <w:b/>
          <w:i/>
          <w:color w:val="000000"/>
        </w:rPr>
        <w:t>Bu hâlde yargılamanın yenilenmesi, Avrupa İnsan Hakları Mahkemesi kararının kesinleştiği tarihten itibaren bir yıl içinde istenebilir.”</w:t>
      </w:r>
    </w:p>
    <w:p w14:paraId="2F861A5E" w14:textId="77777777" w:rsidR="000B7997" w:rsidRPr="000B7997" w:rsidRDefault="00000000" w:rsidP="000B7997">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bCs/>
          <w:color w:val="000000"/>
        </w:rPr>
      </w:pPr>
      <w:r w:rsidRPr="000B7997">
        <w:rPr>
          <w:rFonts w:ascii="Palatino Linotype" w:hAnsi="Palatino Linotype"/>
          <w:bCs/>
        </w:rPr>
        <w:t>Mütalaada, CMK m. 311/1-f hükmünün münhasıran hükümlü lehine bir yargılamanın yenilenmesi nedeni olarak kabul edildiği; bu sürecin Anayasa (m. 90/5) ve AİHS (m. 46) hükümlerinden kaynaklanan amacının, ihlalin ve doğurduğu tüm haksız sonuçların bütünüyle ortadan kaldırılması, diğer bir ifadeyle hukuken mümkün olduğu ölçüde hükümlünün ihlalden önceki durumuna döndürülmesini gerektiren “eski hâle getirme” (restitutio in integrum) yükümlülüğünün eksiksiz olarak yerine getirilmesi olduğu belirtilmiştir (Mütalaa, s. 11-12 ve s. 66).</w:t>
      </w:r>
    </w:p>
    <w:p w14:paraId="34B7191D" w14:textId="77777777" w:rsidR="000B7997" w:rsidRDefault="00000000" w:rsidP="000B7997">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bCs/>
          <w:color w:val="000000"/>
        </w:rPr>
      </w:pPr>
      <w:r w:rsidRPr="000B7997">
        <w:rPr>
          <w:rFonts w:ascii="Palatino Linotype" w:hAnsi="Palatino Linotype"/>
          <w:bCs/>
        </w:rPr>
        <w:t>Mütalaada bu sürecin sınırları da açıkça çizilmiştir: CMK m. 311/1-f kapsamında yürütülen yargılamanın yenilenmesi süreci, iddia makamına veya mahkemeye sıfırdan yeni bir kamu davası inşa etme ya da serbestçe hükümlü aleyhine delil toplama yetkisi veren genel bir kovuşturma evresi değildir. Mahkemenin hareket alanı, AİHM kararında tespit edilen ihlali ve sonuçlarını giderme amacıyla sınırlıdır; re’sen hükümlü aleyhine yeni delil araştırması yapılması, hükümlü lehine öngörülen bu yolun hükümlü aleyhine uygulanması anlamına gelir ve açıkça hukuka aykırıdır (Mütalaa, s. 13 ve s. 67).</w:t>
      </w:r>
    </w:p>
    <w:p w14:paraId="2BCA47A8" w14:textId="77777777" w:rsidR="000B7997" w:rsidRPr="000B7997" w:rsidRDefault="000B7997" w:rsidP="000B7997">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bCs/>
          <w:color w:val="000000"/>
        </w:rPr>
      </w:pPr>
      <w:r w:rsidRPr="000B7997">
        <w:rPr>
          <w:rFonts w:ascii="Palatino Linotype" w:hAnsi="Palatino Linotype"/>
          <w:bCs/>
        </w:rPr>
        <w:t>Mütalaada, maddi vakıanın belirli olduğu ve ispata ilişkin bir sorunun bulunmadığı durumlarda mahkemenin dosya üzerinden doğrudan hukuki değerlendirme aşamasına geçmesi gerektiği; sırf usulî tekrar amacıyla mükerrer sorgu yapılmasının ve bu amaçla zorla getirme kararı verilmesinin ölçülülük, zorunluluk ve makul sürede yargılanma ilkelerine aykırı olduğu; suçun unsurlarının oluşmadığının tespit edildiği hâllerde ise CMK m. 322/2 uyarınca, Cumhuriyet savcısının uygun görüşü alınarak duruşma yapılmaksızın hükümlünün derhâl beraatine karar verilebileceği ifade edilmiştir (Mütalaa, s. 28 ve s. 68).</w:t>
      </w:r>
    </w:p>
    <w:p w14:paraId="475832A7" w14:textId="24DF443F" w:rsidR="000B7997" w:rsidRPr="000B7997" w:rsidRDefault="000B7997" w:rsidP="000B7997">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bCs/>
          <w:color w:val="000000"/>
        </w:rPr>
      </w:pPr>
      <w:r w:rsidRPr="000B7997">
        <w:rPr>
          <w:rFonts w:ascii="Palatino Linotype" w:hAnsi="Palatino Linotype"/>
          <w:bCs/>
        </w:rPr>
        <w:t>Yine, infazın durdurulması bakımından da açık bir sonuca varılmıştır: infazın devamının telafisi güç ya da imkânsız sonuçlara yol açacağı kanaatine varılması hâlinde infazın durdurulmasına karar verilmelidir. AİHM tarafından verilmiş bir ihlal kararının varlığı durumunda yerel mahkemenin takdir yetkisi daralmakta olup, bu yetki AİHS m. 46’dan kaynaklanan icra yükümlülüğü çerçevesinde kullanılmalıdır. Ayrıca hükmün infazına devam edilmesi, AİHS m. 5’te güvence altına alınan özgürlük ve güvenlik hakkı bakımından da yeni bir ihlale yol açacaktır (Mütalaa, s. 29-30 ve s. 68).</w:t>
      </w:r>
    </w:p>
    <w:p w14:paraId="16D5B779" w14:textId="4E393DC4" w:rsidR="000B7997" w:rsidRPr="000B7997" w:rsidRDefault="000B7997" w:rsidP="000B7997">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bCs/>
          <w:color w:val="000000"/>
        </w:rPr>
      </w:pPr>
      <w:r w:rsidRPr="000B7997">
        <w:rPr>
          <w:rFonts w:ascii="Palatino Linotype" w:hAnsi="Palatino Linotype"/>
          <w:bCs/>
        </w:rPr>
        <w:t>Cezanın infazının tamamlandığı dosyalar bakımından ise mütalaada, “yurt dışına çıkamamak” şeklindeki adli kontrol tedbirinin uygulanmasına devam edilmesinin veya re’sen yeni tedbirlere hükmedilmesinin usulen mümkün olmadığı; tedbirin meşru amacının ortadan kalktığı; bu nitelikteki kısıtlamaların koruma tedbirini bir muhakeme güvencesi olmaktan çıkararak fiilen “ikinci bir cezalandırma” yaptırımına dönüştürdüğü, non bis in idem ilkesinin ruhunu zedelediği ve seyahat hürriyetini ihlal ettiği ifade edilmiştir (Mütalaa, s. 33 ve s. 68-69).</w:t>
      </w:r>
    </w:p>
    <w:p w14:paraId="48D767A7" w14:textId="6C1CDBA2" w:rsidR="009F07BE" w:rsidRPr="000B7997" w:rsidRDefault="00000000" w:rsidP="000B7997">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bCs/>
          <w:color w:val="000000"/>
        </w:rPr>
      </w:pPr>
      <w:r w:rsidRPr="000B7997">
        <w:rPr>
          <w:rFonts w:ascii="Palatino Linotype" w:hAnsi="Palatino Linotype"/>
          <w:bCs/>
        </w:rPr>
        <w:lastRenderedPageBreak/>
        <w:t>Nitekim mütalaada, işbu dilekçeye konu Seyhan ve diğerleri/Türkiye kararı da AİHS m. 6/1 bakımından ihlal tespit edilen kararlar arasında açıkça sayılmış; bu kararların CMK m. 311/1-f kapsamında yargılamanın yenilenmesi nedeni oluşturduğu belirtilmiştir (Mütalaa, s. 14-15).</w:t>
      </w:r>
    </w:p>
    <w:p w14:paraId="61FFA099" w14:textId="09AF74CC" w:rsidR="009F07BE" w:rsidRDefault="00000000" w:rsidP="000B7997">
      <w:pPr>
        <w:pBdr>
          <w:top w:val="nil"/>
          <w:left w:val="nil"/>
          <w:bottom w:val="nil"/>
          <w:right w:val="nil"/>
          <w:between w:val="nil"/>
        </w:pBdr>
        <w:tabs>
          <w:tab w:val="left" w:pos="3870"/>
        </w:tabs>
        <w:spacing w:line="23" w:lineRule="atLeast"/>
        <w:ind w:left="709" w:hanging="425"/>
        <w:jc w:val="both"/>
        <w:rPr>
          <w:rFonts w:ascii="Palatino Linotype" w:eastAsia="Palatino Linotype" w:hAnsi="Palatino Linotype" w:cs="Palatino Linotype"/>
          <w:color w:val="000000"/>
        </w:rPr>
      </w:pPr>
      <w:r w:rsidRPr="009F07BE">
        <w:rPr>
          <w:rFonts w:ascii="Palatino Linotype" w:eastAsia="Palatino Linotype" w:hAnsi="Palatino Linotype" w:cs="Palatino Linotype"/>
          <w:b/>
          <w:color w:val="000000"/>
        </w:rPr>
        <w:t xml:space="preserve">III. </w:t>
      </w:r>
      <w:r w:rsidR="00D669DC" w:rsidRPr="00D669DC">
        <w:rPr>
          <w:rFonts w:ascii="Palatino Linotype" w:eastAsia="Palatino Linotype" w:hAnsi="Palatino Linotype" w:cs="Palatino Linotype"/>
          <w:b/>
          <w:color w:val="000000"/>
        </w:rPr>
        <w:t>YARGILAMANIN YENİLENMESİ TALEBİNİN NEDENİ VE SEYHAN VE DİĞERLERİ KARARI İLE YALÇINKAYA KARARI ARASINDAKİ BAĞLANTI</w:t>
      </w:r>
    </w:p>
    <w:p w14:paraId="6677FB1E" w14:textId="70CDEB12" w:rsidR="00CB6888" w:rsidRPr="00CB6888" w:rsidRDefault="00073CD8" w:rsidP="000B7997">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lang w:val="tr-TR"/>
        </w:rPr>
      </w:pPr>
      <w:r w:rsidRPr="009F07BE">
        <w:rPr>
          <w:rFonts w:ascii="Palatino Linotype" w:eastAsia="Palatino Linotype" w:hAnsi="Palatino Linotype" w:cs="Palatino Linotype"/>
          <w:color w:val="000000"/>
          <w:lang w:val="tr-TR"/>
        </w:rPr>
        <w:t xml:space="preserve">AİHM, </w:t>
      </w:r>
      <w:r w:rsidR="00CB6888" w:rsidRPr="00CB6888">
        <w:rPr>
          <w:rFonts w:ascii="Palatino Linotype" w:eastAsia="Palatino Linotype" w:hAnsi="Palatino Linotype" w:cs="Palatino Linotype"/>
          <w:b/>
          <w:bCs/>
          <w:color w:val="000000"/>
          <w:lang w:val="tr-TR"/>
        </w:rPr>
        <w:t>16 Aralık 2025</w:t>
      </w:r>
      <w:r w:rsidR="00CB6888" w:rsidRPr="00CB6888">
        <w:rPr>
          <w:rFonts w:ascii="Palatino Linotype" w:eastAsia="Palatino Linotype" w:hAnsi="Palatino Linotype" w:cs="Palatino Linotype"/>
          <w:color w:val="000000"/>
          <w:lang w:val="tr-TR"/>
        </w:rPr>
        <w:t xml:space="preserve"> tarihli </w:t>
      </w:r>
      <w:r w:rsidR="00CB6888" w:rsidRPr="00CB6888">
        <w:rPr>
          <w:rFonts w:ascii="Palatino Linotype" w:eastAsia="Palatino Linotype" w:hAnsi="Palatino Linotype" w:cs="Palatino Linotype"/>
          <w:b/>
          <w:bCs/>
          <w:color w:val="000000"/>
          <w:lang w:val="tr-TR"/>
        </w:rPr>
        <w:t>Seyhan ve Diğerleri</w:t>
      </w:r>
      <w:r w:rsidR="00CB6888" w:rsidRPr="00CB6888">
        <w:rPr>
          <w:rFonts w:ascii="Palatino Linotype" w:eastAsia="Palatino Linotype" w:hAnsi="Palatino Linotype" w:cs="Palatino Linotype"/>
          <w:color w:val="000000"/>
          <w:lang w:val="tr-TR"/>
        </w:rPr>
        <w:t xml:space="preserve"> kararında </w:t>
      </w:r>
      <w:r w:rsidR="00CB6888" w:rsidRPr="00BE5008">
        <w:rPr>
          <w:rFonts w:ascii="Palatino Linotype" w:eastAsia="Palatino Linotype" w:hAnsi="Palatino Linotype" w:cs="Palatino Linotype"/>
          <w:color w:val="000000"/>
          <w:lang w:val="tr-TR"/>
        </w:rPr>
        <w:t>(kesinleşme: 16 Aralık 2025),</w:t>
      </w:r>
      <w:r w:rsidR="00CB6888" w:rsidRPr="00CB6888">
        <w:rPr>
          <w:rFonts w:ascii="Palatino Linotype" w:eastAsia="Palatino Linotype" w:hAnsi="Palatino Linotype" w:cs="Palatino Linotype"/>
          <w:color w:val="000000"/>
          <w:lang w:val="tr-TR"/>
        </w:rPr>
        <w:t xml:space="preserve"> aralarında </w:t>
      </w:r>
      <w:r w:rsidR="00CB6888" w:rsidRPr="00CB6888">
        <w:rPr>
          <w:rFonts w:ascii="Palatino Linotype" w:eastAsia="Palatino Linotype" w:hAnsi="Palatino Linotype" w:cs="Palatino Linotype"/>
          <w:color w:val="000000"/>
          <w:highlight w:val="yellow"/>
          <w:lang w:val="tr-TR"/>
        </w:rPr>
        <w:t xml:space="preserve">şahsımın/eşimin/müvekkilin de </w:t>
      </w:r>
      <w:r w:rsidR="00CB6888" w:rsidRPr="00CB6888">
        <w:rPr>
          <w:rFonts w:ascii="Palatino Linotype" w:eastAsia="Palatino Linotype" w:hAnsi="Palatino Linotype" w:cs="Palatino Linotype"/>
          <w:b/>
          <w:bCs/>
          <w:color w:val="000000"/>
          <w:highlight w:val="yellow"/>
          <w:u w:val="single"/>
          <w:lang w:val="tr-TR"/>
        </w:rPr>
        <w:t>kararın … sıra numarasında</w:t>
      </w:r>
      <w:r w:rsidR="00CB6888" w:rsidRPr="00CB6888">
        <w:rPr>
          <w:rFonts w:ascii="Palatino Linotype" w:eastAsia="Palatino Linotype" w:hAnsi="Palatino Linotype" w:cs="Palatino Linotype"/>
          <w:color w:val="000000"/>
          <w:lang w:val="tr-TR"/>
        </w:rPr>
        <w:t xml:space="preserve"> yer aldığı </w:t>
      </w:r>
      <w:r w:rsidR="00CB6888" w:rsidRPr="00CB6888">
        <w:rPr>
          <w:rFonts w:ascii="Palatino Linotype" w:eastAsia="Palatino Linotype" w:hAnsi="Palatino Linotype" w:cs="Palatino Linotype"/>
          <w:b/>
          <w:bCs/>
          <w:color w:val="000000"/>
          <w:lang w:val="tr-TR"/>
        </w:rPr>
        <w:t>852</w:t>
      </w:r>
      <w:r w:rsidR="00CB6888" w:rsidRPr="00CB6888">
        <w:rPr>
          <w:rFonts w:ascii="Palatino Linotype" w:eastAsia="Palatino Linotype" w:hAnsi="Palatino Linotype" w:cs="Palatino Linotype"/>
          <w:color w:val="000000"/>
          <w:lang w:val="tr-TR"/>
        </w:rPr>
        <w:t xml:space="preserve"> başvurucu için AİHS’in </w:t>
      </w:r>
      <w:r w:rsidR="00CB6888" w:rsidRPr="00F36AA1">
        <w:rPr>
          <w:rFonts w:ascii="Palatino Linotype" w:eastAsia="Palatino Linotype" w:hAnsi="Palatino Linotype" w:cs="Palatino Linotype"/>
          <w:color w:val="000000"/>
          <w:lang w:val="tr-TR"/>
        </w:rPr>
        <w:t>6. maddesinin (adil yargılanma hakkı)</w:t>
      </w:r>
      <w:r w:rsidR="00CB6888" w:rsidRPr="00CB6888">
        <w:rPr>
          <w:rFonts w:ascii="Palatino Linotype" w:eastAsia="Palatino Linotype" w:hAnsi="Palatino Linotype" w:cs="Palatino Linotype"/>
          <w:color w:val="000000"/>
          <w:lang w:val="tr-TR"/>
        </w:rPr>
        <w:t xml:space="preserve"> ihlal edildiğine hükmetmiştir</w:t>
      </w:r>
      <w:r w:rsidR="00CB6888" w:rsidRPr="00F36AA1">
        <w:rPr>
          <w:rFonts w:ascii="Palatino Linotype" w:eastAsia="Palatino Linotype" w:hAnsi="Palatino Linotype" w:cs="Palatino Linotype"/>
          <w:b/>
          <w:bCs/>
          <w:color w:val="000000"/>
          <w:lang w:val="tr-TR"/>
        </w:rPr>
        <w:t>. Mahkeme, bu dosyada Yüksel Yalçınkaya kararındaki ilkelerden ayrılmayı gerektirecek bir durum olmadığını belirtmiş; Türk yargısının ByLock konusundaki "kategorik ve tek tip" yaklaşımının yapısal bir sorun olduğunu vurgulamıştır.</w:t>
      </w:r>
      <w:r w:rsidR="00CB6888" w:rsidRPr="00CB6888">
        <w:rPr>
          <w:rFonts w:ascii="Palatino Linotype" w:eastAsia="Palatino Linotype" w:hAnsi="Palatino Linotype" w:cs="Palatino Linotype"/>
          <w:color w:val="000000"/>
          <w:lang w:val="tr-TR"/>
        </w:rPr>
        <w:t xml:space="preserve"> Ayrıca, OHAL koşullarının bu ihlalleri meşrulaştırmadığı teyit edilmiştir (Seyhan, §§ 9-10, 12).</w:t>
      </w:r>
    </w:p>
    <w:p w14:paraId="23E9A111" w14:textId="7B547E03" w:rsidR="00CB6888" w:rsidRPr="00CB6888" w:rsidRDefault="00CB6888" w:rsidP="000B7997">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lang w:val="tr-TR"/>
        </w:rPr>
      </w:pPr>
      <w:r w:rsidRPr="00CB6888">
        <w:rPr>
          <w:rFonts w:ascii="Palatino Linotype" w:eastAsia="Palatino Linotype" w:hAnsi="Palatino Linotype" w:cs="Palatino Linotype"/>
          <w:color w:val="000000"/>
          <w:lang w:val="tr-TR"/>
        </w:rPr>
        <w:t>Kararın temelinde, mahkûmiyetlerin belirleyici delil olarak ByLock tespitine dayandırılması yatmaktadır. AİHM, incelenen dosyaların ortak noktasının, ByLock verilerinin "kesin ve tartışmasız ispat aracı" sayılarak hüküm kurulması olduğunu saptamıştır (Seyhan, §§ 2, 10).</w:t>
      </w:r>
    </w:p>
    <w:p w14:paraId="54D4C39E" w14:textId="1F7FD9C5" w:rsidR="00CB6888" w:rsidRPr="00CB6888" w:rsidRDefault="00CB6888" w:rsidP="000B7997">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lang w:val="tr-TR"/>
        </w:rPr>
      </w:pPr>
      <w:r w:rsidRPr="00CB6888">
        <w:rPr>
          <w:rFonts w:ascii="Palatino Linotype" w:eastAsia="Palatino Linotype" w:hAnsi="Palatino Linotype" w:cs="Palatino Linotype"/>
          <w:color w:val="000000"/>
          <w:lang w:val="tr-TR"/>
        </w:rPr>
        <w:t>Ulusal mahkemeler, ByLock kullanımını doğrudan "örgüt üyeliği" ile eşdeğer tutan otomatik bir varsayımla hareket etmiştir. Bu yaklaşım, suçun oluşması için gereken "manevi unsurun (kastın)" araştırılmasını engellemiş ve kişisel sorumluluğu otomatik bir şekli suça indirgemiştir (Seyhan, §§ 2, 11; Yalçınkaya, §§ 257, 262–271).</w:t>
      </w:r>
    </w:p>
    <w:p w14:paraId="3A801A9D" w14:textId="77777777" w:rsidR="00CB6888" w:rsidRDefault="00CB6888" w:rsidP="000B7997">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lang w:val="tr-TR"/>
        </w:rPr>
      </w:pPr>
      <w:r w:rsidRPr="00CB6888">
        <w:rPr>
          <w:rFonts w:ascii="Palatino Linotype" w:eastAsia="Palatino Linotype" w:hAnsi="Palatino Linotype" w:cs="Palatino Linotype"/>
          <w:color w:val="000000"/>
          <w:lang w:val="tr-TR"/>
        </w:rPr>
        <w:t xml:space="preserve">AİHM, Hükümetin dosyaların özgünlüğüne dair savunmalarına rağmen, </w:t>
      </w:r>
      <w:r w:rsidRPr="00CB6888">
        <w:rPr>
          <w:rFonts w:ascii="Palatino Linotype" w:eastAsia="Palatino Linotype" w:hAnsi="Palatino Linotype" w:cs="Palatino Linotype"/>
          <w:b/>
          <w:bCs/>
          <w:color w:val="000000"/>
          <w:lang w:val="tr-TR"/>
        </w:rPr>
        <w:t>Seyhan</w:t>
      </w:r>
      <w:r w:rsidRPr="00CB6888">
        <w:rPr>
          <w:rFonts w:ascii="Palatino Linotype" w:eastAsia="Palatino Linotype" w:hAnsi="Palatino Linotype" w:cs="Palatino Linotype"/>
          <w:color w:val="000000"/>
          <w:lang w:val="tr-TR"/>
        </w:rPr>
        <w:t xml:space="preserve"> kararını da Yalçınkaya kararındaki "sistemik sorunlar" çerçevesinde değerlendirmiştir. Mahkemeye göre belirleyici olan, dosya detaylarından ziyade, ByLock’a ulusal ölçekte atfedilen kategorik ispat gücü ve uygulanan tek tip yargılama pratiğidir (Seyhan, §§ 9–10).</w:t>
      </w:r>
    </w:p>
    <w:p w14:paraId="13516ED4" w14:textId="5D82C446" w:rsidR="00CB6888" w:rsidRPr="00CB6888" w:rsidRDefault="00CB6888" w:rsidP="000B7997">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lang w:val="tr-TR"/>
        </w:rPr>
      </w:pPr>
      <w:r w:rsidRPr="00CB6888">
        <w:rPr>
          <w:rFonts w:ascii="Palatino Linotype" w:eastAsia="Palatino Linotype" w:hAnsi="Palatino Linotype" w:cs="Palatino Linotype"/>
          <w:color w:val="000000"/>
          <w:lang w:val="tr-TR"/>
        </w:rPr>
        <w:t xml:space="preserve">Savunma makamı, ByLock verilerine (ham veri, elde ediliş şekli ve bütünlüğü) erişememiş ve delilleri etkili şekilde sorgulayamamıştır.  Mahkemelerin sadece istihbari raporlara dayanması ve teknik itirazları karşılamaması, </w:t>
      </w:r>
      <w:r w:rsidRPr="00CB6888">
        <w:rPr>
          <w:rFonts w:ascii="Palatino Linotype" w:eastAsia="Palatino Linotype" w:hAnsi="Palatino Linotype" w:cs="Palatino Linotype"/>
          <w:i/>
          <w:iCs/>
          <w:color w:val="000000"/>
          <w:lang w:val="tr-TR"/>
        </w:rPr>
        <w:t>"silahların eşitliği"</w:t>
      </w:r>
      <w:r w:rsidRPr="00CB6888">
        <w:rPr>
          <w:rFonts w:ascii="Palatino Linotype" w:eastAsia="Palatino Linotype" w:hAnsi="Palatino Linotype" w:cs="Palatino Linotype"/>
          <w:color w:val="000000"/>
          <w:lang w:val="tr-TR"/>
        </w:rPr>
        <w:t xml:space="preserve"> ilkesini zedelemiş ve yargılamayı adil olmaktan çıkarmıştır (Seyhan, § 15; Yalçınkaya, §§ 364, 413, 414).</w:t>
      </w:r>
    </w:p>
    <w:p w14:paraId="4E1D05EA" w14:textId="77777777" w:rsidR="000B7997" w:rsidRDefault="00CB6888" w:rsidP="000B7997">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lang w:val="tr-TR"/>
        </w:rPr>
      </w:pPr>
      <w:r w:rsidRPr="00CB6888">
        <w:rPr>
          <w:rFonts w:ascii="Palatino Linotype" w:eastAsia="Palatino Linotype" w:hAnsi="Palatino Linotype" w:cs="Palatino Linotype"/>
          <w:color w:val="000000"/>
          <w:lang w:val="tr-TR"/>
        </w:rPr>
        <w:t xml:space="preserve">Sonuç olarak Mahkeme, AİHS’in 6. maddesinin ihlal edildiğine karar vermiştir. Mahkeme, bu ihlale yol açan temel sorunların (yargının tek tip yaklaşımı, delil değerlendirmesi ve ByLock kullanımının nitelendirilmesi) </w:t>
      </w:r>
      <w:r w:rsidRPr="00CB6888">
        <w:rPr>
          <w:rFonts w:ascii="Palatino Linotype" w:eastAsia="Palatino Linotype" w:hAnsi="Palatino Linotype" w:cs="Palatino Linotype"/>
          <w:b/>
          <w:bCs/>
          <w:color w:val="000000"/>
          <w:lang w:val="tr-TR"/>
        </w:rPr>
        <w:t>Yalçınkaya kararında 7. ve 6. madde ihlallerine de yol açan sorunlarla aynı olduğunu</w:t>
      </w:r>
      <w:r w:rsidRPr="00CB6888">
        <w:rPr>
          <w:rFonts w:ascii="Palatino Linotype" w:eastAsia="Palatino Linotype" w:hAnsi="Palatino Linotype" w:cs="Palatino Linotype"/>
          <w:color w:val="000000"/>
          <w:lang w:val="tr-TR"/>
        </w:rPr>
        <w:t xml:space="preserve"> tespit etmiştir. Kararda açıkça, mevcut ihlalin, </w:t>
      </w:r>
      <w:r w:rsidRPr="00CB6888">
        <w:rPr>
          <w:rFonts w:ascii="Palatino Linotype" w:eastAsia="Palatino Linotype" w:hAnsi="Palatino Linotype" w:cs="Palatino Linotype"/>
          <w:b/>
          <w:bCs/>
          <w:color w:val="000000"/>
          <w:lang w:val="tr-TR"/>
        </w:rPr>
        <w:t>Yalçınkaya kararında ortaya konan ilkeler ışığında yargılamanın yenilenmesini talep etme imkânı sağladığı belirtilmiştir. Dolayısıyla, Yalçınkaya kararındaki ihlal gerekçeleri bu dosya bakımından da geçerliliğini korumakta olup, ihlalin giderilmesi için en uygun yol CMK 311/1-f maddesi uyarınca yargılamanın yenilenmesidir</w:t>
      </w:r>
      <w:r w:rsidRPr="00CB6888">
        <w:rPr>
          <w:rFonts w:ascii="Palatino Linotype" w:eastAsia="Palatino Linotype" w:hAnsi="Palatino Linotype" w:cs="Palatino Linotype"/>
          <w:color w:val="000000"/>
          <w:lang w:val="tr-TR"/>
        </w:rPr>
        <w:t xml:space="preserve"> (Seyhan, §§ 12-13, 15; Yalçınkaya, § 425).</w:t>
      </w:r>
    </w:p>
    <w:p w14:paraId="0AB03BED" w14:textId="2C081BBE" w:rsidR="00CB6888" w:rsidRPr="000B7997" w:rsidRDefault="00CB6888" w:rsidP="000B7997">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bCs/>
          <w:color w:val="000000"/>
          <w:lang w:val="tr-TR"/>
        </w:rPr>
      </w:pPr>
      <w:r w:rsidRPr="000B7997">
        <w:rPr>
          <w:rFonts w:ascii="Palatino Linotype" w:hAnsi="Palatino Linotype"/>
          <w:bCs/>
        </w:rPr>
        <w:t xml:space="preserve">Mütalaada da, AİHM’in bu kararlarda tespit ettiği sorunun münferit olmadığı, sistematik bir sorun olduğu vurgulanmış; ByLock kullanma iddiasının tek başına suçun unsurlarının yerine geçecek şekilde yorumlanmasının “otomatik bir suç karinesi oluşturmak” anlamına geldiği ifade edilmiştir (Mütalaa, s. 14). Bu kararların hukuki niteliği bakımından ise mütalaada, bunların “yarı-pilot” (quasi-pilot), diğer bir ifadeyle “madde 46 kararları” </w:t>
      </w:r>
      <w:r w:rsidRPr="000B7997">
        <w:rPr>
          <w:rFonts w:ascii="Palatino Linotype" w:hAnsi="Palatino Linotype"/>
          <w:bCs/>
        </w:rPr>
        <w:lastRenderedPageBreak/>
        <w:t>olduğu ve bağlayıcılığın bu karar türleri için de aynen geçerli bulunduğu belirtilmiştir (Mütalaa, s. 43-44).</w:t>
      </w:r>
    </w:p>
    <w:p w14:paraId="325FB7D3" w14:textId="7BB976BA" w:rsidR="00B763D9" w:rsidRPr="00D33617" w:rsidRDefault="00000000" w:rsidP="000B7997">
      <w:pPr>
        <w:pBdr>
          <w:top w:val="nil"/>
          <w:left w:val="nil"/>
          <w:bottom w:val="nil"/>
          <w:right w:val="nil"/>
          <w:between w:val="nil"/>
        </w:pBdr>
        <w:tabs>
          <w:tab w:val="left" w:pos="3870"/>
        </w:tabs>
        <w:spacing w:line="23" w:lineRule="atLeast"/>
        <w:ind w:left="567" w:hanging="283"/>
        <w:jc w:val="both"/>
        <w:rPr>
          <w:rFonts w:ascii="Palatino Linotype" w:eastAsia="Palatino Linotype" w:hAnsi="Palatino Linotype" w:cs="Palatino Linotype"/>
          <w:b/>
          <w:color w:val="000000"/>
        </w:rPr>
      </w:pPr>
      <w:r w:rsidRPr="00B86266">
        <w:rPr>
          <w:rFonts w:ascii="Palatino Linotype" w:eastAsia="Palatino Linotype" w:hAnsi="Palatino Linotype" w:cs="Palatino Linotype"/>
          <w:b/>
          <w:color w:val="000000"/>
        </w:rPr>
        <w:t xml:space="preserve">IV. </w:t>
      </w:r>
      <w:r w:rsidR="006F218A" w:rsidRPr="00362DA3">
        <w:rPr>
          <w:rFonts w:ascii="Palatino Linotype" w:eastAsia="Palatino Linotype" w:hAnsi="Palatino Linotype" w:cs="Palatino Linotype"/>
          <w:b/>
          <w:color w:val="000000" w:themeColor="text1"/>
        </w:rPr>
        <w:t>AİHM’İN SÖZLEŞMENİN 6. MADDESİNDEN VERDİĞİ İHLALİN GEREKÇELERİ VE MAHKEMEDEN TALEPLER</w:t>
      </w:r>
    </w:p>
    <w:p w14:paraId="2F7ECC36" w14:textId="77777777" w:rsidR="006F218A" w:rsidRPr="006F218A" w:rsidRDefault="00F938E7" w:rsidP="000B7997">
      <w:pPr>
        <w:numPr>
          <w:ilvl w:val="0"/>
          <w:numId w:val="6"/>
        </w:numPr>
        <w:tabs>
          <w:tab w:val="clear" w:pos="720"/>
          <w:tab w:val="left" w:pos="709"/>
          <w:tab w:val="left" w:pos="851"/>
        </w:tabs>
        <w:spacing w:line="23" w:lineRule="atLeast"/>
        <w:ind w:left="714" w:hanging="357"/>
        <w:jc w:val="both"/>
        <w:rPr>
          <w:rFonts w:ascii="Palatino Linotype" w:eastAsia="Palatino Linotype" w:hAnsi="Palatino Linotype" w:cs="Palatino Linotype"/>
          <w:color w:val="000000"/>
          <w:lang w:val="tr-TR"/>
        </w:rPr>
      </w:pPr>
      <w:r w:rsidRPr="00F938E7">
        <w:rPr>
          <w:rFonts w:ascii="Palatino Linotype" w:eastAsia="Palatino Linotype" w:hAnsi="Palatino Linotype" w:cs="Palatino Linotype"/>
          <w:color w:val="000000"/>
          <w:lang w:val="tr-TR"/>
        </w:rPr>
        <w:t>A</w:t>
      </w:r>
      <w:r w:rsidR="009F07BE" w:rsidRPr="009F07BE">
        <w:rPr>
          <w:rFonts w:ascii="Palatino Linotype" w:eastAsia="Palatino Linotype" w:hAnsi="Palatino Linotype" w:cs="Palatino Linotype"/>
          <w:color w:val="000000"/>
          <w:lang w:val="tr-TR"/>
        </w:rPr>
        <w:t>HM</w:t>
      </w:r>
      <w:r w:rsidR="009F07BE" w:rsidRPr="00E63E28">
        <w:rPr>
          <w:rFonts w:ascii="Palatino Linotype" w:eastAsia="Palatino Linotype" w:hAnsi="Palatino Linotype" w:cs="Palatino Linotype"/>
          <w:color w:val="000000"/>
          <w:lang w:val="tr-TR"/>
        </w:rPr>
        <w:t xml:space="preserve">, </w:t>
      </w:r>
      <w:r w:rsidR="006F218A" w:rsidRPr="006F218A">
        <w:rPr>
          <w:rFonts w:ascii="Palatino Linotype" w:eastAsia="Palatino Linotype" w:hAnsi="Palatino Linotype" w:cs="Palatino Linotype"/>
          <w:color w:val="000000"/>
          <w:lang w:val="tr-TR"/>
        </w:rPr>
        <w:t>Seyhan ve Diğerleri kararında (§§ 9–10, 12), adil yargılanma hakkı (AİHS m. 6/1) bakımından Yüksel Yalçınkaya içtihadından ayrılmayı gerektirecek bir durum olmadığını belirterek her iki kararda da savunma makamının ByLock verilerine etkin erişiminin sağlanamadığını ve silahların eşitliği ilkesinin ihlal edildiğini tespit etmiştir (Yalçınkaya §§ 324–345, 353–356).</w:t>
      </w:r>
    </w:p>
    <w:p w14:paraId="2E6CFC60" w14:textId="77777777" w:rsidR="006F218A" w:rsidRPr="006F218A" w:rsidRDefault="006F218A" w:rsidP="000B7997">
      <w:pPr>
        <w:numPr>
          <w:ilvl w:val="0"/>
          <w:numId w:val="6"/>
        </w:numPr>
        <w:tabs>
          <w:tab w:val="clear" w:pos="720"/>
          <w:tab w:val="left" w:pos="709"/>
          <w:tab w:val="left" w:pos="851"/>
        </w:tabs>
        <w:spacing w:line="23" w:lineRule="atLeast"/>
        <w:ind w:left="714" w:hanging="357"/>
        <w:jc w:val="both"/>
        <w:rPr>
          <w:rFonts w:ascii="Palatino Linotype" w:eastAsia="Palatino Linotype" w:hAnsi="Palatino Linotype" w:cs="Palatino Linotype"/>
          <w:color w:val="000000"/>
          <w:lang w:val="tr-TR"/>
        </w:rPr>
      </w:pPr>
      <w:r w:rsidRPr="006F218A">
        <w:rPr>
          <w:rFonts w:ascii="Palatino Linotype" w:eastAsia="Palatino Linotype" w:hAnsi="Palatino Linotype" w:cs="Palatino Linotype"/>
          <w:color w:val="000000"/>
          <w:lang w:val="tr-TR"/>
        </w:rPr>
        <w:t>Bu tespitler doğrultusunda yargılamalarda belirleyici delil sayılan ByLock verilerinin elde ediliş yöntemi, bütünlüğü ve güvenilirliği konusunda savunmanın etkili itirazda bulunma imkanının kısıtlandığını saptadığı için ulusal mahkemelerin davanın esasına ilişkin bu teknik itirazları karşılamamış ve savcılık ile savunma arasında adil bir denge kuramamış olduğu gözetilerek verilerin elde ediliş yönteminin hukuka uygunluğunun denetime elverişli şekilde açıklanmasını, özellikle MİT tarafından istihbari yöntemlerle elde edilen verilerin Cumhuriyet savcılığına teslim edildikten sonra alınan CMK 134 kararları veya buna ilişkin tutanakların geçmişe dönük olarak hukuka uygun hale getirilemeyeceğinin ve delilin ilk toplandığı andaki yargısal denetimsizliğin sonradan yapılan işlemlerle telafi edilemeyeceğinin AİHM içtihatları doğrultusunda kabul edilmesini talep ediyoruz (Yalçınkaya §§ 293, 317, 324–341, 327, 331, 332-333, 334, 335-337, 337-339, 344-345).</w:t>
      </w:r>
    </w:p>
    <w:p w14:paraId="261AB0AA" w14:textId="77777777" w:rsidR="006F218A" w:rsidRPr="006F218A" w:rsidRDefault="006F218A" w:rsidP="000B7997">
      <w:pPr>
        <w:numPr>
          <w:ilvl w:val="0"/>
          <w:numId w:val="6"/>
        </w:numPr>
        <w:tabs>
          <w:tab w:val="clear" w:pos="720"/>
          <w:tab w:val="left" w:pos="709"/>
          <w:tab w:val="left" w:pos="851"/>
        </w:tabs>
        <w:spacing w:line="23" w:lineRule="atLeast"/>
        <w:jc w:val="both"/>
        <w:rPr>
          <w:rFonts w:ascii="Palatino Linotype" w:eastAsia="Palatino Linotype" w:hAnsi="Palatino Linotype" w:cs="Palatino Linotype"/>
          <w:color w:val="000000"/>
          <w:lang w:val="tr-TR"/>
        </w:rPr>
      </w:pPr>
      <w:r w:rsidRPr="006F218A">
        <w:rPr>
          <w:rFonts w:ascii="Palatino Linotype" w:eastAsia="Palatino Linotype" w:hAnsi="Palatino Linotype" w:cs="Palatino Linotype"/>
          <w:color w:val="000000"/>
          <w:lang w:val="tr-TR"/>
        </w:rPr>
        <w:t>AİHM, MİT’in veri toplama faaliyetinin istihbari nitelikte olduğunu ve CMK m.134’te öngörülen "bağımsız yargısal denetim" güvencelerini içermediğini tespit etmiştir; bu bağlamda istihbarat birimleri tarafından yargısal denetim ve hâkim kararı olmaksızın toplanan verilerin aylar sonra adli makamlara teslim edilmesini ve bu sürecin sonradan alınan CMK m.134 kararlarıyla geçmişe dönük olarak hukuka uygun hale getirilmeye çalışılmasını Sözleşme’nin adil yargılanma güvencelerine aykırı bulmuştur (Yalçınkaya §§ 293, 317, 334).</w:t>
      </w:r>
    </w:p>
    <w:p w14:paraId="68F82FAA" w14:textId="77777777" w:rsidR="006F218A" w:rsidRPr="006F218A" w:rsidRDefault="006F218A" w:rsidP="000B7997">
      <w:pPr>
        <w:numPr>
          <w:ilvl w:val="0"/>
          <w:numId w:val="6"/>
        </w:numPr>
        <w:tabs>
          <w:tab w:val="clear" w:pos="720"/>
          <w:tab w:val="left" w:pos="709"/>
          <w:tab w:val="left" w:pos="851"/>
        </w:tabs>
        <w:spacing w:line="23" w:lineRule="atLeast"/>
        <w:jc w:val="both"/>
        <w:rPr>
          <w:rFonts w:ascii="Palatino Linotype" w:eastAsia="Palatino Linotype" w:hAnsi="Palatino Linotype" w:cs="Palatino Linotype"/>
          <w:color w:val="000000"/>
          <w:lang w:val="tr-TR"/>
        </w:rPr>
      </w:pPr>
      <w:r w:rsidRPr="006F218A">
        <w:rPr>
          <w:rFonts w:ascii="Palatino Linotype" w:eastAsia="Palatino Linotype" w:hAnsi="Palatino Linotype" w:cs="Palatino Linotype"/>
          <w:color w:val="000000"/>
          <w:lang w:val="tr-TR"/>
        </w:rPr>
        <w:t>Bu doğrultuda istihbari amaçla toplanan verilerin delil olarak kullanılabilmesi için ilk temas anında yargısal güvencelerin sağlanmış olması gerektiğini belirten Mahkeme içtihatları gözetilerek ByLock verilerinin ilk elde edildiği aşamada yetkili bir hâkim kararı veya yazılı bir emrin bulunup bulunmadığının araştırılmasını, Ankara 4. Sulh Ceza Hâkimliğinin sonradan verdiği kararın delil toplama anındaki denetimsizliği telafi edemeyeceği gerçeği karşısında verilerin elde ediliş yönteminin hukuka uygunluğunun denetime elverişli ve kuşkuya yer bırakmayacak şekilde açıklattırılmasını, Yargıtay’ın aksi yöndeki eski içtihatları yerine bağlayıcı olan AİHM tespitlerinin esas alınmasını ve verilerin elde ediliş yönteminin hukuka uygunluğunun denetime elverişli şekilde açıklanmasını talep ediyoruz (Yalçınkaya §§ 317, 333, 334).</w:t>
      </w:r>
    </w:p>
    <w:p w14:paraId="144978A8" w14:textId="77777777" w:rsidR="006F218A" w:rsidRPr="006F218A" w:rsidRDefault="006F218A" w:rsidP="000B7997">
      <w:pPr>
        <w:numPr>
          <w:ilvl w:val="0"/>
          <w:numId w:val="6"/>
        </w:numPr>
        <w:tabs>
          <w:tab w:val="clear" w:pos="720"/>
          <w:tab w:val="left" w:pos="709"/>
          <w:tab w:val="left" w:pos="851"/>
        </w:tabs>
        <w:spacing w:line="23" w:lineRule="atLeast"/>
        <w:jc w:val="both"/>
        <w:rPr>
          <w:rFonts w:ascii="Palatino Linotype" w:eastAsia="Palatino Linotype" w:hAnsi="Palatino Linotype" w:cs="Palatino Linotype"/>
          <w:color w:val="000000"/>
          <w:lang w:val="tr-TR"/>
        </w:rPr>
      </w:pPr>
      <w:r w:rsidRPr="006F218A">
        <w:rPr>
          <w:rFonts w:ascii="Palatino Linotype" w:eastAsia="Palatino Linotype" w:hAnsi="Palatino Linotype" w:cs="Palatino Linotype"/>
          <w:color w:val="000000"/>
          <w:lang w:val="tr-TR"/>
        </w:rPr>
        <w:t>AİHM, yargı organlarının ByLock’a yönelik "kategorik ve tekdüze" yaklaşımının kişiye özgü değerlendirmeyi imkânsız kıldığını, sadece savcılık tarafından sunulan raporların hükme esas alınmasının "otomatik cezalandırma" kaygılarını gideremediğini ve savunma haklarını şekli bir prosedüre indirgediğini vurgulamıştır; AİHM OHAL koşullarının dahi bu denli usuli kısıtlamaları meşrulaştıramayacağını belirtmiştir (Yalçınkaya §§ 324–341, 353–356).</w:t>
      </w:r>
    </w:p>
    <w:p w14:paraId="61A68E16" w14:textId="77777777" w:rsidR="006F218A" w:rsidRPr="006F218A" w:rsidRDefault="006F218A" w:rsidP="000B7997">
      <w:pPr>
        <w:numPr>
          <w:ilvl w:val="0"/>
          <w:numId w:val="6"/>
        </w:numPr>
        <w:tabs>
          <w:tab w:val="clear" w:pos="720"/>
          <w:tab w:val="left" w:pos="709"/>
          <w:tab w:val="left" w:pos="851"/>
        </w:tabs>
        <w:spacing w:line="23" w:lineRule="atLeast"/>
        <w:jc w:val="both"/>
        <w:rPr>
          <w:rFonts w:ascii="Palatino Linotype" w:eastAsia="Palatino Linotype" w:hAnsi="Palatino Linotype" w:cs="Palatino Linotype"/>
          <w:color w:val="000000"/>
          <w:lang w:val="tr-TR"/>
        </w:rPr>
      </w:pPr>
      <w:r w:rsidRPr="006F218A">
        <w:rPr>
          <w:rFonts w:ascii="Palatino Linotype" w:eastAsia="Palatino Linotype" w:hAnsi="Palatino Linotype" w:cs="Palatino Linotype"/>
          <w:color w:val="000000"/>
          <w:lang w:val="tr-TR"/>
        </w:rPr>
        <w:lastRenderedPageBreak/>
        <w:t>Bu ihlal gerekçesi doğrultusunda ulusal mahkemelerin "Tespit ve Değerlendirme Tutanakları"nın veya HTS/CGNAT kayıtlarının ByLock sinyalleriyle örtüşmesini yeterli görerek ham verilerin incelenmesine gerek duymaması kabul görmediği belirtilerek HTS kayıtlarının sadece internet trafiğini gösterdiği, veri içeriğini ve bütünlüğünü kanıtlamadığı vurgulanmış olup delilin güvenilirliğinin ancak tüm veri setinin bağımsız bir gözle incelenmesiyle sağlanabileceği gerçeğinden hareketle yan delillerin veya polis tutanaklarının varlığı savunma makamının ham veriler üzerinde bağımsız bilirkişi incelemesi yaptırma hakkını ortadan kaldırmaz ve aksi bir tutumun silahların eşitliği ilkesinin ihlali anlamına geldiği gözetilerek Emniyet raporlarının kesin hüküm sayılması yerine savunma tarafına ham veriler üzerinde denetim imkanı verilmesini ve rapor aldırılmasını, MİT’ten temin edilen veriler üzerinde uluslararası standartlara haiz bağımsız ve tarafsız bir adli bilişim bilirkişisi tarafından inceleme yaptırılmasını talep ediyoruz (Yalçınkaya §§ 327, 331, 332-333, 334).</w:t>
      </w:r>
    </w:p>
    <w:p w14:paraId="4DA5BFA7" w14:textId="77777777" w:rsidR="006F218A" w:rsidRPr="006F218A" w:rsidRDefault="006F218A" w:rsidP="000B7997">
      <w:pPr>
        <w:numPr>
          <w:ilvl w:val="0"/>
          <w:numId w:val="6"/>
        </w:numPr>
        <w:tabs>
          <w:tab w:val="clear" w:pos="720"/>
          <w:tab w:val="left" w:pos="709"/>
          <w:tab w:val="left" w:pos="851"/>
        </w:tabs>
        <w:spacing w:line="23" w:lineRule="atLeast"/>
        <w:jc w:val="both"/>
        <w:rPr>
          <w:rFonts w:ascii="Palatino Linotype" w:eastAsia="Palatino Linotype" w:hAnsi="Palatino Linotype" w:cs="Palatino Linotype"/>
          <w:color w:val="000000"/>
          <w:lang w:val="tr-TR"/>
        </w:rPr>
      </w:pPr>
      <w:r w:rsidRPr="006F218A">
        <w:rPr>
          <w:rFonts w:ascii="Palatino Linotype" w:eastAsia="Palatino Linotype" w:hAnsi="Palatino Linotype" w:cs="Palatino Linotype"/>
          <w:color w:val="000000"/>
          <w:lang w:val="tr-TR"/>
        </w:rPr>
        <w:t>AİHM, MİT tarafından yayınlanan kullanıcı listeleri arasındaki tutarsızlıklar ve soruşturulan kişi sayısı ile indirme sayıları arasındaki farklar (215 bin kullanıcı vs 102 bin soruşturma) konusundaki savunma itirazlarının mahkemelerce aydınlatılmadığını, savunmanın delilin güvenilirliğini test etme imkânından yoksun bırakılmasının yargılamanın adilliğini sakatladığını tespit etmiştir (Yalçınkaya § 334).</w:t>
      </w:r>
    </w:p>
    <w:p w14:paraId="6AB64574" w14:textId="77777777" w:rsidR="006F218A" w:rsidRPr="006F218A" w:rsidRDefault="006F218A" w:rsidP="000B7997">
      <w:pPr>
        <w:numPr>
          <w:ilvl w:val="0"/>
          <w:numId w:val="6"/>
        </w:numPr>
        <w:tabs>
          <w:tab w:val="clear" w:pos="720"/>
          <w:tab w:val="left" w:pos="709"/>
          <w:tab w:val="left" w:pos="851"/>
        </w:tabs>
        <w:spacing w:line="23" w:lineRule="atLeast"/>
        <w:jc w:val="both"/>
        <w:rPr>
          <w:rFonts w:ascii="Palatino Linotype" w:eastAsia="Palatino Linotype" w:hAnsi="Palatino Linotype" w:cs="Palatino Linotype"/>
          <w:color w:val="000000"/>
          <w:lang w:val="tr-TR"/>
        </w:rPr>
      </w:pPr>
      <w:r w:rsidRPr="006F218A">
        <w:rPr>
          <w:rFonts w:ascii="Palatino Linotype" w:eastAsia="Palatino Linotype" w:hAnsi="Palatino Linotype" w:cs="Palatino Linotype"/>
          <w:color w:val="000000"/>
          <w:lang w:val="tr-TR"/>
        </w:rPr>
        <w:t>Bu doğrultuda yerel mahkemelerin sanığın HTS kayıtları ile ByLock sinyallerinin örtüştüğü yönündeki tespiti ham verilerin incelenmesi ihtiyacını ortadan kaldırmaya yetmemektedir; zira HTS kayıtları sadece internet trafiğini gösterir, uygulamanın içeriğini veya kullanım şeklini kanıtlamaz, bu nedenle savunmanın ham veriler üzerinde bilirkişi incelemesi yaptırma talebinin reddinin hak ihlali olduğu kabul edilerek dosyada bulunan HTS/CGNAT kayıtlarının ByLock sinyalleriyle uyumlu olmasının veya polis (KOM) tarafından düzenlenen 'Tespit ve Değerlendirme Tutanakları'nın varlığının ham verilerin incelenmesi gerekliliğini ortadan kaldırmadığının kabulünü ve MİT’ten temin edilen veriler üzerinde uluslararası standartlara uygun bağımsız ve tarafsız bir adli bilişim bilirkişisi tarafından inceleme yaptırılmasını talep ediyoruz (Yalçınkaya §§ 327, 333).</w:t>
      </w:r>
    </w:p>
    <w:p w14:paraId="6D936089" w14:textId="77777777" w:rsidR="006F218A" w:rsidRPr="006F218A" w:rsidRDefault="006F218A" w:rsidP="000B7997">
      <w:pPr>
        <w:numPr>
          <w:ilvl w:val="0"/>
          <w:numId w:val="6"/>
        </w:numPr>
        <w:tabs>
          <w:tab w:val="clear" w:pos="720"/>
          <w:tab w:val="left" w:pos="709"/>
          <w:tab w:val="left" w:pos="851"/>
        </w:tabs>
        <w:spacing w:line="23" w:lineRule="atLeast"/>
        <w:jc w:val="both"/>
        <w:rPr>
          <w:rFonts w:ascii="Palatino Linotype" w:eastAsia="Palatino Linotype" w:hAnsi="Palatino Linotype" w:cs="Palatino Linotype"/>
          <w:color w:val="000000"/>
          <w:lang w:val="tr-TR"/>
        </w:rPr>
      </w:pPr>
      <w:r w:rsidRPr="006F218A">
        <w:rPr>
          <w:rFonts w:ascii="Palatino Linotype" w:eastAsia="Palatino Linotype" w:hAnsi="Palatino Linotype" w:cs="Palatino Linotype"/>
          <w:color w:val="000000"/>
          <w:lang w:val="tr-TR"/>
        </w:rPr>
        <w:t>AİHM, verilerin MİT tarafından elde edildiği an ile adli makamlara teslim edildiği 09/12/2016 tarihi arasında geçen sürede veri bütünlüğünün korunduğuna dair teknik güvencelerin (ilk HASH değeri, zaman damgası vb.) eksik olduğunu saptamış; Hükümetin MİT’in verileri istihbari yöntemlerle topladığına ve bu aşamada yargısal denetime tabi olmadığına dair savunması bu verilerin daha sonra ceza yargılamasında "tek ve belirleyici delil" olarak kullanılması gerçeği karşısında yetersiz kalmıştır (Yalçınkaya §§ 293, 333, 334).</w:t>
      </w:r>
    </w:p>
    <w:p w14:paraId="49EB491A" w14:textId="77777777" w:rsidR="006F218A" w:rsidRPr="006F218A" w:rsidRDefault="006F218A" w:rsidP="000B7997">
      <w:pPr>
        <w:numPr>
          <w:ilvl w:val="0"/>
          <w:numId w:val="6"/>
        </w:numPr>
        <w:tabs>
          <w:tab w:val="clear" w:pos="720"/>
          <w:tab w:val="left" w:pos="709"/>
          <w:tab w:val="left" w:pos="851"/>
        </w:tabs>
        <w:spacing w:line="23" w:lineRule="atLeast"/>
        <w:jc w:val="both"/>
        <w:rPr>
          <w:rFonts w:ascii="Palatino Linotype" w:eastAsia="Palatino Linotype" w:hAnsi="Palatino Linotype" w:cs="Palatino Linotype"/>
          <w:color w:val="000000"/>
          <w:lang w:val="tr-TR"/>
        </w:rPr>
      </w:pPr>
      <w:r w:rsidRPr="006F218A">
        <w:rPr>
          <w:rFonts w:ascii="Palatino Linotype" w:eastAsia="Palatino Linotype" w:hAnsi="Palatino Linotype" w:cs="Palatino Linotype"/>
          <w:color w:val="000000"/>
          <w:lang w:val="tr-TR"/>
        </w:rPr>
        <w:t>Bu ihlal gerekçesi doğrultusunda AİHM verilerin adli makamlara tesliminden sonra alınan mahkeme kararlarının (özellikle Ankara 4. Sulh Ceza Hâkimliği kararı) verilerin toplanma aşamasındaki yargısal denetim eksikliğini ve geçmişe dönük belirsizlikleri gideremeyeceğini tespit ettiği için istihbari amaçla toplanan verilerin delil olarak kullanılmasını eleştirmiş olup verilerin değiştirilmediğini veya bozulmadığını garanti edecek teknik verilerin dosyada bulunmaması savunma hakkını kısıtladığından verilerin ilk hali ile dosyaya giren hali arasındaki tutarlılığın teknik verilerle ispatlanmasını, şayet HASH değerleri karşılaştırılamıyor veya veri bütünlüğü teknik olarak doğrulanamıyorsa şaibeli hale gelen bu verilerin CMK m.217/2 uyarınca hükme esas alınmamasını ve delil listesinden çıkarılmasını talep ediyoruz (Yalçınkaya §§ 317, 334).</w:t>
      </w:r>
    </w:p>
    <w:p w14:paraId="6260427C" w14:textId="77777777" w:rsidR="006F218A" w:rsidRPr="006F218A" w:rsidRDefault="006F218A" w:rsidP="000B7997">
      <w:pPr>
        <w:numPr>
          <w:ilvl w:val="0"/>
          <w:numId w:val="6"/>
        </w:numPr>
        <w:tabs>
          <w:tab w:val="clear" w:pos="720"/>
          <w:tab w:val="left" w:pos="709"/>
          <w:tab w:val="left" w:pos="851"/>
        </w:tabs>
        <w:spacing w:line="23" w:lineRule="atLeast"/>
        <w:jc w:val="both"/>
        <w:rPr>
          <w:rFonts w:ascii="Palatino Linotype" w:eastAsia="Palatino Linotype" w:hAnsi="Palatino Linotype" w:cs="Palatino Linotype"/>
          <w:color w:val="000000"/>
          <w:lang w:val="tr-TR"/>
        </w:rPr>
      </w:pPr>
      <w:r w:rsidRPr="006F218A">
        <w:rPr>
          <w:rFonts w:ascii="Palatino Linotype" w:eastAsia="Palatino Linotype" w:hAnsi="Palatino Linotype" w:cs="Palatino Linotype"/>
          <w:color w:val="000000"/>
          <w:lang w:val="tr-TR"/>
        </w:rPr>
        <w:lastRenderedPageBreak/>
        <w:t>AİHM, savunmanın sadece polis tarafından düzenlenen raporlara erişebilmesini yetersiz bulmuş; "ham verilerin" ve çalışma algoritmasının savunmadan saklanmasını silahların eşitliği ilkesine aykırı bulmuştur, başvuranın ham verilere erişim talebi gerekçe gösterilmeksizin reddedilmiştir (Yalçınkaya §§ 327, 331); AİHM ByLock verilerinin güvenilirliğinin ve bütünlüğünün ancak tüm veri setinin bağımsız bir gözle incelenmesiyle sağlanabileceğini belirtmiştir ve ham verilere erişimin sağlanamadığı durumlarda dahi yargılamada "adil denge"nin korunabilmesi için sanığa en azından kendisiyle ilgili deşifre edilmiş tüm içeriklere erişim hakkı tanınması gerektiğini vurgulamıştır, ancak bu veriler ya dosyaya çok geç girmiş ya da sanığın içeriklere ilişkin itirazları Yargıtay tarafından dikkate alınmamıştır (Yalçınkaya §§ 332-333, 335-336, 335-337).</w:t>
      </w:r>
    </w:p>
    <w:p w14:paraId="21E3794C" w14:textId="77777777" w:rsidR="006F218A" w:rsidRPr="006F218A" w:rsidRDefault="006F218A" w:rsidP="000B7997">
      <w:pPr>
        <w:numPr>
          <w:ilvl w:val="0"/>
          <w:numId w:val="6"/>
        </w:numPr>
        <w:tabs>
          <w:tab w:val="clear" w:pos="720"/>
          <w:tab w:val="left" w:pos="709"/>
          <w:tab w:val="left" w:pos="851"/>
        </w:tabs>
        <w:spacing w:line="23" w:lineRule="atLeast"/>
        <w:jc w:val="both"/>
        <w:rPr>
          <w:rFonts w:ascii="Palatino Linotype" w:eastAsia="Palatino Linotype" w:hAnsi="Palatino Linotype" w:cs="Palatino Linotype"/>
          <w:color w:val="000000"/>
          <w:lang w:val="tr-TR"/>
        </w:rPr>
      </w:pPr>
      <w:r w:rsidRPr="006F218A">
        <w:rPr>
          <w:rFonts w:ascii="Palatino Linotype" w:eastAsia="Palatino Linotype" w:hAnsi="Palatino Linotype" w:cs="Palatino Linotype"/>
          <w:color w:val="000000"/>
          <w:lang w:val="tr-TR"/>
        </w:rPr>
        <w:t>Bu kapsamda yargılamanın en temel ilkelerinden biri olan "silahların eşitliği" ilkesi gereği iddia makamının elinde bulunan delillerin tamamına savunma makamının da aynı koşullarda erişebilmesi gerekmektedir, savunmanın ByLock verilerinin "ham haline" ve "çalışma algoritmasına" erişiminin engellenmesini ve sadece polis tarafından filtrelenmiş raporlarla yetinilmek zorunda bırakılmasını ağır bir ihlal olarak nitelendirdiği için kullanıcı ID, IP eşleşmeleri, log kayıtları ve mesaj içerikleri dâhil olmak üzere iddialara dayanak teşkil eden tüm ham verilerin eksiksiz bir dijital kopyasının tarafımıza tevdi edilmesini, bu verilerin teknik imkansızlıklar nedeniyle verilememesi durumunda ise bu imkansızlığın nedenlerinin mahkemenizce tatmin edici bir gerekçeyle açıklanmasını, şahsıma/eşime/müvekkile ait olduğu iddia edilen tüm çözümlenmiş içeriklerin (mesaj, arama kaydı, mail vb.) eksiksiz olarak tarafımıza teslim edilmesini ve bu içeriklere karşı beyanda bulunma ve savunma yapma hakkımızın kullandırılmasını talep ediyoruz (Yalçınkaya §§ 327, 331, 332-333, 335-336).</w:t>
      </w:r>
    </w:p>
    <w:p w14:paraId="2EB121D1" w14:textId="77777777" w:rsidR="006F218A" w:rsidRPr="006F218A" w:rsidRDefault="006F218A" w:rsidP="000B7997">
      <w:pPr>
        <w:numPr>
          <w:ilvl w:val="0"/>
          <w:numId w:val="6"/>
        </w:numPr>
        <w:tabs>
          <w:tab w:val="clear" w:pos="720"/>
          <w:tab w:val="left" w:pos="709"/>
          <w:tab w:val="left" w:pos="851"/>
        </w:tabs>
        <w:spacing w:line="23" w:lineRule="atLeast"/>
        <w:jc w:val="both"/>
        <w:rPr>
          <w:rFonts w:ascii="Palatino Linotype" w:eastAsia="Palatino Linotype" w:hAnsi="Palatino Linotype" w:cs="Palatino Linotype"/>
          <w:color w:val="000000"/>
          <w:lang w:val="tr-TR"/>
        </w:rPr>
      </w:pPr>
      <w:r w:rsidRPr="006F218A">
        <w:rPr>
          <w:rFonts w:ascii="Palatino Linotype" w:eastAsia="Palatino Linotype" w:hAnsi="Palatino Linotype" w:cs="Palatino Linotype"/>
          <w:color w:val="000000"/>
          <w:lang w:val="tr-TR"/>
        </w:rPr>
        <w:t>AİHM, uygulamanın halka açık mağazalardan (Google Play, App Store vb.) indirilebilir olduğu bir dönemde "münhasırlık" iddiasının zayıfladığını ve indirme sayıları (yaklaşık 600 bin) ile tespit edilen kullanıcı sayıları (102 bin - 215 bin) arasındaki tutarsızlıkların giderilmediğini belirtmiştir; ByLock’un "münhasıran" kullanıldığı iddiası AİHM tarafından sorgulanmış, uygulamanın 2016 başına kadar halka açık uygulama mağazalarından indirilebilir olması münhasırlık tezini zayıflatmaktadır, mahkeme uygulamanın herkesçe erişilebilir olduğu bir dönemde sadece indirme işleminin hiyerarşik yapıya dahil olmayı kanıtlamayacağını vurgulamıştır (Yalçınkaya §§ 334, 337-339, 338-339); "Münhasırlık" iddiası somut teknik verilerle (server kayıtları, indirme istatistikleri vb.) desteklenmemiş, bu iddia MİT raporlarındaki varsayımlara dayandırılmıştır, AİHM Yargıtay’ın "talimatla ağa katılma" kriterini koymasına rağmen somut dosyalarda bu talimatın varlığını araştırmadan hüküm kurmasını eleştirmiştir (Yalçınkaya §§ 338-339).</w:t>
      </w:r>
    </w:p>
    <w:p w14:paraId="5C6B1428" w14:textId="77777777" w:rsidR="006F218A" w:rsidRPr="006F218A" w:rsidRDefault="006F218A" w:rsidP="000B7997">
      <w:pPr>
        <w:numPr>
          <w:ilvl w:val="0"/>
          <w:numId w:val="6"/>
        </w:numPr>
        <w:tabs>
          <w:tab w:val="clear" w:pos="720"/>
          <w:tab w:val="left" w:pos="709"/>
          <w:tab w:val="left" w:pos="851"/>
        </w:tabs>
        <w:spacing w:line="23" w:lineRule="atLeast"/>
        <w:jc w:val="both"/>
        <w:rPr>
          <w:rFonts w:ascii="Palatino Linotype" w:eastAsia="Palatino Linotype" w:hAnsi="Palatino Linotype" w:cs="Palatino Linotype"/>
          <w:color w:val="000000"/>
          <w:lang w:val="tr-TR"/>
        </w:rPr>
      </w:pPr>
      <w:r w:rsidRPr="006F218A">
        <w:rPr>
          <w:rFonts w:ascii="Palatino Linotype" w:eastAsia="Palatino Linotype" w:hAnsi="Palatino Linotype" w:cs="Palatino Linotype"/>
          <w:color w:val="000000"/>
          <w:lang w:val="tr-TR"/>
        </w:rPr>
        <w:t>Bu tespitler doğrultusunda yargı organlarının uygulamanın teknik özelliklerinden yola çıkarak "kategorik ve tekdüze" bir varsayımla hareket etmesinin kişisel kusur ilkesini zedelediği gözetilerek münhasırlık iddiasının istihbarat raporlarına dayalı soyut varsayımlarla değil mağaza kayıtları, indirme istatistikleri ve server logları gibi somut teknik verilerle ispatlanmasını, aksi halde bu iddianın sanık aleyhine bir karine olarak kullanılmamasını talep ediyoruz (Yalçınkaya §§ 334, 337-339).</w:t>
      </w:r>
    </w:p>
    <w:p w14:paraId="12F13C71" w14:textId="77777777" w:rsidR="006F218A" w:rsidRPr="006F218A" w:rsidRDefault="006F218A" w:rsidP="000B7997">
      <w:pPr>
        <w:numPr>
          <w:ilvl w:val="0"/>
          <w:numId w:val="6"/>
        </w:numPr>
        <w:tabs>
          <w:tab w:val="clear" w:pos="720"/>
          <w:tab w:val="left" w:pos="709"/>
          <w:tab w:val="left" w:pos="851"/>
        </w:tabs>
        <w:spacing w:line="23" w:lineRule="atLeast"/>
        <w:jc w:val="both"/>
        <w:rPr>
          <w:rFonts w:ascii="Palatino Linotype" w:eastAsia="Palatino Linotype" w:hAnsi="Palatino Linotype" w:cs="Palatino Linotype"/>
          <w:color w:val="000000"/>
          <w:lang w:val="tr-TR"/>
        </w:rPr>
      </w:pPr>
      <w:r w:rsidRPr="006F218A">
        <w:rPr>
          <w:rFonts w:ascii="Palatino Linotype" w:eastAsia="Palatino Linotype" w:hAnsi="Palatino Linotype" w:cs="Palatino Linotype"/>
          <w:color w:val="000000"/>
          <w:lang w:val="tr-TR"/>
        </w:rPr>
        <w:t>AİHM, mahkûmiyetlerin temel dayanağının ByLock olduğunu, Bank Asya hesabı, sendika veya dernek üyeliği gibi yan delillerin ise sonucu belirleyici bir etkisi olmadığını tespit etmiştir; mahkeme bu faaliyetlerin suç tarihinde yasal ve hukuka uygun eylemler olduğunu, bunların nasıl bir suçun delili sayıldığının yerel mahkemelerce ikna edici şekilde açıklanamadığını belirtmiştir (Yalçınkaya §§ 242-243).</w:t>
      </w:r>
    </w:p>
    <w:p w14:paraId="56616CC6" w14:textId="77777777" w:rsidR="00DF3D5D" w:rsidRPr="00DF3D5D" w:rsidRDefault="00DF3D5D" w:rsidP="000B7997">
      <w:pPr>
        <w:numPr>
          <w:ilvl w:val="0"/>
          <w:numId w:val="6"/>
        </w:numPr>
        <w:tabs>
          <w:tab w:val="left" w:pos="851"/>
        </w:tabs>
        <w:spacing w:line="23" w:lineRule="atLeast"/>
        <w:jc w:val="both"/>
        <w:rPr>
          <w:rFonts w:ascii="Palatino Linotype" w:eastAsia="Palatino Linotype" w:hAnsi="Palatino Linotype" w:cs="Palatino Linotype"/>
          <w:color w:val="000000" w:themeColor="text1"/>
          <w:lang w:val="tr-TR"/>
        </w:rPr>
      </w:pPr>
      <w:bookmarkStart w:id="0" w:name="_Hlk219537367"/>
      <w:r w:rsidRPr="00DF3D5D">
        <w:rPr>
          <w:rFonts w:ascii="Palatino Linotype" w:eastAsia="Palatino Linotype" w:hAnsi="Palatino Linotype" w:cs="Palatino Linotype"/>
          <w:color w:val="000000" w:themeColor="text1"/>
        </w:rPr>
        <w:lastRenderedPageBreak/>
        <w:t>AİHM'in 6. madde kapsamında verdiği ihlal kararı ve dile getirdiği hususlar dikkate alındığında, ByLock'un CMK'nın 134. maddesinde öngörülen usule uygun şekilde elde edilmediği açıktır. Zira bu madde gereğince, dijital bir delille ilgili arama, el koyma ve imaj alma (kopyalama) yapılabilmesi için başlatılmış olan cezai bir soruşturmanın varlığı ve bu tedbirlere bu soruşturma kapsamında karar verilmesi gerekir; ByLock'ta ise bu süreç tersten işletilmiştir. Herhangi bir soruşturma olmadan ve adli kolluk yetki ve görevi olmayan MİT'in istihbari yollarla elde edip üzerinde AİHM'in de belirttiği şekliyle aylarca çalışılan ByLock verileri savcılığa teslim edildiği gün ByLock'la ilgili soruşturma başlatılmıştır. ByLock verileri, bir hakim kararına istinaden değil, istihbari çalışmayla elde edilmiştir. Hakim tarafından verilecek arama kararı üzerine elde edilip el konulması gereken ByLock verileri böyle bir karar olmadan ve Litvanya ülkesinde olan veriler bu ülkeyle 6706 sayılı Yasaya uygun şekilde adli yardımlaşma (istinabe) yapılmadan ele geçirilmiştir. CMK'ya aykırı bu elde etme yöntemi nedeniyle, ByLock ile ilgili verilen ilk karar olan Ankara 4. Sulh Ceza Mahkemesinin kararı da arama ve elkoymaya ilişkin olmayıp sadece imaj almaya (kopyalama) ilişkindir. Ancak, usulüne uygun şekilde ve hakim kararın üzerine yapılmamış bir aramada elde edilen delilin sadece imajının alınmasına hakim tarafından karar verilmesi, o delilin elde edilme sürecindeki hukuka aykırılıkları ortadan kaldırmaz. CMK 134. maddenin amacı, göstermelik de olsa bir delilin elde edilmesiyle ilgili sonradan da olsa bir hakim kararı bulunması değil, dijital delilin en baştan itibaren öngörülen usule uygun şekilde elde edilmesidir.</w:t>
      </w:r>
    </w:p>
    <w:p w14:paraId="7296BB2C" w14:textId="209FE29D" w:rsidR="00DF3D5D" w:rsidRPr="00DF3D5D" w:rsidRDefault="00DF3D5D" w:rsidP="000B7997">
      <w:pPr>
        <w:numPr>
          <w:ilvl w:val="0"/>
          <w:numId w:val="6"/>
        </w:numPr>
        <w:tabs>
          <w:tab w:val="left" w:pos="851"/>
        </w:tabs>
        <w:spacing w:line="23" w:lineRule="atLeast"/>
        <w:jc w:val="both"/>
        <w:rPr>
          <w:rFonts w:ascii="Palatino Linotype" w:eastAsia="Palatino Linotype" w:hAnsi="Palatino Linotype" w:cs="Palatino Linotype"/>
          <w:color w:val="000000" w:themeColor="text1"/>
          <w:lang w:val="tr-TR"/>
        </w:rPr>
      </w:pPr>
      <w:r w:rsidRPr="00DF3D5D">
        <w:rPr>
          <w:rFonts w:ascii="Palatino Linotype" w:eastAsia="Palatino Linotype" w:hAnsi="Palatino Linotype" w:cs="Palatino Linotype"/>
          <w:color w:val="000000" w:themeColor="text1"/>
        </w:rPr>
        <w:t xml:space="preserve">Aynı şekilde, ByLock verileri 5809 sayılı Elektronik Haberleşme Kanunu ve bu kanuna dayanarak çıkarılan yönetmeliklerde öngörülen 1 yıllık yasal saklama süresi geçtikten sonra dosyalara dahil edilmiştir; yani normalde imha edilmesi gereken ve artık yasal delil statüsünde olmayan verilere dayalı olarak yargılamalar yapılmaktadır. </w:t>
      </w:r>
      <w:r w:rsidRPr="005B7BEB">
        <w:rPr>
          <w:rFonts w:ascii="Palatino Linotype" w:eastAsia="Palatino Linotype" w:hAnsi="Palatino Linotype" w:cs="Palatino Linotype"/>
          <w:color w:val="000000" w:themeColor="text1"/>
        </w:rPr>
        <w:t xml:space="preserve">Ayrıca, </w:t>
      </w:r>
      <w:r w:rsidRPr="005B7BEB">
        <w:rPr>
          <w:rFonts w:ascii="Palatino Linotype" w:eastAsia="Palatino Linotype" w:hAnsi="Palatino Linotype" w:cs="Palatino Linotype"/>
          <w:color w:val="000000" w:themeColor="text1"/>
          <w:lang w:val="tr-TR"/>
        </w:rPr>
        <w:t>Ankara C. Başsavcılığının aldırdığı bilirkişi raporundan da anlaşılacağı üzere yapısı bozuktur ve orijinal değildir.</w:t>
      </w:r>
      <w:r w:rsidRPr="00DF3D5D">
        <w:rPr>
          <w:rFonts w:ascii="Palatino Linotype" w:eastAsia="Palatino Linotype" w:hAnsi="Palatino Linotype" w:cs="Palatino Linotype"/>
          <w:color w:val="000000" w:themeColor="text1"/>
        </w:rPr>
        <w:t xml:space="preserve"> Kısaca, AİHM'in ihlal gerekçesinde yer verdiği ve burada söylediğimiz hususlar ByLock'un en başından itibaren hukuka aykırı delil olduğunun göstergesidir. Hukuka aykırı bir delil, CMK gereğince delil olarak kullanılamaz. Hukuka aykırı delil konusunda CMK'nın standardı AİHS standardının çok daha üzerindedir; zira AİHM, delil hukuka aykırı olsa bile bu delilin yargılamanın bütününe etkisine baktığını söylemektedir, CMK'da ise hukuka aykırı delil hiçbir şekilde yargılamada kullanılamaz. </w:t>
      </w:r>
    </w:p>
    <w:p w14:paraId="4797BC6D" w14:textId="77777777" w:rsidR="000B7997" w:rsidRDefault="00DF3D5D" w:rsidP="000B7997">
      <w:pPr>
        <w:numPr>
          <w:ilvl w:val="0"/>
          <w:numId w:val="6"/>
        </w:numPr>
        <w:tabs>
          <w:tab w:val="left" w:pos="851"/>
        </w:tabs>
        <w:spacing w:line="23" w:lineRule="atLeast"/>
        <w:jc w:val="both"/>
        <w:rPr>
          <w:rFonts w:ascii="Palatino Linotype" w:eastAsia="Palatino Linotype" w:hAnsi="Palatino Linotype" w:cs="Palatino Linotype"/>
          <w:color w:val="000000" w:themeColor="text1"/>
          <w:lang w:val="tr-TR"/>
        </w:rPr>
      </w:pPr>
      <w:r w:rsidRPr="00DF3D5D">
        <w:rPr>
          <w:rFonts w:ascii="Palatino Linotype" w:eastAsia="Palatino Linotype" w:hAnsi="Palatino Linotype" w:cs="Palatino Linotype"/>
          <w:color w:val="000000" w:themeColor="text1"/>
        </w:rPr>
        <w:t xml:space="preserve">Sonuç olarak AİHM, elektronik delillerin elde edilmesi ve kullanılmasında savunma haklarının gözetilmediği, silahların eşitliği ilkesinin ihlal edildiği ve yargılamanın bir bütün olarak adil olmadığı gerekçesiyle AİHS’in 6/1. maddesinin ihlal edildiğine karar vermiştir (Yalçınkaya §§ 344-345; Demirhan § 46). Bu ihlal gerekçesi doğrultusunda AİHM Yalçınkaya kararında; adil yargılanma hakkı bağlamında tespit edilen savunmanın elektronik delillere erişememesi, delillerin güvenilirliğinin denetlenememesi ve silahların eşitliği ilkesinin ihlali gibi hususların bu dosyalar için de geçerli olduğunu açıkça belirtmiştir. Yeniden yapılacak yargılamada; gerek AİHM'in ihlal tespitleri gerekse yukarıda ayrıntılarıyla yer verdiğimiz hususlar araştırılarak, öncelikle ByLock'un hukuka aykırı delil olduğunun tespitiyle dosyadan çıkarılmasını, delil olarak kabul edilmemesini ve verilecek kararda dikkate alınmamasını; dosyadaki diğer hususlar değerlendirilirken ise Yalçınkaya içtihadında ortaya konulan kriterler uyarınca suç ve cezada şahsilik ilkesi gereği yasal ve rutin faaliyetlere kişiselleştirilmiş somut bir suç kastı ortaya konulmaksızın belirleyici bir ağırlık verilmemesini, bu delillerin tek başına "silahlı terör örgütü üyeliği" suçunun unsurlarını oluşturup oluşturmadığının AİHM’in güncel içtihadı ışığında yeniden değerlendirilmesini ve sonuç olarak verinin yasallığı, bütünlüğü ve güvenilirliği </w:t>
      </w:r>
      <w:r w:rsidRPr="00DF3D5D">
        <w:rPr>
          <w:rFonts w:ascii="Palatino Linotype" w:eastAsia="Palatino Linotype" w:hAnsi="Palatino Linotype" w:cs="Palatino Linotype"/>
          <w:color w:val="000000" w:themeColor="text1"/>
        </w:rPr>
        <w:lastRenderedPageBreak/>
        <w:t>ile münhasırlık iddiası somut teknik verilerle şüpheye yer bırakmayacak şekilde doğrulanmadan AİHM’in Yalçınkaya ve Demirhan kararlarındaki tespitlerine aykırı şekilde ByLock’a dayanılarak hüküm kurulmamasını talep ediyoruz (Yalçınkaya §§ 242-243, 293, 317, 327, 331, 332-333, 334, 335-337, 337-339, 344-345).</w:t>
      </w:r>
    </w:p>
    <w:p w14:paraId="4C8F2F4B" w14:textId="77777777" w:rsidR="000B7997" w:rsidRPr="000B7997" w:rsidRDefault="00DF3D5D" w:rsidP="000B7997">
      <w:pPr>
        <w:numPr>
          <w:ilvl w:val="0"/>
          <w:numId w:val="6"/>
        </w:numPr>
        <w:tabs>
          <w:tab w:val="left" w:pos="851"/>
        </w:tabs>
        <w:spacing w:line="23" w:lineRule="atLeast"/>
        <w:jc w:val="both"/>
        <w:rPr>
          <w:rFonts w:ascii="Palatino Linotype" w:eastAsia="Palatino Linotype" w:hAnsi="Palatino Linotype" w:cs="Palatino Linotype"/>
          <w:bCs/>
          <w:color w:val="000000" w:themeColor="text1"/>
          <w:lang w:val="tr-TR"/>
        </w:rPr>
      </w:pPr>
      <w:r w:rsidRPr="000B7997">
        <w:rPr>
          <w:rFonts w:ascii="Palatino Linotype" w:hAnsi="Palatino Linotype"/>
          <w:bCs/>
        </w:rPr>
        <w:t>Mütalaada da AİHS m. 6/1 ihlalinin nedenleri ayrıntılı biçimde sıralanmış ve ByLock deliline dair ceza muhakemesinin beş farklı nedenden sorunlu görüldüğü belirtilmiştir: ham verilerin başvurucuya sunulmaması; ham verilerin içeriğinin ve doğruluğunun sınanması için bağımsız bir inceleme yapılmaması; MİT’in sunduğu kullanıcı listeleri ile kullanıcı ve indirme sayıları konusundaki tutarsızlıklara yanıt verilmemesi; başvurucu özelinde yazışma içerikleri ve iletişim kurulan kişilerle ilgili bilgi sunulmaması; ByLock kullanan bazı kişilerin örgüt üyesi olmayabileceğine dair olgulara yanıt verilmemesi (Mütalaa, s. 49 ve s. 15).</w:t>
      </w:r>
    </w:p>
    <w:p w14:paraId="64D301DB" w14:textId="77777777" w:rsidR="000B7997" w:rsidRPr="000B7997" w:rsidRDefault="00DF3D5D" w:rsidP="000B7997">
      <w:pPr>
        <w:numPr>
          <w:ilvl w:val="0"/>
          <w:numId w:val="6"/>
        </w:numPr>
        <w:tabs>
          <w:tab w:val="left" w:pos="851"/>
        </w:tabs>
        <w:spacing w:line="23" w:lineRule="atLeast"/>
        <w:jc w:val="both"/>
        <w:rPr>
          <w:rFonts w:ascii="Palatino Linotype" w:eastAsia="Palatino Linotype" w:hAnsi="Palatino Linotype" w:cs="Palatino Linotype"/>
          <w:bCs/>
          <w:color w:val="000000" w:themeColor="text1"/>
          <w:lang w:val="tr-TR"/>
        </w:rPr>
      </w:pPr>
      <w:r w:rsidRPr="000B7997">
        <w:rPr>
          <w:rFonts w:ascii="Palatino Linotype" w:hAnsi="Palatino Linotype"/>
          <w:bCs/>
        </w:rPr>
        <w:t>Mütalaada bu ihlalin niteliği bakımından, işbu dosya için belirleyici olan şu tespit yapılmıştır: “AİHS m. 6/1 hükmünün ihlali, maddi bir vakıa ispatı veya soruşturma/araştırma eksikliğinden değil, yargılama usulünün adil yargılanma hakkının gerektirdiği güvenceleri barındırmamasından kaynaklanmaktadır.” Bu nedenle derece mahkemeleri ihlal kararı çerçevesinde ve ancak bu ihlalin sonuçlarını gidermek amacıyla hareket etmeli; bu amacın dışına çıkarak aleyhe delil araştırması yoluna gitmemelidir. Suçun unsurlarının ortaya konulması mümkün olmadığı takdirde ihlalin giderilmesi amacıyla kişinin beraatine karar verilmelidir (Mütalaa, s. 16).</w:t>
      </w:r>
    </w:p>
    <w:p w14:paraId="6CC11AF6" w14:textId="212A0A1F" w:rsidR="00DF3D5D" w:rsidRPr="000B7997" w:rsidRDefault="00DF3D5D" w:rsidP="000B7997">
      <w:pPr>
        <w:numPr>
          <w:ilvl w:val="0"/>
          <w:numId w:val="6"/>
        </w:numPr>
        <w:tabs>
          <w:tab w:val="left" w:pos="851"/>
        </w:tabs>
        <w:spacing w:line="23" w:lineRule="atLeast"/>
        <w:jc w:val="both"/>
        <w:rPr>
          <w:rFonts w:ascii="Palatino Linotype" w:eastAsia="Palatino Linotype" w:hAnsi="Palatino Linotype" w:cs="Palatino Linotype"/>
          <w:bCs/>
          <w:color w:val="000000" w:themeColor="text1"/>
          <w:lang w:val="tr-TR"/>
        </w:rPr>
      </w:pPr>
      <w:r w:rsidRPr="000B7997">
        <w:rPr>
          <w:rFonts w:ascii="Palatino Linotype" w:hAnsi="Palatino Linotype"/>
          <w:bCs/>
        </w:rPr>
        <w:t>Mütalaada, dijital delillerin “yapısı gereği tahribata, hasara, değiştirilmeye ve manipülasyona daha açık” olduğu; sanığın ham verilerden haberdar edilmesi ve mümkün olduğu ölçüde bu verilerin sanığa verilmesi, ham verilerin doğruluk ve güvenilirliğinin ortaya konulabilmesi için bağımsız bilirkişi incelemesi yaptırılması, bunun teknik veya fiilî imkânsızlık nedeniyle mümkün olmaması hâlinde ise durumun gerekçesiyle birlikte savunmaya açıklanması gerektiği; delillere itiraz hakkının verilmesi, itirazların gerektiği gibi incelenmesi, yani savunma makamının “gerçekten dinlenmesi” ve kararların ilgili ve yeterli gerekçelerle desteklenmesi gerektiği belirtilmiştir (Mütalaa, s. 33-35 ve s. 69).</w:t>
      </w:r>
    </w:p>
    <w:bookmarkEnd w:id="0"/>
    <w:p w14:paraId="79C7CF5C" w14:textId="0F6B1E47" w:rsidR="000D5D69" w:rsidRDefault="00F36AA1" w:rsidP="000B7997">
      <w:pPr>
        <w:tabs>
          <w:tab w:val="left" w:pos="851"/>
        </w:tabs>
        <w:spacing w:line="23" w:lineRule="atLeast"/>
        <w:ind w:left="426" w:hanging="142"/>
        <w:jc w:val="both"/>
        <w:rPr>
          <w:rFonts w:ascii="Palatino Linotype" w:eastAsia="Palatino Linotype" w:hAnsi="Palatino Linotype" w:cs="Palatino Linotype"/>
          <w:lang w:val="tr-TR"/>
        </w:rPr>
      </w:pPr>
      <w:r>
        <w:rPr>
          <w:rFonts w:ascii="Palatino Linotype" w:eastAsia="Palatino Linotype" w:hAnsi="Palatino Linotype" w:cs="Palatino Linotype"/>
          <w:b/>
        </w:rPr>
        <w:t xml:space="preserve">  </w:t>
      </w:r>
      <w:r w:rsidR="006F218A">
        <w:rPr>
          <w:rFonts w:ascii="Palatino Linotype" w:eastAsia="Palatino Linotype" w:hAnsi="Palatino Linotype" w:cs="Palatino Linotype"/>
          <w:b/>
        </w:rPr>
        <w:t>V</w:t>
      </w:r>
      <w:r w:rsidRPr="000D5D69">
        <w:rPr>
          <w:rFonts w:ascii="Palatino Linotype" w:eastAsia="Palatino Linotype" w:hAnsi="Palatino Linotype" w:cs="Palatino Linotype"/>
          <w:b/>
        </w:rPr>
        <w:t>.</w:t>
      </w:r>
      <w:r w:rsidRPr="000D5D69">
        <w:rPr>
          <w:rFonts w:ascii="Palatino Linotype" w:eastAsia="Palatino Linotype" w:hAnsi="Palatino Linotype" w:cs="Palatino Linotype"/>
        </w:rPr>
        <w:t xml:space="preserve"> </w:t>
      </w:r>
      <w:r w:rsidRPr="000D5D69">
        <w:rPr>
          <w:rFonts w:ascii="Palatino Linotype" w:eastAsia="Palatino Linotype" w:hAnsi="Palatino Linotype" w:cs="Palatino Linotype"/>
          <w:b/>
        </w:rPr>
        <w:t>AİHS’İN 7. MADDESİ</w:t>
      </w:r>
      <w:r w:rsidR="00BE5008">
        <w:rPr>
          <w:rFonts w:ascii="Palatino Linotype" w:eastAsia="Palatino Linotype" w:hAnsi="Palatino Linotype" w:cs="Palatino Linotype"/>
          <w:b/>
        </w:rPr>
        <w:t xml:space="preserve"> </w:t>
      </w:r>
      <w:r w:rsidRPr="000D5D69">
        <w:rPr>
          <w:rFonts w:ascii="Palatino Linotype" w:eastAsia="Palatino Linotype" w:hAnsi="Palatino Linotype" w:cs="Palatino Linotype"/>
          <w:b/>
        </w:rPr>
        <w:t xml:space="preserve">KAPSAMINDA MAHKEMEDEN TALEP EDİLEN HUSUSLAR </w:t>
      </w:r>
    </w:p>
    <w:p w14:paraId="75895507" w14:textId="739401B8" w:rsidR="006F218A" w:rsidRDefault="005301AF" w:rsidP="000B7997">
      <w:pPr>
        <w:numPr>
          <w:ilvl w:val="0"/>
          <w:numId w:val="19"/>
        </w:numPr>
        <w:tabs>
          <w:tab w:val="left" w:pos="851"/>
        </w:tabs>
        <w:spacing w:line="23" w:lineRule="atLeast"/>
        <w:jc w:val="both"/>
        <w:rPr>
          <w:rFonts w:ascii="Palatino Linotype" w:eastAsia="Palatino Linotype" w:hAnsi="Palatino Linotype" w:cs="Palatino Linotype"/>
          <w:lang w:val="tr-TR"/>
        </w:rPr>
      </w:pPr>
      <w:r w:rsidRPr="00722181">
        <w:rPr>
          <w:rFonts w:ascii="Palatino Linotype" w:eastAsia="Palatino Linotype" w:hAnsi="Palatino Linotype" w:cs="Palatino Linotype"/>
          <w:lang w:val="tr-TR"/>
        </w:rPr>
        <w:t>AİH</w:t>
      </w:r>
      <w:r w:rsidR="00BE5008" w:rsidRPr="00722181">
        <w:rPr>
          <w:rFonts w:ascii="Palatino Linotype" w:eastAsia="Palatino Linotype" w:hAnsi="Palatino Linotype" w:cs="Palatino Linotype"/>
          <w:lang w:val="tr-TR"/>
        </w:rPr>
        <w:t>M</w:t>
      </w:r>
      <w:r w:rsidR="00BE5008" w:rsidRPr="00722181">
        <w:rPr>
          <w:rFonts w:ascii="Times New Roman" w:eastAsia="Times New Roman" w:hAnsi="Times New Roman" w:cs="Times New Roman"/>
          <w:b/>
          <w:bCs/>
          <w:sz w:val="24"/>
          <w:szCs w:val="24"/>
          <w:lang w:val="tr-TR"/>
        </w:rPr>
        <w:t xml:space="preserve"> </w:t>
      </w:r>
      <w:r w:rsidR="00BE5008" w:rsidRPr="00722181">
        <w:rPr>
          <w:rFonts w:ascii="Palatino Linotype" w:eastAsia="Palatino Linotype" w:hAnsi="Palatino Linotype" w:cs="Palatino Linotype"/>
          <w:b/>
          <w:bCs/>
          <w:lang w:val="tr-TR"/>
        </w:rPr>
        <w:t>Seyhan ve Diğerleri</w:t>
      </w:r>
      <w:r w:rsidR="00BE5008" w:rsidRPr="00722181">
        <w:rPr>
          <w:rFonts w:ascii="Palatino Linotype" w:eastAsia="Palatino Linotype" w:hAnsi="Palatino Linotype" w:cs="Palatino Linotype"/>
          <w:lang w:val="tr-TR"/>
        </w:rPr>
        <w:t xml:space="preserve"> kararında, başvurucuların karşı karşıya kaldığı yargılama pratiklerinin, </w:t>
      </w:r>
      <w:r w:rsidR="00BE5008" w:rsidRPr="00722181">
        <w:rPr>
          <w:rFonts w:ascii="Palatino Linotype" w:eastAsia="Palatino Linotype" w:hAnsi="Palatino Linotype" w:cs="Palatino Linotype"/>
          <w:b/>
          <w:bCs/>
          <w:lang w:val="tr-TR"/>
        </w:rPr>
        <w:t>Yüksel Yalçınkaya kararında tespit edilen "yapısal ve sistemik sorunlarla" birebir örtüştüğünü ve Yalçınkaya içtihadından ayrılmayı gerektirecek bir durum olmadığını açıkça vurgulamıştır.</w:t>
      </w:r>
      <w:r w:rsidR="00BE5008" w:rsidRPr="00722181">
        <w:rPr>
          <w:rFonts w:ascii="Palatino Linotype" w:eastAsia="Palatino Linotype" w:hAnsi="Palatino Linotype" w:cs="Palatino Linotype"/>
          <w:lang w:val="tr-TR"/>
        </w:rPr>
        <w:t xml:space="preserve"> Mahkeme, Seyhan kararının ilgili paragraflarında, Yalçınkaya kararının "kanunsuz ceza olmaz" ilkesi bağlamındaki tespitlerinin bu dosyalar için de geçerli olduğunu ima ederek, </w:t>
      </w:r>
      <w:r w:rsidR="00BE5008" w:rsidRPr="00722181">
        <w:rPr>
          <w:rFonts w:ascii="Palatino Linotype" w:eastAsia="Palatino Linotype" w:hAnsi="Palatino Linotype" w:cs="Palatino Linotype"/>
          <w:b/>
          <w:bCs/>
          <w:lang w:val="tr-TR"/>
        </w:rPr>
        <w:t>Türk yargısının ByLock konusundaki kategorik yaklaşımının düzeltilmesi gerektiğine işaret etmiştir (Seyhan, §§ 10, 12, 15; Yalçınkaya, §§ 262–271).</w:t>
      </w:r>
      <w:r w:rsidR="00BE5008" w:rsidRPr="00722181">
        <w:rPr>
          <w:rFonts w:ascii="Palatino Linotype" w:eastAsia="Palatino Linotype" w:hAnsi="Palatino Linotype" w:cs="Palatino Linotype"/>
          <w:lang w:val="tr-TR"/>
        </w:rPr>
        <w:t xml:space="preserve"> </w:t>
      </w:r>
    </w:p>
    <w:p w14:paraId="7E4CE6FB" w14:textId="77777777" w:rsidR="000B7997" w:rsidRDefault="00722181" w:rsidP="000B7997">
      <w:pPr>
        <w:pStyle w:val="ListeParagraf"/>
        <w:numPr>
          <w:ilvl w:val="0"/>
          <w:numId w:val="19"/>
        </w:numPr>
        <w:spacing w:line="23" w:lineRule="atLeast"/>
        <w:jc w:val="both"/>
        <w:rPr>
          <w:rFonts w:ascii="Palatino Linotype" w:eastAsia="Times New Roman" w:hAnsi="Palatino Linotype" w:cs="Times New Roman"/>
          <w:color w:val="000000"/>
          <w:lang w:val="tr-NL"/>
        </w:rPr>
      </w:pPr>
      <w:r w:rsidRPr="00FC0B37">
        <w:rPr>
          <w:rFonts w:ascii="Palatino Linotype" w:eastAsia="Times New Roman" w:hAnsi="Palatino Linotype" w:cs="Times New Roman"/>
          <w:color w:val="000000"/>
          <w:lang w:val="tr-NL"/>
        </w:rPr>
        <w:t xml:space="preserve">AİHM, TCK’nın 314/2. maddesinin ulusal mahkemelerce aşırı geniş ve öngörülemez biçimde yorumlandığını; sırf ByLock veya benzeri kullanımın örgüt üyeliğinin kesin kanıtı sayılmasının, suçun hem maddi hem de manevi unsurlarının kişiselleştirilmesini engelleyerek yasallık ve öngörülebilirlik ilkelerini ihlal ettiğini tespit etmiştir (Yalçınkaya §§ 237-238, 257, 264-266). Ceza hukuku kurallarının sanık aleyhine geriye yürütülemez ve kıyas yoluyla genişletilemez olduğu vurgulanmıştır (Yalçınkaya §§ 237-238, 267). AİHM Büyük Dairesi'nin yakın zamanda verdiği Yasak v. Türkiye kararı (B.No: 17389/20) ise, bu </w:t>
      </w:r>
      <w:r w:rsidRPr="00FC0B37">
        <w:rPr>
          <w:rFonts w:ascii="Palatino Linotype" w:eastAsia="Times New Roman" w:hAnsi="Palatino Linotype" w:cs="Times New Roman"/>
          <w:color w:val="000000"/>
          <w:lang w:val="tr-NL"/>
        </w:rPr>
        <w:lastRenderedPageBreak/>
        <w:t>ihlal tespitlerini çok daha geniş bir delil yelpazesi üzerinden ele almış ve cezai sorumluluğun tespiti için zorunlu olan "manevi unsur" (mens rea / suç kastı) şartını net sınırlarla çizmiştir. Yasak kararında, salt ByLock değil, çok daha çeşitli delillere dayalı mahkûmiyetler incelenmiş ve eylemler ne denli çeşitli olursa olsun, maddi ve manevi unsurlar somut bir biçimde bireyselleştirilerek incelenmeksizin verilen kararların 7. maddeyi açıkça ihlal edeceği hüküm altına alınmıştır (Yasak, §§ 200-202).</w:t>
      </w:r>
    </w:p>
    <w:p w14:paraId="7722EA4E" w14:textId="2047D1EB" w:rsidR="00722181" w:rsidRPr="000B7997" w:rsidRDefault="00722181" w:rsidP="000B7997">
      <w:pPr>
        <w:pStyle w:val="ListeParagraf"/>
        <w:numPr>
          <w:ilvl w:val="0"/>
          <w:numId w:val="19"/>
        </w:numPr>
        <w:spacing w:line="23" w:lineRule="atLeast"/>
        <w:jc w:val="both"/>
        <w:rPr>
          <w:rFonts w:ascii="Palatino Linotype" w:eastAsia="Times New Roman" w:hAnsi="Palatino Linotype" w:cs="Times New Roman"/>
          <w:color w:val="000000"/>
          <w:lang w:val="tr-NL"/>
        </w:rPr>
      </w:pPr>
      <w:r w:rsidRPr="000B7997">
        <w:rPr>
          <w:rFonts w:ascii="Palatino Linotype" w:eastAsia="Times New Roman" w:hAnsi="Palatino Linotype" w:cs="Times New Roman"/>
          <w:color w:val="000000"/>
          <w:lang w:val="tr-NL"/>
        </w:rPr>
        <w:t>Bu tespitler ışığında, isnat edilen eylem tarihinde sırf ByLock kullanımının veya gerçekleştirilen faaliyetlerin TCK 314/2 kapsamında örgüt üyeliği sayılacağının o dönemin kanunları ve yerleşik içtihatları açısından öngörülebilir olup olmadığının tespit edilmesini ve bu durumun somut olaya uygulanarak denetime elverişli şekilde gerekçelendirilmesini; ayrıca TCK 314/2 hükmüne eylem tarihindeki anlamını aşan ve aleyhe genişletici bir içerik yüklenip yüklenmediğinin dayanaklarıyla açıklanmasını talep ediyoruz (Yalçınkaya §§ 237-238, 265, 338).</w:t>
      </w:r>
    </w:p>
    <w:p w14:paraId="1183B2FE" w14:textId="77777777" w:rsidR="00722181" w:rsidRPr="00FC0B37" w:rsidRDefault="00722181" w:rsidP="000B7997">
      <w:pPr>
        <w:pStyle w:val="ListeParagraf"/>
        <w:numPr>
          <w:ilvl w:val="0"/>
          <w:numId w:val="19"/>
        </w:numPr>
        <w:spacing w:line="23" w:lineRule="atLeast"/>
        <w:jc w:val="both"/>
        <w:rPr>
          <w:rFonts w:ascii="Palatino Linotype" w:eastAsia="Times New Roman" w:hAnsi="Palatino Linotype" w:cs="Times New Roman"/>
          <w:color w:val="000000"/>
          <w:lang w:val="tr-NL"/>
        </w:rPr>
      </w:pPr>
      <w:r w:rsidRPr="00FC0B37">
        <w:rPr>
          <w:rFonts w:ascii="Palatino Linotype" w:eastAsia="Times New Roman" w:hAnsi="Palatino Linotype" w:cs="Times New Roman"/>
          <w:color w:val="000000"/>
          <w:lang w:val="tr-NL"/>
        </w:rPr>
        <w:t>AİHM, yargı makamlarının ByLock kullanımını veya benzeri faaliyetleri doğrudan "örgüt üyeliği" ile eşdeğer tutan otomatik bir varsayımla hareket ettiğini saptamıştır. Bir iletişim aracının teknik özellikleri (gizli veya şifreli olması) veya yasal dernek/sendika üyelikleri, sanığın “silahlı terör örgütü üyesi olma iradesiyle” (özel kast) hareket ettiğinin kesin kanıtı sayılamaz. Maddi bir olgudan manevi unsura (kast) geçişte sanık aleyhine varsayımsal ve döngüsel bir mantık kurmak, “kusursuz sorumluluk” (objektif sorumluluk) rejimi yaratarak Yalçınkaya kararındaki ihlal gerekçelerini dolanmaktır (Yalçınkaya §§ 253, 257, 263-264, 271-272, 338). Yasak kararı da bu noktada kolektif suçluluk ya da suç ortaklığı (aidiyet/iltisak temelli cezalandırma) yaklaşımını açıkça ve kesin bir dille reddetmiştir. Mahkeme, örtülü olarak da olsa yerel mahkemelerin kolektif suçluluk yaklaşımıyla mahkûmiyet verdiklerini kayda geçirmiş ve bu hukuka aykırı pratiği mahkûm ederek, cezai sorumluluğun tamamen bireysel olarak ve "suç kastıyla" birlikte tespitinin zorunlu olduğunu vurgulamıştır (Yasak, §§ 202-203).</w:t>
      </w:r>
    </w:p>
    <w:p w14:paraId="6F85A3E2" w14:textId="77777777" w:rsidR="000B7997" w:rsidRDefault="00722181" w:rsidP="000B7997">
      <w:pPr>
        <w:pStyle w:val="ListeParagraf"/>
        <w:numPr>
          <w:ilvl w:val="0"/>
          <w:numId w:val="19"/>
        </w:numPr>
        <w:spacing w:line="23" w:lineRule="atLeast"/>
        <w:jc w:val="both"/>
        <w:rPr>
          <w:rFonts w:ascii="Palatino Linotype" w:eastAsia="Times New Roman" w:hAnsi="Palatino Linotype" w:cs="Times New Roman"/>
          <w:color w:val="000000"/>
          <w:lang w:val="tr-NL"/>
        </w:rPr>
      </w:pPr>
      <w:r w:rsidRPr="00FC0B37">
        <w:rPr>
          <w:rFonts w:ascii="Palatino Linotype" w:eastAsia="Times New Roman" w:hAnsi="Palatino Linotype" w:cs="Times New Roman"/>
          <w:color w:val="000000"/>
          <w:lang w:val="tr-NL"/>
        </w:rPr>
        <w:t>AİHM'in Yasak kararında vurguladığı en önemli husus, TCK'nın 314. maddesinde düzenlenen suçun mahiyetidir. Mahkemeye göre, bu suç sıradan veya suç faaliyetlerinde bulunan herhangi bir yapıya üyeliği değil, doğrudan doğruya "şiddete" başvurmakta olan bir silahlı terör örgütü üyeliğini ilgilendirmektedir. Bu nedenle sanığın, suç tarihinde örgütün amaçları ve "şiddet içeren yöntemlerinden" haberdar olduğunu somut olarak göstermek, cezalandırmanın vazgeçilmez koşuludur. Yargıtay tarafından geliştirilen kasıt içtihadı da kişinin bilerek ve isteyerek hareket ettiğinin, yani bizzat şiddete başvuran böyle bir yapının parçası olmayı arzuladığının ortaya konulmasını gerektirmektedir. Bir eylemi sadece örgütle temas kurmaktan ya da açıkça suç işleme kastı olmaksızın örgüte salt üye olmaktan ayıran yegane husus budur (Yasak, § 203). Yani Mahkeme, salt yapı üyeliğinin değil, ancak amaçları ve şiddet içeren yöntemlerinden haberdar olunduğu kanıtlanabilen kişilerin terör örgütü üyesi olarak cezalandırılabileceğini belirtmiştir.</w:t>
      </w:r>
    </w:p>
    <w:p w14:paraId="47344514" w14:textId="5A00E608" w:rsidR="00722181" w:rsidRPr="000B7997" w:rsidRDefault="00722181" w:rsidP="000B7997">
      <w:pPr>
        <w:pStyle w:val="ListeParagraf"/>
        <w:numPr>
          <w:ilvl w:val="0"/>
          <w:numId w:val="19"/>
        </w:numPr>
        <w:spacing w:line="23" w:lineRule="atLeast"/>
        <w:jc w:val="both"/>
        <w:rPr>
          <w:rFonts w:ascii="Palatino Linotype" w:eastAsia="Times New Roman" w:hAnsi="Palatino Linotype" w:cs="Times New Roman"/>
          <w:bCs/>
          <w:color w:val="000000"/>
          <w:lang w:val="tr-NL"/>
        </w:rPr>
      </w:pPr>
      <w:r w:rsidRPr="000B7997">
        <w:rPr>
          <w:rFonts w:ascii="Palatino Linotype" w:hAnsi="Palatino Linotype"/>
          <w:bCs/>
        </w:rPr>
        <w:t>Mütalaada da aynı doğrultuda, örgüt üyeliği suçunun ancak doğrudan kastla işlenebileceği, olası kastla işlenemeyeceği ve bu suçun “amaç suç” niteliği taşıdığı; mahkûmiyet için kişinin ya intisap edilen örgütün faaliyeti çerçevesinde bir suç işlemesi ya da örgüte bu özelliğini bilerek ve isteyerek yardım etmesi gerektiği belirtilmiştir. Mütalaanın ifadesiyle: “TCK ve TMK düzenlemeleri, bu fiiller olmadan örgüt üyeliğinden mahkûmiyete asla izin vermemektedir.” (Mütalaa, s. 3-4).</w:t>
      </w:r>
    </w:p>
    <w:p w14:paraId="4DAAF871" w14:textId="77777777" w:rsidR="00722181" w:rsidRPr="00FC0B37" w:rsidRDefault="00722181" w:rsidP="000B7997">
      <w:pPr>
        <w:pStyle w:val="ListeParagraf"/>
        <w:numPr>
          <w:ilvl w:val="0"/>
          <w:numId w:val="19"/>
        </w:numPr>
        <w:spacing w:line="23" w:lineRule="atLeast"/>
        <w:jc w:val="both"/>
        <w:rPr>
          <w:rFonts w:ascii="Palatino Linotype" w:eastAsia="Times New Roman" w:hAnsi="Palatino Linotype" w:cs="Times New Roman"/>
          <w:color w:val="000000"/>
          <w:lang w:val="tr-NL"/>
        </w:rPr>
      </w:pPr>
      <w:r w:rsidRPr="00FC0B37">
        <w:rPr>
          <w:rFonts w:ascii="Palatino Linotype" w:eastAsia="Times New Roman" w:hAnsi="Palatino Linotype" w:cs="Times New Roman"/>
          <w:color w:val="000000"/>
          <w:lang w:val="tr-NL"/>
        </w:rPr>
        <w:t xml:space="preserve">Bu ihlal gerekçeleri doğrultusunda, kategorik ve toptancı kabulün reddedildiğinin kararda açıkça belirtilmesini; yargılama makamlarının "kişinin bir görev üstlendiği veya şiddet kullanımını öngörebilecek durumda olduğu" şeklindeki niyet okuyucu yaklaşımından tamamen vazgeçilmesini (Yasak, § 209); dosyaya özgü kullanım yoğunluğu, temas ağı ve </w:t>
      </w:r>
      <w:r w:rsidRPr="00FC0B37">
        <w:rPr>
          <w:rFonts w:ascii="Palatino Linotype" w:eastAsia="Times New Roman" w:hAnsi="Palatino Linotype" w:cs="Times New Roman"/>
          <w:color w:val="000000"/>
          <w:lang w:val="tr-NL"/>
        </w:rPr>
        <w:lastRenderedPageBreak/>
        <w:t>atfedilen rolün kişiselleştirilerek incelenmesini ve salt “teknik tespitin kesinliği” gibi argümanların suçun manevi unsurunun oluştuğu anlamına gelmeyeceğinin gözetilerek, sanığın iradesi ile kastının ceza hukuku genel prensipleri çerçevesinde ayrıca ve somut olarak tartışılmasını talep ediyoruz.</w:t>
      </w:r>
    </w:p>
    <w:p w14:paraId="0FC759C5" w14:textId="77EA968A" w:rsidR="000B7997" w:rsidRDefault="00722181" w:rsidP="000B7997">
      <w:pPr>
        <w:pStyle w:val="ListeParagraf"/>
        <w:numPr>
          <w:ilvl w:val="0"/>
          <w:numId w:val="19"/>
        </w:numPr>
        <w:spacing w:line="23" w:lineRule="atLeast"/>
        <w:jc w:val="both"/>
        <w:rPr>
          <w:rFonts w:ascii="Palatino Linotype" w:eastAsia="Times New Roman" w:hAnsi="Palatino Linotype" w:cs="Times New Roman"/>
          <w:color w:val="000000"/>
          <w:lang w:val="tr-NL"/>
        </w:rPr>
      </w:pPr>
      <w:r w:rsidRPr="00FC0B37">
        <w:rPr>
          <w:rFonts w:ascii="Palatino Linotype" w:eastAsia="Times New Roman" w:hAnsi="Palatino Linotype" w:cs="Times New Roman"/>
          <w:color w:val="000000"/>
          <w:lang w:val="tr-NL"/>
        </w:rPr>
        <w:t>AİHM, örgüt üyeliği suçlamasında sanığın "bilme ve isteme" şeklindeki özel kastının somut olarak ispatlanması gerektiğini belirtmiştir (Yalçınkaya §§ 253, 263-264). AİHM Yasak kararında, kasıt unsurunun nasıl tespit edileceğine dair ulusal mahkemelerin uygulamasını incelemiş ve izlenen yöntemi son derece sorunlu bulmuştur. Kararda ne yapılması gerektiği pozitif bir hukuk kuralı olarak tarif edilmiştir: Makamlar, bu bileşenlerle yalnızca bir bağlantının varlığını değil, bu bağlantının somut içeriğini ve suç kastını ortaya koyup koymadığını araştırmak zorundadır. Yargılama makamları, kişinin sözkonusu yapının merkezi veya stratejik yapılarıyla "gerçek, işlevsel ve hiyerarşik bir bağının" bulunup bulunmadığını, bu bağın kapsamını ve niteliğini, ayrıca kişinin bu yapının iddia edilen şiddet içeren amaçlarını "bilerek ve isteyerek hareket edip etmediğini" somut delillerle ispat etmek zorundadır. Daha da önemlisi, sorumluluk, sonradan</w:t>
      </w:r>
      <w:r w:rsidR="004647E0" w:rsidRPr="004647E0">
        <w:rPr>
          <w:rFonts w:ascii="Palatino Linotype" w:eastAsia="Times New Roman" w:hAnsi="Palatino Linotype" w:cs="Times New Roman"/>
          <w:color w:val="000000" w:themeColor="text1"/>
          <w:lang w:val="tr-NL"/>
        </w:rPr>
        <w:t xml:space="preserve"> </w:t>
      </w:r>
      <w:r w:rsidR="004647E0">
        <w:rPr>
          <w:rFonts w:ascii="Palatino Linotype" w:eastAsia="Times New Roman" w:hAnsi="Palatino Linotype" w:cs="Times New Roman"/>
          <w:color w:val="000000" w:themeColor="text1"/>
          <w:lang w:val="tr-NL"/>
        </w:rPr>
        <w:t>yapıya</w:t>
      </w:r>
      <w:r w:rsidR="004647E0" w:rsidRPr="00FC0B37">
        <w:rPr>
          <w:rFonts w:ascii="Palatino Linotype" w:eastAsia="Times New Roman" w:hAnsi="Palatino Linotype" w:cs="Times New Roman"/>
          <w:color w:val="000000"/>
          <w:lang w:val="tr-NL"/>
        </w:rPr>
        <w:t xml:space="preserve"> </w:t>
      </w:r>
      <w:r w:rsidRPr="00FC0B37">
        <w:rPr>
          <w:rFonts w:ascii="Palatino Linotype" w:eastAsia="Times New Roman" w:hAnsi="Palatino Linotype" w:cs="Times New Roman"/>
          <w:color w:val="000000"/>
          <w:lang w:val="tr-NL"/>
        </w:rPr>
        <w:t>atfedilen şiddet veya terör niteliği üzerinden değil, yalnızca fiillerin işlendiği o dönemdeki bilgi, kast ve bağlam üzerinden değerlendirilebilir (Yasak, § 209).</w:t>
      </w:r>
    </w:p>
    <w:p w14:paraId="0433A621" w14:textId="77777777" w:rsidR="000B7997" w:rsidRPr="000B7997" w:rsidRDefault="00722181" w:rsidP="000B7997">
      <w:pPr>
        <w:pStyle w:val="ListeParagraf"/>
        <w:numPr>
          <w:ilvl w:val="0"/>
          <w:numId w:val="19"/>
        </w:numPr>
        <w:spacing w:line="23" w:lineRule="atLeast"/>
        <w:jc w:val="both"/>
        <w:rPr>
          <w:rFonts w:ascii="Palatino Linotype" w:eastAsia="Times New Roman" w:hAnsi="Palatino Linotype" w:cs="Times New Roman"/>
          <w:bCs/>
          <w:color w:val="000000"/>
          <w:lang w:val="tr-NL"/>
        </w:rPr>
      </w:pPr>
      <w:r w:rsidRPr="000B7997">
        <w:rPr>
          <w:rFonts w:ascii="Palatino Linotype" w:hAnsi="Palatino Linotype"/>
          <w:bCs/>
        </w:rPr>
        <w:t>Mütalaada da, “bir oluşumun çekirdeğini oluşturan kişiler suç işlemek amacıyla hareket etmekle birlikte, bu oluşumun içinde yer alan ve fakat bu amaçtan habersiz olan kişilerin, suç işlemek amacıyla kurulmuş bir örgüte üye olmaktan sorumlu tutulamayacakları” açıkça ifade edilmiştir (Mütalaa, s. 7).</w:t>
      </w:r>
    </w:p>
    <w:p w14:paraId="4614C7AF" w14:textId="0B9F9569" w:rsidR="00722181" w:rsidRPr="000B7997" w:rsidRDefault="00722181" w:rsidP="000B7997">
      <w:pPr>
        <w:pStyle w:val="ListeParagraf"/>
        <w:numPr>
          <w:ilvl w:val="0"/>
          <w:numId w:val="19"/>
        </w:numPr>
        <w:spacing w:line="23" w:lineRule="atLeast"/>
        <w:jc w:val="both"/>
        <w:rPr>
          <w:rFonts w:ascii="Palatino Linotype" w:eastAsia="Times New Roman" w:hAnsi="Palatino Linotype" w:cs="Times New Roman"/>
          <w:bCs/>
          <w:color w:val="000000"/>
          <w:lang w:val="tr-NL"/>
        </w:rPr>
      </w:pPr>
      <w:r w:rsidRPr="000B7997">
        <w:rPr>
          <w:rFonts w:ascii="Palatino Linotype" w:hAnsi="Palatino Linotype"/>
          <w:bCs/>
        </w:rPr>
        <w:t>Bununla bağlantılı olarak mütalaada, ceza sorumluluğunun ancak kanunda tanımlanan statüler bakımından doğabileceği; kurucu, yönetici, üye, örgüt adına suç işlemek, örgüte yardım etmek ve propagandasını yapmak dışında bir ilişki biçiminin yaptırım uygulanmasını gerektirmeyeceği; “sempatizan, radikal, köktenci, irtibatlı” gibi terimlerin ise sorumluluk doğuracak bir gerekçelendirmeye esas alınamayacağı belirtilmiştir. Ayrıca bir örgütsel yapının Millî Güvenlik Kurulu kararlarıyla suç örgütüne evrildiğini kabul etmenin “yargı faaliyeti bakımından hiçbir öneminin bulunmadığı”; “milat” tarihlerinin ceza hukuku dogmatiği açısından hiçbir kurucu değer taşımadığı vurgulanmıştır (Mütalaa, s. 5, 48-49 ve s. 66).</w:t>
      </w:r>
    </w:p>
    <w:p w14:paraId="1AFFF3C8" w14:textId="77777777" w:rsidR="00722181" w:rsidRPr="00FC0B37" w:rsidRDefault="00722181" w:rsidP="000B7997">
      <w:pPr>
        <w:pStyle w:val="ListeParagraf"/>
        <w:numPr>
          <w:ilvl w:val="0"/>
          <w:numId w:val="19"/>
        </w:numPr>
        <w:spacing w:line="23" w:lineRule="atLeast"/>
        <w:jc w:val="both"/>
        <w:rPr>
          <w:rFonts w:ascii="Palatino Linotype" w:eastAsia="Times New Roman" w:hAnsi="Palatino Linotype" w:cs="Times New Roman"/>
          <w:color w:val="000000"/>
          <w:lang w:val="tr-NL"/>
        </w:rPr>
      </w:pPr>
      <w:r w:rsidRPr="00FC0B37">
        <w:rPr>
          <w:rFonts w:ascii="Palatino Linotype" w:eastAsia="Times New Roman" w:hAnsi="Palatino Linotype" w:cs="Times New Roman"/>
          <w:color w:val="000000"/>
          <w:lang w:val="tr-NL"/>
        </w:rPr>
        <w:t>Büyük Daire, bu ispat zorunluluğunun neden elzem olduğunu açıklarken çok önemli bir "bağlamsal analiz" yapmıştır. Söz konusu yapının uzun yıllar boyunca toplumun değişik alanlarına, özellikle eğitim, sağlık ve finans alanlarında yer aldığını, yasal olarak ve devletin denetiminde faaliyet gösterdiği vurgulanmıştır. Dolayısıyla toplumun geniş bir kesimini oluşturan çok sayıda kişinin, bu yapının iddia edilen amaçlarından veya gizli niyetlerinden hiçbir şekilde haberdar olmadan yapının görünür ve yasal yapılarıyla temas kurmuş, faaliyet sürdürmüş olması son derece olağandır. Hal böyleyken, terör örgütü üyeliği suçunun en zorunlu unsuru olan "kasıt" unsurunun tespitinin önemi bir kat daha artmaktadır (Yasak, § 208). Müvekkilin rutin faaliyetlerinin de bu bağlamsal gerçeklikten kopuk değerlendirilmesi hukuken mümkün değildir.</w:t>
      </w:r>
    </w:p>
    <w:p w14:paraId="6837FF91" w14:textId="77777777" w:rsidR="00722181" w:rsidRPr="00FC0B37" w:rsidRDefault="00722181" w:rsidP="000B7997">
      <w:pPr>
        <w:pStyle w:val="ListeParagraf"/>
        <w:numPr>
          <w:ilvl w:val="0"/>
          <w:numId w:val="19"/>
        </w:numPr>
        <w:spacing w:line="23" w:lineRule="atLeast"/>
        <w:jc w:val="both"/>
        <w:rPr>
          <w:rFonts w:ascii="Palatino Linotype" w:eastAsia="Times New Roman" w:hAnsi="Palatino Linotype" w:cs="Times New Roman"/>
          <w:color w:val="000000"/>
          <w:lang w:val="tr-NL"/>
        </w:rPr>
      </w:pPr>
      <w:r w:rsidRPr="00FC0B37">
        <w:rPr>
          <w:rFonts w:ascii="Palatino Linotype" w:eastAsia="Times New Roman" w:hAnsi="Palatino Linotype" w:cs="Times New Roman"/>
          <w:color w:val="000000"/>
          <w:lang w:val="tr-NL"/>
        </w:rPr>
        <w:t xml:space="preserve">Bununla birlikte Mahkeme, Yasak kararında önemli bir "zamansal" değerlendirme de yapmıştır. Başvurucuya atfedilen eylemlerin ne zaman gerçekleştirildiği dahi tam belirlenmeden, iddialar üzerine mahkûmiyet kurulması eleştirilmiştir. İlgili yapının önce idari makamlar tarafından, sonra da mahkemeler tarafından 15 Temmuz sonrası terör örgütü olarak tanındığı gerçeği karşısında AİHM; ulusal makamların ve mahkemelerin, başvuranın söz konusu yapı içinde bulunmasının "masum bir katılımla mı" yoksa bilinçli bir "terörist projeye katılma kastıyla mı" olduğunu değerlendirmek zorunda olduğunu açıkça ifade etmiştir. 2014 yılına veya 15 Temmuz öncesine kadar gerçekleştirilen </w:t>
      </w:r>
      <w:r w:rsidRPr="00FC0B37">
        <w:rPr>
          <w:rFonts w:ascii="Palatino Linotype" w:eastAsia="Times New Roman" w:hAnsi="Palatino Linotype" w:cs="Times New Roman"/>
          <w:color w:val="000000"/>
          <w:lang w:val="tr-NL"/>
        </w:rPr>
        <w:lastRenderedPageBreak/>
        <w:t>eylemlerin kasıt unsurunu nasıl oluşturduğu, varsayımlarla değil maddi gerçeklikle açıklanmalıdır (Yasak, § 205).</w:t>
      </w:r>
    </w:p>
    <w:p w14:paraId="47545B8E" w14:textId="77777777" w:rsidR="00722181" w:rsidRPr="00FC0B37" w:rsidRDefault="00722181" w:rsidP="000B7997">
      <w:pPr>
        <w:pStyle w:val="ListeParagraf"/>
        <w:numPr>
          <w:ilvl w:val="0"/>
          <w:numId w:val="19"/>
        </w:numPr>
        <w:spacing w:line="23" w:lineRule="atLeast"/>
        <w:jc w:val="both"/>
        <w:rPr>
          <w:rFonts w:ascii="Palatino Linotype" w:eastAsia="Times New Roman" w:hAnsi="Palatino Linotype" w:cs="Times New Roman"/>
          <w:color w:val="000000"/>
          <w:lang w:val="tr-NL"/>
        </w:rPr>
      </w:pPr>
      <w:r w:rsidRPr="00FC0B37">
        <w:rPr>
          <w:rFonts w:ascii="Palatino Linotype" w:eastAsia="Times New Roman" w:hAnsi="Palatino Linotype" w:cs="Times New Roman"/>
          <w:color w:val="000000"/>
          <w:lang w:val="tr-NL"/>
        </w:rPr>
        <w:t>Mahkeme, kişilerin 17/25 Aralık sürecinden sonra da bağlarını sürdürmesini ulusal mahkemelerin bir faktör olarak ele almasını ikincillik ilkesi gereği ulusal takdir marjında görse de, bu durumun kişilere karşı gelişigüzel bir silaha dönüştürülemeyeceğini hükme bağlamıştır. Ulusal mahkemeler bu bağlantıyı sürdüren herkes için otomatik suçlu muamelesi yapamaz; mensubiyetin devam ettiği zamana ve kişinin icra ettiği faaliyetlerin bağlamına bakıp kasıt unsurunun gerçekten var olup olmadığını somut olarak incelemek zorundadır (Yasak, § 206). İtirafın az olduğu dosyalarda yargı makamlarının varsayımsal örgüt çıkarımı yapmasının yaygın olduğu kabul edilmekle birlikte, somut dosyalarda zamansal durumun dikkate alınmaması ve bağlamsal analizin yapılmaması doğrudan hak ihlali oluşturacaktır (Yasak, § 207).</w:t>
      </w:r>
    </w:p>
    <w:p w14:paraId="0A49366C" w14:textId="77777777" w:rsidR="00722181" w:rsidRPr="00FC0B37" w:rsidRDefault="00722181" w:rsidP="000B7997">
      <w:pPr>
        <w:pStyle w:val="ListeParagraf"/>
        <w:numPr>
          <w:ilvl w:val="0"/>
          <w:numId w:val="19"/>
        </w:numPr>
        <w:spacing w:line="23" w:lineRule="atLeast"/>
        <w:jc w:val="both"/>
        <w:rPr>
          <w:rFonts w:ascii="Palatino Linotype" w:eastAsia="Times New Roman" w:hAnsi="Palatino Linotype" w:cs="Times New Roman"/>
          <w:color w:val="000000"/>
          <w:lang w:val="tr-NL"/>
        </w:rPr>
      </w:pPr>
      <w:r w:rsidRPr="00FC0B37">
        <w:rPr>
          <w:rFonts w:ascii="Palatino Linotype" w:eastAsia="Times New Roman" w:hAnsi="Palatino Linotype" w:cs="Times New Roman"/>
          <w:color w:val="000000"/>
          <w:lang w:val="tr-NL"/>
        </w:rPr>
        <w:t>AİHM’e göre, ulusal mahkemelerin ByLock tespitini mahkumiyet için tek başına yeterli görmesi, örgüt üyeliği suçu için aranan "süreklilik, çeşitlilik ve yoğunluk" kriterlerinin göz ardı edilmesine yol açmıştır (Yalçınkaya §§ 257, 264-266). Yasak kararında, Yargıtay'ın söz konusu yapıya atfettiği 7 katmanlı hiyerarşik yapının muğlaklığına da özel olarak yer verilmiştir. Büyük Daire, bu katmanların hukuki bir öngörülebilirlik sunmaktan ne kadar uzak olduğunu tartışmış ve ulusal makamların bir kişinin eylemlerinin bu katmanlardan hangisine girdiğini ve bu durumun kişinin kastına nasıl etki ettiğini netleştirmediklerini tespit etmiştir (Yasak, § 210). Atıf yapılan bu katmanlı yapının muğlak tasvirlerinin varsayımsal cezalandırmalara dayanak yapılması, AİHM tarafından doğrudan 7. madde aleyhine yorumlanmıştır. Yeniden yapılacak yargılamada, örgüt üyeliği için zorunlu olan unsurların her birinin hangi somut delille ispatlandığının tek tek gösterilmesini; ByLock kullanımının veya soyut hiyerarşi katmanlarının tek başına bu unsurları karşıladığı varsayımından vazgeçilerek beraat kararı verilmesini talep ediyoruz.</w:t>
      </w:r>
    </w:p>
    <w:p w14:paraId="35B98CED" w14:textId="77777777" w:rsidR="00722181" w:rsidRPr="00FC0B37" w:rsidRDefault="00722181" w:rsidP="000B7997">
      <w:pPr>
        <w:pStyle w:val="ListeParagraf"/>
        <w:numPr>
          <w:ilvl w:val="0"/>
          <w:numId w:val="19"/>
        </w:numPr>
        <w:spacing w:line="23" w:lineRule="atLeast"/>
        <w:jc w:val="both"/>
        <w:rPr>
          <w:rFonts w:ascii="Palatino Linotype" w:eastAsia="Times New Roman" w:hAnsi="Palatino Linotype" w:cs="Times New Roman"/>
          <w:color w:val="000000"/>
          <w:lang w:val="tr-NL"/>
        </w:rPr>
      </w:pPr>
      <w:r w:rsidRPr="00FC0B37">
        <w:rPr>
          <w:rFonts w:ascii="Palatino Linotype" w:eastAsia="Times New Roman" w:hAnsi="Palatino Linotype" w:cs="Times New Roman"/>
          <w:color w:val="000000"/>
          <w:lang w:val="tr-NL"/>
        </w:rPr>
        <w:t>AİHM, mesaj içeriklerine veya yan delillere bakılmaksızın sadece Bylock kullanımın tespitinin "kesin delil" sayılmasını eleştirmiştir (Yalçınkaya §§ 257, 265-267). Uygulamanın halka açık mağazalardan indirilebilir olduğu bir dönemde "münhasırlık" iddiasının zayıfladığını saptamıştır (Yalçınkaya § 338). Bu nedenle, somut içerik olmaksızın tüm kullanıcılar hakkında aynı sonucun çıkarılmasının öngörülemez olduğu belirtilerek hukuka uygunluğu ispatlanan mesaj içerikleri ve hiyerarşik yapıya dair bağlamsal delillerin dosyaya getirtilmesini; bu veriler yoksa salt kullanım tespitine dayalı hüküm kurulmamasını talep ediyoruz (Yalçınkaya §§ 258, 265-267, 338).</w:t>
      </w:r>
    </w:p>
    <w:p w14:paraId="2AD9A0D8" w14:textId="77777777" w:rsidR="004647E0" w:rsidRPr="007640A4" w:rsidRDefault="004647E0" w:rsidP="004647E0">
      <w:pPr>
        <w:numPr>
          <w:ilvl w:val="0"/>
          <w:numId w:val="19"/>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7640A4">
        <w:rPr>
          <w:rFonts w:ascii="Palatino Linotype" w:eastAsia="Times New Roman" w:hAnsi="Palatino Linotype" w:cs="Times New Roman"/>
          <w:color w:val="000000" w:themeColor="text1"/>
          <w:lang w:val="tr-NL"/>
        </w:rPr>
        <w:t xml:space="preserve">AİHM'in Büyük Daire olarak verdiği Yalçınkaya kararı ve bu içtihadı takip eden Bozyokuş, Demirhan ve Yasak kararlarında ortaya koyduğu ilkelerin sadece ByLock uygulamasına özgü teknik bir tespit olmadığı; aksine Mahkemenin asıl vurgusunun, "suçun delili olabilecek bir olgunun, sanki suçun unsuruymuş gibi kabul edilmesine" ve bu yolla "suç tipinin kapsamının yargı eliyle fiilen genişletilerek yasallık ilkesinin ihlal edilmesine" yönelik olduğu tartışmasız bir gerçektir. Bu bağlamda, dosyalarda yer alan ve mahkûmiyet gerekçelerinde sıkça sıralanan; ByLock kullanım iddiası, şifreli mesaj içerikleri, tanık beyanları, sendika/dernek/vakıf üyeliği, Bank Asya hesap hareketleri, yasal yayınlara abonelik, gezilere katılım, yurt dışı giriş-çıkış kayıtları, bağış yapma, sosyal medya paylaşımları, öğrenci yurdunda kalma, HTS kayıtları, kurum istihdamı gibi hususlar, suç tarihinde yasal ve rutin faaliyetler olup, AİHM içtihatları gereğince yasallık ilkesinin koruması altındadır. AİHM, benzer davalarda kasta dair çıkarım yapmak isteyen ulusal yargı organlarına yol göstererek standardı belirlemiştir: Kasıt çıkarımı ancak ve ancak davanın "somut olgularıyla sıkı sıkıya bağlı kalınarak" ve "bireyselleştirilmiş bir analize </w:t>
      </w:r>
      <w:r w:rsidRPr="007640A4">
        <w:rPr>
          <w:rFonts w:ascii="Palatino Linotype" w:eastAsia="Times New Roman" w:hAnsi="Palatino Linotype" w:cs="Times New Roman"/>
          <w:color w:val="000000" w:themeColor="text1"/>
          <w:lang w:val="tr-NL"/>
        </w:rPr>
        <w:lastRenderedPageBreak/>
        <w:t xml:space="preserve">dayanarak" yapılırsa 7. maddeye uygun olabilir. İlgili dönemde büyük ölçüde "dini/sosyal bir grup" olarak algılanan bir yapıya mensup olma olgusu, tek başına, kişinin mahkûmiyetine dayanak teşkil eden fiilleri gerçekleştirirken suç için gerekli kasıt unsuruna sahip olduğu sonucuna asla yol açamaz. Dosyadaki var olan (ve aslen yasal olan) delilleri alt alta sıralayıp, bu delillerin kişinin </w:t>
      </w:r>
      <w:r>
        <w:rPr>
          <w:rFonts w:ascii="Palatino Linotype" w:eastAsia="Times New Roman" w:hAnsi="Palatino Linotype" w:cs="Times New Roman"/>
          <w:color w:val="000000" w:themeColor="text1"/>
          <w:lang w:val="tr-NL"/>
        </w:rPr>
        <w:t>yapının</w:t>
      </w:r>
      <w:r w:rsidRPr="007640A4">
        <w:rPr>
          <w:rFonts w:ascii="Palatino Linotype" w:eastAsia="Times New Roman" w:hAnsi="Palatino Linotype" w:cs="Times New Roman"/>
          <w:color w:val="000000" w:themeColor="text1"/>
          <w:lang w:val="tr-NL"/>
        </w:rPr>
        <w:t xml:space="preserve"> iddia edilen terörist amaçlarından gerçekten haberdar olduğunu ve bu bilgiyle </w:t>
      </w:r>
      <w:r>
        <w:rPr>
          <w:rFonts w:ascii="Palatino Linotype" w:eastAsia="Times New Roman" w:hAnsi="Palatino Linotype" w:cs="Times New Roman"/>
          <w:color w:val="000000" w:themeColor="text1"/>
          <w:lang w:val="tr-NL"/>
        </w:rPr>
        <w:t>yapıya</w:t>
      </w:r>
      <w:r w:rsidRPr="007640A4">
        <w:rPr>
          <w:rFonts w:ascii="Palatino Linotype" w:eastAsia="Times New Roman" w:hAnsi="Palatino Linotype" w:cs="Times New Roman"/>
          <w:color w:val="000000" w:themeColor="text1"/>
          <w:lang w:val="tr-NL"/>
        </w:rPr>
        <w:t xml:space="preserve"> katıldığını açıklamaya çalışmaksızın "kastın varlığına" hükmedilmesi kabul edilemez (Yasak, § 211). Bu faaliyetlerin hiçbiri, TCK’da tanımlanan "silahlı terör örgütü üyeliği" suçunun maddi unsurlarını ve bilhassa "cebir ve şiddet içermesi gereken nihai amacın bilindiği ve istendiği" şeklindeki manevi unsurunu kanıtlamaya elverişli değildir (Demirhan § 16).</w:t>
      </w:r>
    </w:p>
    <w:p w14:paraId="1DF2AF93" w14:textId="77777777" w:rsidR="004647E0" w:rsidRDefault="004647E0" w:rsidP="004647E0">
      <w:pPr>
        <w:numPr>
          <w:ilvl w:val="0"/>
          <w:numId w:val="19"/>
        </w:numPr>
        <w:spacing w:before="100" w:beforeAutospacing="1" w:after="100" w:afterAutospacing="1" w:line="240" w:lineRule="auto"/>
        <w:jc w:val="both"/>
        <w:rPr>
          <w:rFonts w:ascii="Palatino Linotype" w:eastAsia="Times New Roman" w:hAnsi="Palatino Linotype" w:cs="Times New Roman"/>
          <w:color w:val="000000" w:themeColor="text1"/>
          <w:lang w:val="tr-NL"/>
        </w:rPr>
      </w:pPr>
      <w:r w:rsidRPr="007640A4">
        <w:rPr>
          <w:rFonts w:ascii="Palatino Linotype" w:eastAsia="Times New Roman" w:hAnsi="Palatino Linotype" w:cs="Times New Roman"/>
          <w:color w:val="000000" w:themeColor="text1"/>
          <w:lang w:val="tr-NL"/>
        </w:rPr>
        <w:t xml:space="preserve">AİHM, yargılamalarda yapılan temel hata olan suçun kurucu unsurları yerine delillerin ikame edilmesini eleştirmiştir. Hükümetin "başvurucularla ilgili ByLock dışında başka deliller de var" savunmasını reddeden AİHM, suçun unsurlarının varlığı ortaya konulmadan, kriter olarak adlandırılan delillerin otomatik bir cezalandırma gerekçesi yapılmasını 7. maddenin ihlali saymıştır (Yalçınkaya, §§ 268, 341-343; Demirhan, § 39). Mahkemenin nihai sonucuna göre; ulusal makamlar ve mahkemeler, başvurucuların </w:t>
      </w:r>
      <w:r>
        <w:rPr>
          <w:rFonts w:ascii="Palatino Linotype" w:eastAsia="Times New Roman" w:hAnsi="Palatino Linotype" w:cs="Times New Roman"/>
          <w:color w:val="000000" w:themeColor="text1"/>
          <w:lang w:val="tr-NL"/>
        </w:rPr>
        <w:t>yapının</w:t>
      </w:r>
      <w:r w:rsidRPr="007640A4">
        <w:rPr>
          <w:rFonts w:ascii="Palatino Linotype" w:eastAsia="Times New Roman" w:hAnsi="Palatino Linotype" w:cs="Times New Roman"/>
          <w:color w:val="000000" w:themeColor="text1"/>
          <w:lang w:val="tr-NL"/>
        </w:rPr>
        <w:t xml:space="preserve"> terör örgütü olarak tanımlanmasından çok önce iç hukukta sahip olduğu yasal statü etrafında belirli eylemlerde bulunmalarının, onların "</w:t>
      </w:r>
      <w:r w:rsidRPr="008F5713">
        <w:rPr>
          <w:rFonts w:ascii="Palatino Linotype" w:eastAsia="Times New Roman" w:hAnsi="Palatino Linotype" w:cs="Times New Roman"/>
          <w:color w:val="000000" w:themeColor="text1"/>
          <w:lang w:val="tr-NL"/>
        </w:rPr>
        <w:t xml:space="preserve"> </w:t>
      </w:r>
      <w:r>
        <w:rPr>
          <w:rFonts w:ascii="Palatino Linotype" w:eastAsia="Times New Roman" w:hAnsi="Palatino Linotype" w:cs="Times New Roman"/>
          <w:color w:val="000000" w:themeColor="text1"/>
          <w:lang w:val="tr-NL"/>
        </w:rPr>
        <w:t>yapının</w:t>
      </w:r>
      <w:r w:rsidRPr="007640A4">
        <w:rPr>
          <w:rFonts w:ascii="Palatino Linotype" w:eastAsia="Times New Roman" w:hAnsi="Palatino Linotype" w:cs="Times New Roman"/>
          <w:color w:val="000000" w:themeColor="text1"/>
          <w:lang w:val="tr-NL"/>
        </w:rPr>
        <w:t xml:space="preserve"> niteliği ve </w:t>
      </w:r>
      <w:r>
        <w:rPr>
          <w:rFonts w:ascii="Palatino Linotype" w:eastAsia="Times New Roman" w:hAnsi="Palatino Linotype" w:cs="Times New Roman"/>
          <w:color w:val="000000" w:themeColor="text1"/>
          <w:lang w:val="tr-NL"/>
        </w:rPr>
        <w:t xml:space="preserve">iddia edilen </w:t>
      </w:r>
      <w:r w:rsidRPr="007640A4">
        <w:rPr>
          <w:rFonts w:ascii="Palatino Linotype" w:eastAsia="Times New Roman" w:hAnsi="Palatino Linotype" w:cs="Times New Roman"/>
          <w:color w:val="000000" w:themeColor="text1"/>
          <w:lang w:val="tr-NL"/>
        </w:rPr>
        <w:t xml:space="preserve">amaçlarından haberdar oldukları", "bu </w:t>
      </w:r>
      <w:r>
        <w:rPr>
          <w:rFonts w:ascii="Palatino Linotype" w:eastAsia="Times New Roman" w:hAnsi="Palatino Linotype" w:cs="Times New Roman"/>
          <w:color w:val="000000" w:themeColor="text1"/>
          <w:lang w:val="tr-NL"/>
        </w:rPr>
        <w:t>yapının</w:t>
      </w:r>
      <w:r w:rsidRPr="007640A4">
        <w:rPr>
          <w:rFonts w:ascii="Palatino Linotype" w:eastAsia="Times New Roman" w:hAnsi="Palatino Linotype" w:cs="Times New Roman"/>
          <w:color w:val="000000" w:themeColor="text1"/>
          <w:lang w:val="tr-NL"/>
        </w:rPr>
        <w:t xml:space="preserve"> bir parçası olmayı amaçladıkları" ve </w:t>
      </w:r>
      <w:r>
        <w:rPr>
          <w:rFonts w:ascii="Palatino Linotype" w:eastAsia="Times New Roman" w:hAnsi="Palatino Linotype" w:cs="Times New Roman"/>
          <w:color w:val="000000" w:themeColor="text1"/>
          <w:lang w:val="tr-NL"/>
        </w:rPr>
        <w:t>yapının</w:t>
      </w:r>
      <w:r w:rsidRPr="007640A4">
        <w:rPr>
          <w:rFonts w:ascii="Palatino Linotype" w:eastAsia="Times New Roman" w:hAnsi="Palatino Linotype" w:cs="Times New Roman"/>
          <w:color w:val="000000" w:themeColor="text1"/>
          <w:lang w:val="tr-NL"/>
        </w:rPr>
        <w:t xml:space="preserve"> amaçlarına "aktif, sürekli bir şekilde katkıda bulundukları" sonucuna nasıl yol açtığını hukuken açıklayamamışlardır. Bu durum doğrudan doğruya, cezai sorumluluk atfı için zorunlu olan manevi unsur tespit edilmeden kişinin cezalandırılmama hakkını garanti eden Sözleşmenin 7. maddesinin ihlalidir (Yasak, §§ 212-213).</w:t>
      </w:r>
    </w:p>
    <w:p w14:paraId="263D66F5" w14:textId="2CADC471" w:rsidR="00722181" w:rsidRPr="000B7997" w:rsidRDefault="00722181" w:rsidP="000B7997">
      <w:pPr>
        <w:pStyle w:val="ListeParagraf"/>
        <w:numPr>
          <w:ilvl w:val="0"/>
          <w:numId w:val="19"/>
        </w:numPr>
        <w:spacing w:line="23" w:lineRule="atLeast"/>
        <w:jc w:val="both"/>
        <w:rPr>
          <w:rFonts w:ascii="Palatino Linotype" w:eastAsia="Times New Roman" w:hAnsi="Palatino Linotype" w:cs="Times New Roman"/>
          <w:bCs/>
          <w:color w:val="000000"/>
          <w:lang w:val="tr-NL"/>
        </w:rPr>
      </w:pPr>
      <w:r w:rsidRPr="000B7997">
        <w:rPr>
          <w:rFonts w:ascii="Palatino Linotype" w:hAnsi="Palatino Linotype"/>
          <w:bCs/>
        </w:rPr>
        <w:t xml:space="preserve">Mütalaada bu husus çok net biçimde ortaya konulmuştur: ByLock ile diğer delil ve kriterler arasında hukuki nitelik ve ispat gücü bakımından bir fark yoktur; ağırlıklı delilin ByLock olması veya yan delillerle desteklenmesi, suçun unsurları yerine ikame edilen kriterlerle cezalandırma yapıldığı gerçeğini değiştirmez. </w:t>
      </w:r>
      <w:r w:rsidR="004647E0">
        <w:rPr>
          <w:rFonts w:ascii="Palatino Linotype" w:hAnsi="Palatino Linotype"/>
          <w:bCs/>
        </w:rPr>
        <w:t>Kişinin yapının iddia edilen</w:t>
      </w:r>
      <w:r w:rsidRPr="000B7997">
        <w:rPr>
          <w:rFonts w:ascii="Palatino Linotype" w:hAnsi="Palatino Linotype"/>
          <w:bCs/>
        </w:rPr>
        <w:t xml:space="preserve"> nihai cebir ve şiddet içeren amacını bildiği ve benimsediği bağımsız olgularla kanıtlanmadıkça, bu nitelikteki kriterlerin “kitlesel bir kümeleme mantığıyla ‘tamamlayıcı delil’ adı altında” cezalandırmaya gerekçe yapılması, AİHS m. 7’nin ihlaliyle malul olan toptancı yaklaşımın farklı bir kılıf altında yeniden üretilmesinden ibarettir (Mütalaa, s. 50).</w:t>
      </w:r>
    </w:p>
    <w:p w14:paraId="07E1578F" w14:textId="77777777" w:rsidR="000B7997" w:rsidRDefault="00722181" w:rsidP="000B7997">
      <w:pPr>
        <w:pStyle w:val="ListeParagraf"/>
        <w:numPr>
          <w:ilvl w:val="0"/>
          <w:numId w:val="19"/>
        </w:numPr>
        <w:spacing w:line="23" w:lineRule="atLeast"/>
        <w:jc w:val="both"/>
        <w:rPr>
          <w:rFonts w:ascii="Palatino Linotype" w:eastAsia="Times New Roman" w:hAnsi="Palatino Linotype" w:cs="Times New Roman"/>
          <w:color w:val="000000"/>
          <w:lang w:val="tr-NL"/>
        </w:rPr>
      </w:pPr>
      <w:r w:rsidRPr="00FC0B37">
        <w:rPr>
          <w:rFonts w:ascii="Palatino Linotype" w:eastAsia="Times New Roman" w:hAnsi="Palatino Linotype" w:cs="Times New Roman"/>
          <w:color w:val="000000"/>
          <w:lang w:val="tr-NL"/>
        </w:rPr>
        <w:t>Bu kapsamda, yeniden başlayacak yargılama sürecinde dikkat edilmesi gereken en önemli husus; tıpkı ByLock'ta olduğu gibi, diğer delil ve kriterlerin varlığının tespiti halinde de "otomatik cezalandırma" yoluna gidilmemesidir. Yargılamada yapılması gereken "kriter tespiti" veya "delil sayımı" değil, "suçun unsurlarının tespiti"dir. Bu nedenle, yeniden yargılama aşamasında dosyaya yeni bir veri girmesi durumunda dahi; şayet bu yeni veriler suçun unsurlarının (özellikle manevi unsurun) varlığını somut, şüpheye yer bırakmayacak ve kişiselleştirilmiş şekilde göstermiyorsa, bunlara cezalandırma için "yeni delil" değeri atfedilmemeli; cebir ve şiddet içeren eylemleri bilme ve isteme kastını ispatlamadığı sürece bu veriler üzerinden sanığın hukuki durumu aleyhine sonuç çıkarılmamalıdır.</w:t>
      </w:r>
    </w:p>
    <w:p w14:paraId="75C7E4ED" w14:textId="77777777" w:rsidR="000B7997" w:rsidRPr="000B7997" w:rsidRDefault="00722181" w:rsidP="000B7997">
      <w:pPr>
        <w:pStyle w:val="ListeParagraf"/>
        <w:numPr>
          <w:ilvl w:val="0"/>
          <w:numId w:val="19"/>
        </w:numPr>
        <w:spacing w:line="23" w:lineRule="atLeast"/>
        <w:jc w:val="both"/>
        <w:rPr>
          <w:rFonts w:ascii="Palatino Linotype" w:eastAsia="Times New Roman" w:hAnsi="Palatino Linotype" w:cs="Times New Roman"/>
          <w:bCs/>
          <w:color w:val="000000"/>
          <w:lang w:val="tr-NL"/>
        </w:rPr>
      </w:pPr>
      <w:r w:rsidRPr="000B7997">
        <w:rPr>
          <w:rFonts w:ascii="Palatino Linotype" w:hAnsi="Palatino Linotype"/>
          <w:bCs/>
        </w:rPr>
        <w:t>Mütalaada, bu tehlikenin uygulamada nasıl gerçekleştiği somut biçimde gösterilmiştir. Yüksel Yalçınkaya hakkında yürütülen yenileme sürecinde tanık beyanı alınması, ByLock Tespit ve Değerlendirme Raporu üzerinden değerlendirme yapılması, D-Smart, Digitürk ve TTNET üyeliklerinin araştırılması ve örgütlü suçlar bilgi bankasından araştırma yapılması gibi işlemlerin tamamının “yeni delil araştırması niteliğinde” olduğu; sürecin bu yolla ihlalin sonuçlarını giderme fonksiyonundan uzaklaştırılarak başvuran aleyhine yeni bir ispat faaliyetine dönüştürüldüğü tespit edilmiştir (Mütalaa, s. 20-21).</w:t>
      </w:r>
    </w:p>
    <w:p w14:paraId="492917A3" w14:textId="604297D6" w:rsidR="00722181" w:rsidRPr="000B7997" w:rsidRDefault="00722181" w:rsidP="000B7997">
      <w:pPr>
        <w:pStyle w:val="ListeParagraf"/>
        <w:numPr>
          <w:ilvl w:val="0"/>
          <w:numId w:val="19"/>
        </w:numPr>
        <w:spacing w:line="23" w:lineRule="atLeast"/>
        <w:jc w:val="both"/>
        <w:rPr>
          <w:rFonts w:ascii="Palatino Linotype" w:eastAsia="Times New Roman" w:hAnsi="Palatino Linotype" w:cs="Times New Roman"/>
          <w:bCs/>
          <w:color w:val="000000"/>
          <w:lang w:val="tr-NL"/>
        </w:rPr>
      </w:pPr>
      <w:r w:rsidRPr="000B7997">
        <w:rPr>
          <w:rFonts w:ascii="Palatino Linotype" w:hAnsi="Palatino Linotype"/>
          <w:bCs/>
        </w:rPr>
        <w:lastRenderedPageBreak/>
        <w:t>Mütalaada ayrıca, yargılamanın yenilenmesine karar veren mahkemenin yalnızca şeklî bir inceleme ve gözden geçirme ile yetinerek veya ihlale konu kararın gerekçesini daha uzun ya da detaylı yazıp aynı hükmü kurmasının mümkün olmadığı; mahkemenin AİHM kararında gösterilen hukuki yorum hatalarını ve usulî güvence eksikliklerini somut biçimde giderdiğini kararında ortaya koyması gerektiği; aksi hâlde bunun ceza adalet sisteminin varlık gayesi olan “maddi gerçeğe ve adalete ulaşma” ilkesiyle bağdaşmayacağı belirtilmiştir (Mütalaa, s. 23 ve s. 68).</w:t>
      </w:r>
    </w:p>
    <w:p w14:paraId="59B8BE6E" w14:textId="77777777" w:rsidR="00722181" w:rsidRPr="00FC0B37" w:rsidRDefault="00722181" w:rsidP="000B7997">
      <w:pPr>
        <w:pStyle w:val="ListeParagraf"/>
        <w:numPr>
          <w:ilvl w:val="0"/>
          <w:numId w:val="19"/>
        </w:numPr>
        <w:spacing w:line="23" w:lineRule="atLeast"/>
        <w:jc w:val="both"/>
        <w:rPr>
          <w:rFonts w:ascii="Palatino Linotype" w:eastAsia="Times New Roman" w:hAnsi="Palatino Linotype" w:cs="Times New Roman"/>
          <w:color w:val="000000"/>
          <w:lang w:val="tr-NL"/>
        </w:rPr>
      </w:pPr>
      <w:r w:rsidRPr="00FC0B37">
        <w:rPr>
          <w:rFonts w:ascii="Palatino Linotype" w:eastAsia="Times New Roman" w:hAnsi="Palatino Linotype" w:cs="Times New Roman"/>
          <w:color w:val="000000"/>
          <w:lang w:val="tr-NL"/>
        </w:rPr>
        <w:t>Yalçınkaya ve devamı kararlar ile Yasak Büyük Daire kararları birbirinden bağımsız kararlar değil, yargı sistemimizdeki aynı yapısal sorunun birbirini tamamlayan iki farklı görünümüne ilişkindir ve birlikte uygulanmak zorundadır. Yalçınkaya kararı otomatik mahkûmiyet, öngörülebilirlik, kanunilik ve delillerin bireyselleştirilmeden kullanılmasının hukuka aykırılığını tespit etmişken; Yasak kararı sorunu daha da temele indirerek kişinin yapının şiddet içeren amaçlarını bilip bilmediğinin (manevi unsurun) mutlaka bireysel olarak ispat edilmesini şart koşmuştur. 15 Temmuz öncesi yasal veya rutin faaliyetlerin, sonradan geriye yürütülerek örgüt üyeliği suçunun deliline dönüştürülmesi ve kişinin terör kastı ispatlanmadan cezalandırma yoluna gidilmesi hukuka aykırıdır.</w:t>
      </w:r>
    </w:p>
    <w:p w14:paraId="1F6E5F40" w14:textId="77777777" w:rsidR="00722181" w:rsidRPr="00FC0B37" w:rsidRDefault="00722181" w:rsidP="000B7997">
      <w:pPr>
        <w:pStyle w:val="ListeParagraf"/>
        <w:numPr>
          <w:ilvl w:val="0"/>
          <w:numId w:val="19"/>
        </w:numPr>
        <w:spacing w:line="23" w:lineRule="atLeast"/>
        <w:jc w:val="both"/>
        <w:rPr>
          <w:rFonts w:ascii="Palatino Linotype" w:eastAsia="Times New Roman" w:hAnsi="Palatino Linotype" w:cs="Times New Roman"/>
          <w:color w:val="000000"/>
          <w:lang w:val="tr-NL"/>
        </w:rPr>
      </w:pPr>
      <w:r w:rsidRPr="00FC0B37">
        <w:rPr>
          <w:rFonts w:ascii="Palatino Linotype" w:eastAsia="Times New Roman" w:hAnsi="Palatino Linotype" w:cs="Times New Roman"/>
          <w:color w:val="000000"/>
          <w:lang w:val="tr-NL"/>
        </w:rPr>
        <w:t>Tüm bu hukuki ve fiili gerçekler muvacehesinde; müvekkilin dava dosyasına yansıyan, esasen devletin izni ve bilgisi dahilinde gerçekleşen rutin, sosyal, yasal ve sivil nitelikteki eylemlerinden hareketle TCK md. 314/2 anlamında "silahlı terör örgütüne üye olma" kastı çıkarılamaz. Failin fiili işlediği sıradaki kastı, sonradan yaşanan olaylara ve yapının sonradan kazandığı statüsüne bakılarak geriye dönük olarak var sayılamaz. Müvekkilin hiçbir şiddet eylemine karışmadığı, söz konusu stratejik veya merkezi yapısıyla hiçbir hiyerarşik bağının bulunmadığı ve suç işleme kastıyla hareket etmediği açık olduğundan, Sayın Mahkemenizce varsayımlara ve kolektif suçluluk algısına dayalı bir cezalandırma yoluna gidilmemesi hukukun ve hakkaniyetin gereğidir.</w:t>
      </w:r>
    </w:p>
    <w:p w14:paraId="046879BF" w14:textId="77777777" w:rsidR="000B7997" w:rsidRDefault="00722181" w:rsidP="000B7997">
      <w:pPr>
        <w:pStyle w:val="ListeParagraf"/>
        <w:numPr>
          <w:ilvl w:val="0"/>
          <w:numId w:val="19"/>
        </w:numPr>
        <w:spacing w:line="23" w:lineRule="atLeast"/>
        <w:jc w:val="both"/>
        <w:rPr>
          <w:rFonts w:ascii="Palatino Linotype" w:eastAsia="Times New Roman" w:hAnsi="Palatino Linotype" w:cs="Times New Roman"/>
          <w:color w:val="000000"/>
          <w:lang w:val="tr-NL"/>
        </w:rPr>
      </w:pPr>
      <w:r w:rsidRPr="00FC0B37">
        <w:rPr>
          <w:rFonts w:ascii="Palatino Linotype" w:eastAsia="Times New Roman" w:hAnsi="Palatino Linotype" w:cs="Times New Roman"/>
          <w:color w:val="000000"/>
          <w:lang w:val="tr-NL"/>
        </w:rPr>
        <w:t>Özetle ve sonuç olarak; AİHM, 7. maddenin hukukun üstünlüğünün temeli olduğunu vurgulamıştır (Yalçınkaya § 270). AİHM'in Yalçınkaya ve Yasak kararlarında ortaya koyduğu ilkeler ışığında, ByLock ile diğer delil ve kriterler arasında hukuki nitelik ve ispat gücü bakımından bir fark bulunmamaktadır ve bu unsurların hiçbiri tek başına "suç kastı" yerine geçemez. Bu nedenle, mahkemenizden talebimiz; öncelikle isnat edilen suçun maddi ve manevi unsurlarının şahsım/eşim/müvekkil bakımından nasıl gerçekleştiğini, varsayım ve ön kabullere değil, şüpheye yer bırakmayacak somut delillere dayanarak ortaya koymasıdır. Ancak bu ispat yapıldıktan sonra "kriter" denilen hususların suçun unsurlarının varlığına nasıl delil teşkil ettiğinin gerekçelendirilmesi mümkündür. Aksi takdirde, suçun unsurlarının oluşmadığı gözetilerek, kriterlerin varlığına bakılmaksızın beraat kararı verilmesini talep ediyoruz.</w:t>
      </w:r>
    </w:p>
    <w:p w14:paraId="4D8609ED" w14:textId="791BBC49" w:rsidR="000B7997" w:rsidRPr="000B7997" w:rsidRDefault="00722181" w:rsidP="000B7997">
      <w:pPr>
        <w:pStyle w:val="ListeParagraf"/>
        <w:numPr>
          <w:ilvl w:val="0"/>
          <w:numId w:val="19"/>
        </w:numPr>
        <w:spacing w:line="23" w:lineRule="atLeast"/>
        <w:jc w:val="both"/>
        <w:rPr>
          <w:rFonts w:ascii="Palatino Linotype" w:eastAsia="Times New Roman" w:hAnsi="Palatino Linotype" w:cs="Times New Roman"/>
          <w:bCs/>
          <w:color w:val="000000"/>
          <w:lang w:val="tr-NL"/>
        </w:rPr>
      </w:pPr>
      <w:r w:rsidRPr="000B7997">
        <w:rPr>
          <w:rFonts w:ascii="Palatino Linotype" w:hAnsi="Palatino Linotype"/>
          <w:bCs/>
        </w:rPr>
        <w:t>Mütalaanın vardığı sonuç da aynı yöndedir</w:t>
      </w:r>
      <w:r w:rsidR="004647E0">
        <w:rPr>
          <w:rFonts w:ascii="Palatino Linotype" w:hAnsi="Palatino Linotype"/>
          <w:bCs/>
        </w:rPr>
        <w:t>;</w:t>
      </w:r>
      <w:r w:rsidRPr="000B7997">
        <w:rPr>
          <w:rFonts w:ascii="Palatino Linotype" w:hAnsi="Palatino Linotype"/>
          <w:bCs/>
        </w:rPr>
        <w:t xml:space="preserve"> bu nitelikteki isnatların bulunduğu tüm vakalarda, konunun basit bir biçimsel usul olarak görülmeyip esastan incelenmesi ve beraat kararı verilmesi gerekmektedir. Zira anılan delillerin manipülasyona açık niteliği ve seçici/tutarsız uygulaması, bu delillerden türetilecek çıkarımları da kuşkulu hâle getirmekte olup, şüpheden sanık yararlanır (in dubio pro reo) ilkesi gereğince bu dava kümelerindeki mahkûmiyetler açısından “beraat” kararı kaçınılmaz görünmektedir. Tali ve destekleyici delillere bile yer verilmiş bir dosyada, sonradan bu sayılanların dışında yeni bir belirleyici delil türetmek olası, tutarlı ve mantıklı görünmemektedir (Mütalaa, s. 62).</w:t>
      </w:r>
    </w:p>
    <w:p w14:paraId="6F4AF14D" w14:textId="20A74EC8" w:rsidR="00DF3D5D" w:rsidRPr="000B7997" w:rsidRDefault="00722181" w:rsidP="000B7997">
      <w:pPr>
        <w:pStyle w:val="ListeParagraf"/>
        <w:numPr>
          <w:ilvl w:val="0"/>
          <w:numId w:val="19"/>
        </w:numPr>
        <w:spacing w:line="23" w:lineRule="atLeast"/>
        <w:jc w:val="both"/>
        <w:rPr>
          <w:rFonts w:ascii="Palatino Linotype" w:eastAsia="Times New Roman" w:hAnsi="Palatino Linotype" w:cs="Times New Roman"/>
          <w:bCs/>
          <w:color w:val="000000"/>
          <w:lang w:val="tr-NL"/>
        </w:rPr>
      </w:pPr>
      <w:r w:rsidRPr="000B7997">
        <w:rPr>
          <w:rFonts w:ascii="Palatino Linotype" w:hAnsi="Palatino Linotype"/>
          <w:bCs/>
        </w:rPr>
        <w:t>Mütalaada, yeniden açılan yargılamada sayılan hususlardaki bilme ve isteme iradesi ortaya konulamamışsa, ihlalin ve sonuçlarının ortadan kaldırılması için sanığın beraati yönünde karar verilmesi gerektiği açıkça ifade edilmiştir (Mütalaa, s. 15-16).</w:t>
      </w:r>
    </w:p>
    <w:p w14:paraId="44B0B9EA" w14:textId="59418B51" w:rsidR="000D5D69" w:rsidRDefault="00000000" w:rsidP="000B7997">
      <w:pPr>
        <w:tabs>
          <w:tab w:val="left" w:pos="851"/>
        </w:tabs>
        <w:spacing w:line="23" w:lineRule="atLeast"/>
        <w:ind w:left="360"/>
        <w:jc w:val="both"/>
        <w:rPr>
          <w:rFonts w:ascii="Palatino Linotype" w:eastAsia="Palatino Linotype" w:hAnsi="Palatino Linotype" w:cs="Palatino Linotype"/>
          <w:lang w:val="tr-TR"/>
        </w:rPr>
      </w:pPr>
      <w:r w:rsidRPr="000D5D69">
        <w:rPr>
          <w:rFonts w:ascii="Palatino Linotype" w:eastAsia="Palatino Linotype" w:hAnsi="Palatino Linotype" w:cs="Palatino Linotype"/>
          <w:b/>
        </w:rPr>
        <w:lastRenderedPageBreak/>
        <w:t>VI. NETİCE</w:t>
      </w:r>
      <w:r w:rsidR="000E4667">
        <w:rPr>
          <w:rFonts w:ascii="Palatino Linotype" w:eastAsia="Palatino Linotype" w:hAnsi="Palatino Linotype" w:cs="Palatino Linotype"/>
          <w:b/>
        </w:rPr>
        <w:t xml:space="preserve"> VE</w:t>
      </w:r>
      <w:r w:rsidRPr="000D5D69">
        <w:rPr>
          <w:rFonts w:ascii="Palatino Linotype" w:eastAsia="Palatino Linotype" w:hAnsi="Palatino Linotype" w:cs="Palatino Linotype"/>
          <w:b/>
        </w:rPr>
        <w:t xml:space="preserve"> TALEP</w:t>
      </w:r>
    </w:p>
    <w:p w14:paraId="6C410F30" w14:textId="3F425D90" w:rsidR="000D5D69" w:rsidRDefault="00000000" w:rsidP="000B7997">
      <w:pPr>
        <w:numPr>
          <w:ilvl w:val="0"/>
          <w:numId w:val="19"/>
        </w:numPr>
        <w:tabs>
          <w:tab w:val="left" w:pos="851"/>
        </w:tabs>
        <w:spacing w:line="23" w:lineRule="atLeast"/>
        <w:jc w:val="both"/>
        <w:rPr>
          <w:rFonts w:ascii="Palatino Linotype" w:eastAsia="Palatino Linotype" w:hAnsi="Palatino Linotype" w:cs="Palatino Linotype"/>
          <w:lang w:val="tr-TR"/>
        </w:rPr>
      </w:pPr>
      <w:r w:rsidRPr="000D5D69">
        <w:rPr>
          <w:rFonts w:ascii="Palatino Linotype" w:eastAsia="Palatino Linotype" w:hAnsi="Palatino Linotype" w:cs="Palatino Linotype"/>
        </w:rPr>
        <w:t xml:space="preserve">AİHM’in </w:t>
      </w:r>
      <w:r w:rsidR="00BE5008" w:rsidRPr="00D669DC">
        <w:rPr>
          <w:rFonts w:ascii="Palatino Linotype" w:eastAsia="Palatino Linotype" w:hAnsi="Palatino Linotype" w:cs="Palatino Linotype"/>
          <w:b/>
          <w:bCs/>
        </w:rPr>
        <w:t>Seyhan</w:t>
      </w:r>
      <w:r w:rsidRPr="00D669DC">
        <w:rPr>
          <w:rFonts w:ascii="Palatino Linotype" w:eastAsia="Palatino Linotype" w:hAnsi="Palatino Linotype" w:cs="Palatino Linotype"/>
          <w:b/>
          <w:bCs/>
        </w:rPr>
        <w:t xml:space="preserve"> ve diğerleri</w:t>
      </w:r>
      <w:r w:rsidRPr="000D5D69">
        <w:rPr>
          <w:rFonts w:ascii="Palatino Linotype" w:eastAsia="Palatino Linotype" w:hAnsi="Palatino Linotype" w:cs="Palatino Linotype"/>
        </w:rPr>
        <w:t xml:space="preserve"> kararında </w:t>
      </w:r>
      <w:r w:rsidRPr="000D5D69">
        <w:rPr>
          <w:rFonts w:ascii="Palatino Linotype" w:eastAsia="Palatino Linotype" w:hAnsi="Palatino Linotype" w:cs="Palatino Linotype"/>
          <w:highlight w:val="yellow"/>
        </w:rPr>
        <w:t>şahsımla/eşimle/müvekkiller</w:t>
      </w:r>
      <w:r w:rsidRPr="000D5D69">
        <w:rPr>
          <w:rFonts w:ascii="Palatino Linotype" w:eastAsia="Palatino Linotype" w:hAnsi="Palatino Linotype" w:cs="Palatino Linotype"/>
        </w:rPr>
        <w:t xml:space="preserve"> ilgili AİHS’in 7. madde</w:t>
      </w:r>
      <w:r w:rsidR="00244534">
        <w:rPr>
          <w:rFonts w:ascii="Palatino Linotype" w:eastAsia="Palatino Linotype" w:hAnsi="Palatino Linotype" w:cs="Palatino Linotype"/>
        </w:rPr>
        <w:t>si</w:t>
      </w:r>
      <w:r w:rsidRPr="000D5D69">
        <w:rPr>
          <w:rFonts w:ascii="Palatino Linotype" w:eastAsia="Palatino Linotype" w:hAnsi="Palatino Linotype" w:cs="Palatino Linotype"/>
        </w:rPr>
        <w:t xml:space="preserve"> kapsamında verdiği ihlal kararı ve CMK’nın 311/1-f maddesi gereğince yapılan işbu </w:t>
      </w:r>
      <w:r w:rsidRPr="000D5D69">
        <w:rPr>
          <w:rFonts w:ascii="Palatino Linotype" w:eastAsia="Palatino Linotype" w:hAnsi="Palatino Linotype" w:cs="Palatino Linotype"/>
          <w:b/>
        </w:rPr>
        <w:t>yeniden yargılanma talebinin kabulüne,</w:t>
      </w:r>
    </w:p>
    <w:p w14:paraId="20D174BA" w14:textId="04B389BD" w:rsidR="000D5D69" w:rsidRDefault="00000000" w:rsidP="000B7997">
      <w:pPr>
        <w:numPr>
          <w:ilvl w:val="0"/>
          <w:numId w:val="19"/>
        </w:numPr>
        <w:tabs>
          <w:tab w:val="left" w:pos="851"/>
        </w:tabs>
        <w:spacing w:line="23" w:lineRule="atLeast"/>
        <w:jc w:val="both"/>
        <w:rPr>
          <w:rFonts w:ascii="Palatino Linotype" w:eastAsia="Palatino Linotype" w:hAnsi="Palatino Linotype" w:cs="Palatino Linotype"/>
          <w:lang w:val="tr-TR"/>
        </w:rPr>
      </w:pPr>
      <w:r w:rsidRPr="000D5D69">
        <w:rPr>
          <w:rFonts w:ascii="Palatino Linotype" w:eastAsia="Palatino Linotype" w:hAnsi="Palatino Linotype" w:cs="Palatino Linotype"/>
        </w:rPr>
        <w:t xml:space="preserve">Yalçınkaya ve </w:t>
      </w:r>
      <w:r w:rsidR="00BE5008" w:rsidRPr="00D669DC">
        <w:rPr>
          <w:rFonts w:ascii="Palatino Linotype" w:eastAsia="Palatino Linotype" w:hAnsi="Palatino Linotype" w:cs="Palatino Linotype"/>
          <w:b/>
          <w:bCs/>
        </w:rPr>
        <w:t>Seyhan</w:t>
      </w:r>
      <w:r w:rsidR="003060B6" w:rsidRPr="00D669DC">
        <w:rPr>
          <w:rFonts w:ascii="Palatino Linotype" w:eastAsia="Palatino Linotype" w:hAnsi="Palatino Linotype" w:cs="Palatino Linotype"/>
          <w:b/>
          <w:bCs/>
        </w:rPr>
        <w:t xml:space="preserve"> v</w:t>
      </w:r>
      <w:r w:rsidRPr="00D669DC">
        <w:rPr>
          <w:rFonts w:ascii="Palatino Linotype" w:eastAsia="Palatino Linotype" w:hAnsi="Palatino Linotype" w:cs="Palatino Linotype"/>
          <w:b/>
          <w:bCs/>
        </w:rPr>
        <w:t>e diğerleri</w:t>
      </w:r>
      <w:r w:rsidRPr="000D5D69">
        <w:rPr>
          <w:rFonts w:ascii="Palatino Linotype" w:eastAsia="Palatino Linotype" w:hAnsi="Palatino Linotype" w:cs="Palatino Linotype"/>
        </w:rPr>
        <w:t xml:space="preserve"> kararlarında AİH</w:t>
      </w:r>
      <w:r w:rsidR="00D669DC">
        <w:rPr>
          <w:rFonts w:ascii="Palatino Linotype" w:eastAsia="Palatino Linotype" w:hAnsi="Palatino Linotype" w:cs="Palatino Linotype"/>
        </w:rPr>
        <w:t>M</w:t>
      </w:r>
      <w:r w:rsidRPr="000D5D69">
        <w:rPr>
          <w:rFonts w:ascii="Palatino Linotype" w:eastAsia="Palatino Linotype" w:hAnsi="Palatino Linotype" w:cs="Palatino Linotype"/>
        </w:rPr>
        <w:t xml:space="preserve">’in verdiği ihlal kararının giderilmesi adına mahkemenizden talepte </w:t>
      </w:r>
      <w:r w:rsidRPr="000D5D69">
        <w:rPr>
          <w:rFonts w:ascii="Palatino Linotype" w:eastAsia="Palatino Linotype" w:hAnsi="Palatino Linotype" w:cs="Palatino Linotype"/>
          <w:highlight w:val="yellow"/>
        </w:rPr>
        <w:t>bulunduğum/bulunduğumuz</w:t>
      </w:r>
      <w:r w:rsidRPr="000D5D69">
        <w:rPr>
          <w:rFonts w:ascii="Palatino Linotype" w:eastAsia="Palatino Linotype" w:hAnsi="Palatino Linotype" w:cs="Palatino Linotype"/>
        </w:rPr>
        <w:t xml:space="preserve"> hususlar ile bu kapsamda heyetinizin uygun göreceği hususların araştırılmasına,</w:t>
      </w:r>
    </w:p>
    <w:p w14:paraId="218CFAF3" w14:textId="4C1C5767" w:rsidR="00DF3D5D" w:rsidRPr="003C7853" w:rsidRDefault="00000000" w:rsidP="000B7997">
      <w:pPr>
        <w:numPr>
          <w:ilvl w:val="0"/>
          <w:numId w:val="19"/>
        </w:numPr>
        <w:tabs>
          <w:tab w:val="left" w:pos="851"/>
        </w:tabs>
        <w:spacing w:line="23" w:lineRule="atLeast"/>
        <w:jc w:val="both"/>
        <w:rPr>
          <w:rFonts w:ascii="Palatino Linotype" w:eastAsia="Palatino Linotype" w:hAnsi="Palatino Linotype" w:cs="Palatino Linotype"/>
          <w:color w:val="EE0000"/>
          <w:lang w:val="tr-TR"/>
        </w:rPr>
      </w:pPr>
      <w:r w:rsidRPr="00DF3D5D">
        <w:rPr>
          <w:rFonts w:ascii="Palatino Linotype" w:eastAsia="Palatino Linotype" w:hAnsi="Palatino Linotype" w:cs="Palatino Linotype"/>
        </w:rPr>
        <w:t>Yapılan araştırma neticesinde, ü</w:t>
      </w:r>
      <w:r w:rsidRPr="00DF3D5D">
        <w:rPr>
          <w:rFonts w:ascii="Palatino Linotype" w:eastAsia="Palatino Linotype" w:hAnsi="Palatino Linotype" w:cs="Palatino Linotype"/>
          <w:highlight w:val="yellow"/>
        </w:rPr>
        <w:t>zerime/Eşimin üzerine/müvekkilin üzerine</w:t>
      </w:r>
      <w:r w:rsidRPr="00DF3D5D">
        <w:rPr>
          <w:rFonts w:ascii="Palatino Linotype" w:eastAsia="Palatino Linotype" w:hAnsi="Palatino Linotype" w:cs="Palatino Linotype"/>
        </w:rPr>
        <w:t xml:space="preserve"> atılı suçun unsurlarının oluşmadığı ve atılı bu suçu </w:t>
      </w:r>
      <w:r w:rsidRPr="00DF3D5D">
        <w:rPr>
          <w:rFonts w:ascii="Palatino Linotype" w:eastAsia="Palatino Linotype" w:hAnsi="Palatino Linotype" w:cs="Palatino Linotype"/>
          <w:highlight w:val="yellow"/>
        </w:rPr>
        <w:t>işlediği/işlediğim</w:t>
      </w:r>
      <w:r w:rsidRPr="00DF3D5D">
        <w:rPr>
          <w:rFonts w:ascii="Palatino Linotype" w:eastAsia="Palatino Linotype" w:hAnsi="Palatino Linotype" w:cs="Palatino Linotype"/>
        </w:rPr>
        <w:t xml:space="preserve"> hususunda cezalandırmaya yeter her türlü şüpheden uzak, kesin ve inandırıcı delil bulunmadığının tespitiyle </w:t>
      </w:r>
      <w:r w:rsidRPr="00DF3D5D">
        <w:rPr>
          <w:rFonts w:ascii="Palatino Linotype" w:eastAsia="Palatino Linotype" w:hAnsi="Palatino Linotype" w:cs="Palatino Linotype"/>
          <w:color w:val="010000"/>
          <w:highlight w:val="white"/>
        </w:rPr>
        <w:t xml:space="preserve">Anayasa’nın 36, 38, 90, 138,; AİHS’in 6, 7, 46 ve CMK’nın 223/2-a  maddesinde ifadesini bulan </w:t>
      </w:r>
      <w:r w:rsidRPr="00DF3D5D">
        <w:rPr>
          <w:rFonts w:ascii="Palatino Linotype" w:eastAsia="Palatino Linotype" w:hAnsi="Palatino Linotype" w:cs="Palatino Linotype"/>
          <w:b/>
          <w:i/>
          <w:color w:val="010000"/>
          <w:highlight w:val="white"/>
        </w:rPr>
        <w:t>“yüklenen fiilin kanunda suç olarak tanımlanmamış olması”</w:t>
      </w:r>
      <w:r w:rsidRPr="00DF3D5D">
        <w:rPr>
          <w:rFonts w:ascii="Palatino Linotype" w:eastAsia="Palatino Linotype" w:hAnsi="Palatino Linotype" w:cs="Palatino Linotype"/>
          <w:color w:val="010000"/>
          <w:highlight w:val="white"/>
        </w:rPr>
        <w:t xml:space="preserve"> gerekçesiyle </w:t>
      </w:r>
      <w:r w:rsidRPr="00DF3D5D">
        <w:rPr>
          <w:rFonts w:ascii="Palatino Linotype" w:eastAsia="Palatino Linotype" w:hAnsi="Palatino Linotype" w:cs="Palatino Linotype"/>
          <w:color w:val="010000"/>
          <w:highlight w:val="yellow"/>
        </w:rPr>
        <w:t>hakkımda/eşim hakkında/müvekkil hakkında</w:t>
      </w:r>
      <w:r w:rsidRPr="00DF3D5D">
        <w:rPr>
          <w:rFonts w:ascii="Palatino Linotype" w:eastAsia="Palatino Linotype" w:hAnsi="Palatino Linotype" w:cs="Palatino Linotype"/>
          <w:color w:val="010000"/>
          <w:highlight w:val="white"/>
        </w:rPr>
        <w:t xml:space="preserve"> </w:t>
      </w:r>
      <w:r w:rsidRPr="00DF3D5D">
        <w:rPr>
          <w:rFonts w:ascii="Palatino Linotype" w:eastAsia="Palatino Linotype" w:hAnsi="Palatino Linotype" w:cs="Palatino Linotype"/>
          <w:b/>
          <w:color w:val="010000"/>
          <w:highlight w:val="yellow"/>
        </w:rPr>
        <w:t xml:space="preserve">BERAAT </w:t>
      </w:r>
      <w:r w:rsidRPr="00DF3D5D">
        <w:rPr>
          <w:rFonts w:ascii="Palatino Linotype" w:eastAsia="Palatino Linotype" w:hAnsi="Palatino Linotype" w:cs="Palatino Linotype"/>
          <w:color w:val="010000"/>
          <w:highlight w:val="yellow"/>
        </w:rPr>
        <w:t xml:space="preserve">ve </w:t>
      </w:r>
      <w:r w:rsidR="00982F16" w:rsidRPr="00DF3D5D">
        <w:rPr>
          <w:rFonts w:ascii="Palatino Linotype" w:eastAsia="Palatino Linotype" w:hAnsi="Palatino Linotype" w:cs="Palatino Linotype"/>
          <w:color w:val="010000"/>
          <w:highlight w:val="yellow"/>
        </w:rPr>
        <w:t xml:space="preserve">öncelikle infazın DURDURULMASINA ve sonrasında </w:t>
      </w:r>
      <w:r w:rsidRPr="00DF3D5D">
        <w:rPr>
          <w:rFonts w:ascii="Palatino Linotype" w:eastAsia="Palatino Linotype" w:hAnsi="Palatino Linotype" w:cs="Palatino Linotype"/>
          <w:b/>
          <w:color w:val="000000" w:themeColor="text1"/>
          <w:highlight w:val="yellow"/>
        </w:rPr>
        <w:t>TAHLİYESİNE</w:t>
      </w:r>
      <w:r w:rsidRPr="00DF3D5D">
        <w:rPr>
          <w:rFonts w:ascii="Palatino Linotype" w:eastAsia="Palatino Linotype" w:hAnsi="Palatino Linotype" w:cs="Palatino Linotype"/>
          <w:color w:val="000000" w:themeColor="text1"/>
          <w:highlight w:val="yellow"/>
        </w:rPr>
        <w:t xml:space="preserve"> (sanık tutu</w:t>
      </w:r>
      <w:r w:rsidR="00982F16" w:rsidRPr="00DF3D5D">
        <w:rPr>
          <w:rFonts w:ascii="Palatino Linotype" w:eastAsia="Palatino Linotype" w:hAnsi="Palatino Linotype" w:cs="Palatino Linotype"/>
          <w:color w:val="000000" w:themeColor="text1"/>
          <w:highlight w:val="yellow"/>
        </w:rPr>
        <w:t>k</w:t>
      </w:r>
      <w:r w:rsidRPr="00DF3D5D">
        <w:rPr>
          <w:rFonts w:ascii="Palatino Linotype" w:eastAsia="Palatino Linotype" w:hAnsi="Palatino Linotype" w:cs="Palatino Linotype"/>
          <w:color w:val="000000" w:themeColor="text1"/>
          <w:highlight w:val="yellow"/>
        </w:rPr>
        <w:t>luysa)</w:t>
      </w:r>
      <w:r w:rsidRPr="00DF3D5D">
        <w:rPr>
          <w:rFonts w:ascii="Palatino Linotype" w:eastAsia="Palatino Linotype" w:hAnsi="Palatino Linotype" w:cs="Palatino Linotype"/>
          <w:color w:val="000000" w:themeColor="text1"/>
          <w:highlight w:val="white"/>
        </w:rPr>
        <w:t xml:space="preserve"> </w:t>
      </w:r>
      <w:bookmarkStart w:id="1" w:name="_Hlk219537403"/>
      <w:bookmarkStart w:id="2" w:name="_Hlk219537955"/>
      <w:r w:rsidR="00DF3D5D" w:rsidRPr="00DF3D5D">
        <w:rPr>
          <w:rFonts w:ascii="Palatino Linotype" w:eastAsia="Palatino Linotype" w:hAnsi="Palatino Linotype" w:cs="Palatino Linotype"/>
          <w:color w:val="000000" w:themeColor="text1"/>
        </w:rPr>
        <w:t>A</w:t>
      </w:r>
      <w:r w:rsidR="00DF3D5D" w:rsidRPr="00DF3D5D">
        <w:rPr>
          <w:rFonts w:ascii="Palatino Linotype" w:eastAsia="Palatino Linotype" w:hAnsi="Palatino Linotype" w:cs="Palatino Linotype"/>
          <w:color w:val="000000" w:themeColor="text1"/>
          <w:lang w:val="tr-TR"/>
        </w:rPr>
        <w:t>dli Sicil Yönetmeli</w:t>
      </w:r>
      <w:r w:rsidR="005B7BEB">
        <w:rPr>
          <w:rFonts w:ascii="Palatino Linotype" w:eastAsia="Palatino Linotype" w:hAnsi="Palatino Linotype" w:cs="Palatino Linotype"/>
          <w:color w:val="000000" w:themeColor="text1"/>
          <w:lang w:val="tr-TR"/>
        </w:rPr>
        <w:t>ğ</w:t>
      </w:r>
      <w:r w:rsidR="00DF3D5D" w:rsidRPr="00DF3D5D">
        <w:rPr>
          <w:rFonts w:ascii="Palatino Linotype" w:eastAsia="Palatino Linotype" w:hAnsi="Palatino Linotype" w:cs="Palatino Linotype"/>
          <w:color w:val="000000" w:themeColor="text1"/>
          <w:lang w:val="tr-TR"/>
        </w:rPr>
        <w:t>inin 3. ve 13/3. maddesi gere</w:t>
      </w:r>
      <w:r w:rsidR="005B7BEB">
        <w:rPr>
          <w:rFonts w:ascii="Palatino Linotype" w:eastAsia="Palatino Linotype" w:hAnsi="Palatino Linotype" w:cs="Palatino Linotype"/>
          <w:color w:val="000000" w:themeColor="text1"/>
          <w:lang w:val="tr-TR"/>
        </w:rPr>
        <w:t>ğ</w:t>
      </w:r>
      <w:r w:rsidR="00DF3D5D" w:rsidRPr="00DF3D5D">
        <w:rPr>
          <w:rFonts w:ascii="Palatino Linotype" w:eastAsia="Palatino Linotype" w:hAnsi="Palatino Linotype" w:cs="Palatino Linotype"/>
          <w:color w:val="000000" w:themeColor="text1"/>
          <w:lang w:val="tr-TR"/>
        </w:rPr>
        <w:t xml:space="preserve">ince tali karar fişi </w:t>
      </w:r>
      <w:r w:rsidR="00DF3D5D" w:rsidRPr="00DF3D5D">
        <w:rPr>
          <w:rFonts w:ascii="Palatino Linotype" w:eastAsia="Palatino Linotype" w:hAnsi="Palatino Linotype" w:cs="Palatino Linotype"/>
          <w:b/>
          <w:bCs/>
          <w:color w:val="000000" w:themeColor="text1"/>
          <w:lang w:val="tr-TR"/>
        </w:rPr>
        <w:t>DÜZENLENMESİNE,</w:t>
      </w:r>
      <w:r w:rsidR="00DF3D5D" w:rsidRPr="00DF3D5D">
        <w:rPr>
          <w:rFonts w:ascii="Palatino Linotype" w:eastAsia="Palatino Linotype" w:hAnsi="Palatino Linotype" w:cs="Palatino Linotype"/>
          <w:color w:val="000000" w:themeColor="text1"/>
          <w:lang w:val="tr-TR"/>
        </w:rPr>
        <w:t xml:space="preserve"> </w:t>
      </w:r>
      <w:r w:rsidR="00DF3D5D" w:rsidRPr="00DF3D5D">
        <w:rPr>
          <w:rFonts w:ascii="Palatino Linotype" w:eastAsia="Palatino Linotype" w:hAnsi="Palatino Linotype" w:cs="Palatino Linotype"/>
          <w:color w:val="000000" w:themeColor="text1"/>
        </w:rPr>
        <w:t xml:space="preserve">AİHM karar gereği yargılamanın yenilenmesi sonucunda verilecek beraat kararının kesinleşmesi ile birlikte önceki mahkûmiyet kararına ilişkin adlî sicil ve arşiv kaydının tamamen </w:t>
      </w:r>
      <w:r w:rsidR="00DF3D5D" w:rsidRPr="00DF3D5D">
        <w:rPr>
          <w:rFonts w:ascii="Palatino Linotype" w:eastAsia="Palatino Linotype" w:hAnsi="Palatino Linotype" w:cs="Palatino Linotype"/>
          <w:color w:val="000000" w:themeColor="text1"/>
          <w:lang w:val="tr-TR"/>
        </w:rPr>
        <w:t>silinmesi amacıyla ek kararın ve düzenlenen tali karar fişinin adli sicil kaydına işlenmek üzere Adli Sicil istatistik Müdürlü</w:t>
      </w:r>
      <w:r w:rsidR="005B7BEB">
        <w:rPr>
          <w:rFonts w:ascii="Palatino Linotype" w:eastAsia="Palatino Linotype" w:hAnsi="Palatino Linotype" w:cs="Palatino Linotype"/>
          <w:color w:val="000000" w:themeColor="text1"/>
          <w:lang w:val="tr-TR"/>
        </w:rPr>
        <w:t>ğ</w:t>
      </w:r>
      <w:r w:rsidR="00DF3D5D" w:rsidRPr="00DF3D5D">
        <w:rPr>
          <w:rFonts w:ascii="Palatino Linotype" w:eastAsia="Palatino Linotype" w:hAnsi="Palatino Linotype" w:cs="Palatino Linotype"/>
          <w:color w:val="000000" w:themeColor="text1"/>
          <w:lang w:val="tr-TR"/>
        </w:rPr>
        <w:t xml:space="preserve">üne </w:t>
      </w:r>
      <w:r w:rsidR="00DF3D5D" w:rsidRPr="00DF3D5D">
        <w:rPr>
          <w:rFonts w:ascii="Palatino Linotype" w:eastAsia="Palatino Linotype" w:hAnsi="Palatino Linotype" w:cs="Palatino Linotype"/>
          <w:b/>
          <w:bCs/>
          <w:color w:val="000000" w:themeColor="text1"/>
          <w:lang w:val="tr-TR"/>
        </w:rPr>
        <w:t>GÖNDERİLMESİNE,</w:t>
      </w:r>
      <w:r w:rsidR="00DF3D5D" w:rsidRPr="00DF3D5D">
        <w:rPr>
          <w:rFonts w:ascii="Palatino Linotype" w:eastAsia="Palatino Linotype" w:hAnsi="Palatino Linotype" w:cs="Palatino Linotype"/>
          <w:color w:val="000000" w:themeColor="text1"/>
          <w:lang w:val="tr-TR"/>
        </w:rPr>
        <w:t xml:space="preserve">                                                                       infaz evraklar</w:t>
      </w:r>
      <w:r w:rsidR="005B7BEB">
        <w:rPr>
          <w:rFonts w:ascii="Palatino Linotype" w:eastAsia="Palatino Linotype" w:hAnsi="Palatino Linotype" w:cs="Palatino Linotype"/>
          <w:color w:val="000000" w:themeColor="text1"/>
          <w:lang w:val="tr-TR"/>
        </w:rPr>
        <w:t>ı</w:t>
      </w:r>
      <w:r w:rsidR="00DF3D5D" w:rsidRPr="00DF3D5D">
        <w:rPr>
          <w:rFonts w:ascii="Palatino Linotype" w:eastAsia="Palatino Linotype" w:hAnsi="Palatino Linotype" w:cs="Palatino Linotype"/>
          <w:color w:val="000000" w:themeColor="text1"/>
          <w:lang w:val="tr-TR"/>
        </w:rPr>
        <w:t>n</w:t>
      </w:r>
      <w:r w:rsidR="00DF3D5D" w:rsidRPr="00DF3D5D">
        <w:rPr>
          <w:rFonts w:ascii="Palatino Linotype" w:eastAsia="Palatino Linotype" w:hAnsi="Palatino Linotype" w:cs="Palatino Linotype"/>
          <w:color w:val="000000" w:themeColor="text1"/>
        </w:rPr>
        <w:t>ın</w:t>
      </w:r>
      <w:r w:rsidR="00DF3D5D" w:rsidRPr="00DF3D5D">
        <w:rPr>
          <w:rFonts w:ascii="Palatino Linotype" w:eastAsia="Palatino Linotype" w:hAnsi="Palatino Linotype" w:cs="Palatino Linotype"/>
          <w:color w:val="000000" w:themeColor="text1"/>
          <w:lang w:val="tr-TR"/>
        </w:rPr>
        <w:t xml:space="preserve"> işlemsiz olarak mahkemenize gönderilmesi için Cumhuriyet Başsavcılığına </w:t>
      </w:r>
      <w:r w:rsidR="00DF3D5D" w:rsidRPr="00DF3D5D">
        <w:rPr>
          <w:rFonts w:ascii="Palatino Linotype" w:eastAsia="Palatino Linotype" w:hAnsi="Palatino Linotype" w:cs="Palatino Linotype"/>
          <w:b/>
          <w:bCs/>
          <w:color w:val="000000" w:themeColor="text1"/>
          <w:lang w:val="tr-TR"/>
        </w:rPr>
        <w:t>MÜZEKKERE YAZILMASINA,</w:t>
      </w:r>
    </w:p>
    <w:bookmarkEnd w:id="1"/>
    <w:p w14:paraId="3883F12D" w14:textId="30C55DA7" w:rsidR="00DF3D5D" w:rsidRPr="000D5D69" w:rsidRDefault="00DF3D5D" w:rsidP="000B7997">
      <w:pPr>
        <w:tabs>
          <w:tab w:val="left" w:pos="851"/>
        </w:tabs>
        <w:spacing w:line="23" w:lineRule="atLeast"/>
        <w:ind w:left="720"/>
        <w:jc w:val="both"/>
        <w:rPr>
          <w:rFonts w:ascii="Palatino Linotype" w:eastAsia="Palatino Linotype" w:hAnsi="Palatino Linotype" w:cs="Palatino Linotype"/>
          <w:lang w:val="tr-TR"/>
        </w:rPr>
      </w:pPr>
      <w:r>
        <w:rPr>
          <w:rFonts w:ascii="Palatino Linotype" w:eastAsia="Palatino Linotype" w:hAnsi="Palatino Linotype" w:cs="Palatino Linotype"/>
          <w:color w:val="010000"/>
          <w:highlight w:val="white"/>
        </w:rPr>
        <w:t>K</w:t>
      </w:r>
      <w:r w:rsidRPr="000D5D69">
        <w:rPr>
          <w:rFonts w:ascii="Palatino Linotype" w:eastAsia="Palatino Linotype" w:hAnsi="Palatino Linotype" w:cs="Palatino Linotype"/>
          <w:color w:val="010000"/>
          <w:highlight w:val="white"/>
        </w:rPr>
        <w:t>arar verilmesini,</w:t>
      </w:r>
    </w:p>
    <w:bookmarkEnd w:id="2"/>
    <w:p w14:paraId="000000C1" w14:textId="38C82E54" w:rsidR="009E0554" w:rsidRPr="00DF3D5D" w:rsidRDefault="00000000" w:rsidP="000B7997">
      <w:pPr>
        <w:pBdr>
          <w:top w:val="nil"/>
          <w:left w:val="nil"/>
          <w:bottom w:val="nil"/>
          <w:right w:val="nil"/>
          <w:between w:val="nil"/>
        </w:pBdr>
        <w:tabs>
          <w:tab w:val="left" w:pos="851"/>
        </w:tabs>
        <w:spacing w:line="23" w:lineRule="atLeast"/>
        <w:ind w:left="630" w:right="-378"/>
        <w:jc w:val="both"/>
        <w:rPr>
          <w:rFonts w:ascii="Palatino Linotype" w:eastAsia="Palatino Linotype" w:hAnsi="Palatino Linotype" w:cs="Palatino Linotype"/>
          <w:color w:val="010000"/>
          <w:highlight w:val="white"/>
        </w:rPr>
      </w:pPr>
      <w:r w:rsidRPr="00DF3D5D">
        <w:rPr>
          <w:rFonts w:ascii="Palatino Linotype" w:eastAsia="Palatino Linotype" w:hAnsi="Palatino Linotype" w:cs="Palatino Linotype"/>
          <w:color w:val="010000"/>
          <w:highlight w:val="white"/>
        </w:rPr>
        <w:t xml:space="preserve">Saygılarımla arz ve </w:t>
      </w:r>
      <w:r w:rsidRPr="00DF3D5D">
        <w:rPr>
          <w:rFonts w:ascii="Palatino Linotype" w:eastAsia="Palatino Linotype" w:hAnsi="Palatino Linotype" w:cs="Palatino Linotype"/>
          <w:color w:val="010000"/>
          <w:highlight w:val="yellow"/>
        </w:rPr>
        <w:t>talep ederim/ederiz.</w:t>
      </w:r>
      <w:r w:rsidRPr="00DF3D5D">
        <w:rPr>
          <w:rFonts w:ascii="Palatino Linotype" w:eastAsia="Palatino Linotype" w:hAnsi="Palatino Linotype" w:cs="Palatino Linotype"/>
          <w:color w:val="010000"/>
          <w:highlight w:val="white"/>
        </w:rPr>
        <w:t xml:space="preserve">  </w:t>
      </w:r>
      <w:r w:rsidRPr="00DF3D5D">
        <w:rPr>
          <w:rFonts w:ascii="Palatino Linotype" w:eastAsia="Palatino Linotype" w:hAnsi="Palatino Linotype" w:cs="Palatino Linotype"/>
          <w:b/>
          <w:color w:val="010000"/>
          <w:highlight w:val="white"/>
        </w:rPr>
        <w:t>…../…./202</w:t>
      </w:r>
      <w:r w:rsidR="00471EBE" w:rsidRPr="00DF3D5D">
        <w:rPr>
          <w:rFonts w:ascii="Palatino Linotype" w:eastAsia="Palatino Linotype" w:hAnsi="Palatino Linotype" w:cs="Palatino Linotype"/>
          <w:b/>
          <w:color w:val="010000"/>
          <w:highlight w:val="white"/>
        </w:rPr>
        <w:t>6</w:t>
      </w:r>
    </w:p>
    <w:p w14:paraId="023B152F" w14:textId="77777777" w:rsidR="007A2F3F" w:rsidRDefault="007A2F3F" w:rsidP="000D5D69">
      <w:pPr>
        <w:pBdr>
          <w:top w:val="nil"/>
          <w:left w:val="nil"/>
          <w:bottom w:val="nil"/>
          <w:right w:val="nil"/>
          <w:between w:val="nil"/>
        </w:pBdr>
        <w:tabs>
          <w:tab w:val="left" w:pos="3870"/>
        </w:tabs>
        <w:spacing w:line="23" w:lineRule="atLeast"/>
        <w:ind w:left="630" w:right="-378"/>
        <w:jc w:val="both"/>
        <w:rPr>
          <w:rFonts w:ascii="Palatino Linotype" w:eastAsia="Palatino Linotype" w:hAnsi="Palatino Linotype" w:cs="Palatino Linotype"/>
          <w:color w:val="010000"/>
          <w:highlight w:val="white"/>
        </w:rPr>
      </w:pPr>
    </w:p>
    <w:p w14:paraId="66EB327A" w14:textId="5B5D0E40" w:rsidR="007A2F3F" w:rsidRDefault="00000000" w:rsidP="00352475">
      <w:pPr>
        <w:pBdr>
          <w:top w:val="nil"/>
          <w:left w:val="nil"/>
          <w:bottom w:val="nil"/>
          <w:right w:val="nil"/>
          <w:between w:val="nil"/>
        </w:pBdr>
        <w:tabs>
          <w:tab w:val="left" w:pos="3870"/>
        </w:tabs>
        <w:spacing w:line="23" w:lineRule="atLeast"/>
        <w:ind w:left="630" w:right="-378"/>
        <w:jc w:val="both"/>
        <w:rPr>
          <w:rFonts w:ascii="Palatino Linotype" w:eastAsia="Palatino Linotype" w:hAnsi="Palatino Linotype" w:cs="Palatino Linotype"/>
          <w:color w:val="010000"/>
          <w:highlight w:val="white"/>
        </w:rPr>
      </w:pPr>
      <w:r>
        <w:rPr>
          <w:rFonts w:ascii="Palatino Linotype" w:eastAsia="Palatino Linotype" w:hAnsi="Palatino Linotype" w:cs="Palatino Linotype"/>
          <w:color w:val="010000"/>
          <w:highlight w:val="white"/>
        </w:rPr>
        <w:tab/>
      </w:r>
      <w:r>
        <w:rPr>
          <w:rFonts w:ascii="Palatino Linotype" w:eastAsia="Palatino Linotype" w:hAnsi="Palatino Linotype" w:cs="Palatino Linotype"/>
          <w:color w:val="010000"/>
          <w:highlight w:val="white"/>
        </w:rPr>
        <w:tab/>
      </w:r>
      <w:r>
        <w:rPr>
          <w:rFonts w:ascii="Palatino Linotype" w:eastAsia="Palatino Linotype" w:hAnsi="Palatino Linotype" w:cs="Palatino Linotype"/>
          <w:color w:val="010000"/>
          <w:highlight w:val="white"/>
        </w:rPr>
        <w:tab/>
      </w:r>
      <w:r>
        <w:rPr>
          <w:rFonts w:ascii="Palatino Linotype" w:eastAsia="Palatino Linotype" w:hAnsi="Palatino Linotype" w:cs="Palatino Linotype"/>
          <w:color w:val="010000"/>
          <w:highlight w:val="white"/>
        </w:rPr>
        <w:tab/>
        <w:t xml:space="preserve">       </w:t>
      </w:r>
      <w:r>
        <w:rPr>
          <w:rFonts w:ascii="Palatino Linotype" w:eastAsia="Palatino Linotype" w:hAnsi="Palatino Linotype" w:cs="Palatino Linotype"/>
          <w:color w:val="010000"/>
          <w:highlight w:val="yellow"/>
        </w:rPr>
        <w:t xml:space="preserve"> Hükümlü/Eşi/Müdafii</w:t>
      </w:r>
      <w:r>
        <w:rPr>
          <w:rFonts w:ascii="Palatino Linotype" w:eastAsia="Palatino Linotype" w:hAnsi="Palatino Linotype" w:cs="Palatino Linotype"/>
          <w:color w:val="010000"/>
          <w:highlight w:val="white"/>
        </w:rPr>
        <w:tab/>
      </w:r>
      <w:r>
        <w:rPr>
          <w:rFonts w:ascii="Palatino Linotype" w:eastAsia="Palatino Linotype" w:hAnsi="Palatino Linotype" w:cs="Palatino Linotype"/>
          <w:color w:val="010000"/>
          <w:highlight w:val="white"/>
        </w:rPr>
        <w:tab/>
      </w:r>
      <w:r>
        <w:rPr>
          <w:rFonts w:ascii="Palatino Linotype" w:eastAsia="Palatino Linotype" w:hAnsi="Palatino Linotype" w:cs="Palatino Linotype"/>
          <w:color w:val="010000"/>
          <w:highlight w:val="white"/>
        </w:rPr>
        <w:tab/>
      </w:r>
      <w:r>
        <w:rPr>
          <w:rFonts w:ascii="Palatino Linotype" w:eastAsia="Palatino Linotype" w:hAnsi="Palatino Linotype" w:cs="Palatino Linotype"/>
          <w:color w:val="010000"/>
          <w:highlight w:val="white"/>
        </w:rPr>
        <w:tab/>
      </w:r>
      <w:r>
        <w:rPr>
          <w:rFonts w:ascii="Palatino Linotype" w:eastAsia="Palatino Linotype" w:hAnsi="Palatino Linotype" w:cs="Palatino Linotype"/>
          <w:color w:val="010000"/>
          <w:highlight w:val="white"/>
        </w:rPr>
        <w:tab/>
      </w:r>
      <w:r>
        <w:rPr>
          <w:rFonts w:ascii="Palatino Linotype" w:eastAsia="Palatino Linotype" w:hAnsi="Palatino Linotype" w:cs="Palatino Linotype"/>
          <w:color w:val="010000"/>
          <w:highlight w:val="white"/>
        </w:rPr>
        <w:tab/>
      </w:r>
      <w:r w:rsidR="000D5D69">
        <w:rPr>
          <w:rFonts w:ascii="Palatino Linotype" w:eastAsia="Palatino Linotype" w:hAnsi="Palatino Linotype" w:cs="Palatino Linotype"/>
          <w:color w:val="010000"/>
          <w:highlight w:val="white"/>
        </w:rPr>
        <w:t xml:space="preserve">                    </w:t>
      </w:r>
      <w:r>
        <w:rPr>
          <w:rFonts w:ascii="Palatino Linotype" w:eastAsia="Palatino Linotype" w:hAnsi="Palatino Linotype" w:cs="Palatino Linotype"/>
          <w:color w:val="010000"/>
          <w:highlight w:val="white"/>
        </w:rPr>
        <w:t>İmz</w:t>
      </w:r>
      <w:r w:rsidR="00352475">
        <w:rPr>
          <w:rFonts w:ascii="Palatino Linotype" w:eastAsia="Palatino Linotype" w:hAnsi="Palatino Linotype" w:cs="Palatino Linotype"/>
          <w:color w:val="010000"/>
          <w:highlight w:val="white"/>
        </w:rPr>
        <w:t>a</w:t>
      </w:r>
    </w:p>
    <w:p w14:paraId="000000C5" w14:textId="77777777" w:rsidR="009E0554" w:rsidRDefault="00000000" w:rsidP="00B763D9">
      <w:pPr>
        <w:pBdr>
          <w:top w:val="nil"/>
          <w:left w:val="nil"/>
          <w:bottom w:val="nil"/>
          <w:right w:val="nil"/>
          <w:between w:val="nil"/>
        </w:pBdr>
        <w:tabs>
          <w:tab w:val="left" w:pos="3870"/>
        </w:tabs>
        <w:spacing w:line="23" w:lineRule="atLeast"/>
        <w:ind w:left="630" w:right="-378"/>
        <w:jc w:val="both"/>
        <w:rPr>
          <w:rFonts w:ascii="Palatino Linotype" w:eastAsia="Palatino Linotype" w:hAnsi="Palatino Linotype" w:cs="Palatino Linotype"/>
          <w:b/>
          <w:color w:val="010000"/>
          <w:highlight w:val="white"/>
          <w:u w:val="single"/>
        </w:rPr>
      </w:pPr>
      <w:r>
        <w:rPr>
          <w:rFonts w:ascii="Palatino Linotype" w:eastAsia="Palatino Linotype" w:hAnsi="Palatino Linotype" w:cs="Palatino Linotype"/>
          <w:b/>
          <w:color w:val="010000"/>
          <w:highlight w:val="white"/>
          <w:u w:val="single"/>
        </w:rPr>
        <w:t>EK’LER</w:t>
      </w:r>
    </w:p>
    <w:p w14:paraId="000000C6" w14:textId="77777777" w:rsidR="009E0554" w:rsidRPr="00B979A3" w:rsidRDefault="00000000" w:rsidP="00B763D9">
      <w:pPr>
        <w:numPr>
          <w:ilvl w:val="0"/>
          <w:numId w:val="2"/>
        </w:numPr>
        <w:pBdr>
          <w:top w:val="nil"/>
          <w:left w:val="nil"/>
          <w:bottom w:val="nil"/>
          <w:right w:val="nil"/>
          <w:between w:val="nil"/>
        </w:pBdr>
        <w:spacing w:line="23" w:lineRule="atLeast"/>
        <w:ind w:left="360" w:firstLine="349"/>
        <w:jc w:val="both"/>
        <w:rPr>
          <w:rFonts w:ascii="Palatino Linotype" w:eastAsia="Palatino Linotype" w:hAnsi="Palatino Linotype" w:cs="Palatino Linotype"/>
          <w:color w:val="000000"/>
        </w:rPr>
      </w:pPr>
      <w:r w:rsidRPr="00B979A3">
        <w:rPr>
          <w:rFonts w:ascii="Palatino Linotype" w:eastAsia="Palatino Linotype" w:hAnsi="Palatino Linotype" w:cs="Palatino Linotype"/>
          <w:color w:val="000000"/>
        </w:rPr>
        <w:t>Nüfus Aile Kayıt Örneği, </w:t>
      </w:r>
    </w:p>
    <w:p w14:paraId="000000C7" w14:textId="77777777" w:rsidR="009E0554" w:rsidRPr="00B979A3" w:rsidRDefault="00000000" w:rsidP="00B763D9">
      <w:pPr>
        <w:numPr>
          <w:ilvl w:val="0"/>
          <w:numId w:val="2"/>
        </w:numPr>
        <w:pBdr>
          <w:top w:val="nil"/>
          <w:left w:val="nil"/>
          <w:bottom w:val="nil"/>
          <w:right w:val="nil"/>
          <w:between w:val="nil"/>
        </w:pBdr>
        <w:spacing w:line="23" w:lineRule="atLeast"/>
        <w:ind w:left="360" w:firstLine="349"/>
        <w:jc w:val="both"/>
        <w:rPr>
          <w:rFonts w:ascii="Palatino Linotype" w:eastAsia="Palatino Linotype" w:hAnsi="Palatino Linotype" w:cs="Palatino Linotype"/>
          <w:color w:val="000000"/>
        </w:rPr>
      </w:pPr>
      <w:r w:rsidRPr="00B979A3">
        <w:rPr>
          <w:rFonts w:ascii="Palatino Linotype" w:eastAsia="Palatino Linotype" w:hAnsi="Palatino Linotype" w:cs="Palatino Linotype"/>
          <w:color w:val="000000"/>
        </w:rPr>
        <w:t>T.C. Kimlik Fotokopisi,</w:t>
      </w:r>
    </w:p>
    <w:p w14:paraId="000000C8" w14:textId="465075BA" w:rsidR="009E0554" w:rsidRDefault="00000000" w:rsidP="00D669DC">
      <w:pPr>
        <w:numPr>
          <w:ilvl w:val="0"/>
          <w:numId w:val="2"/>
        </w:numPr>
        <w:pBdr>
          <w:top w:val="nil"/>
          <w:left w:val="nil"/>
          <w:bottom w:val="nil"/>
          <w:right w:val="nil"/>
          <w:between w:val="nil"/>
        </w:pBdr>
        <w:spacing w:line="23" w:lineRule="atLeast"/>
        <w:ind w:left="1418" w:hanging="709"/>
        <w:jc w:val="both"/>
        <w:rPr>
          <w:rFonts w:ascii="Palatino Linotype" w:eastAsia="Palatino Linotype" w:hAnsi="Palatino Linotype" w:cs="Palatino Linotype"/>
          <w:color w:val="000000"/>
        </w:rPr>
      </w:pPr>
      <w:r w:rsidRPr="00B979A3">
        <w:rPr>
          <w:rFonts w:ascii="Palatino Linotype" w:eastAsia="Palatino Linotype" w:hAnsi="Palatino Linotype" w:cs="Palatino Linotype"/>
          <w:color w:val="000000"/>
        </w:rPr>
        <w:t xml:space="preserve">AİHM’in </w:t>
      </w:r>
      <w:r w:rsidR="00BE5008">
        <w:rPr>
          <w:rFonts w:ascii="Palatino Linotype" w:eastAsia="Palatino Linotype" w:hAnsi="Palatino Linotype" w:cs="Palatino Linotype"/>
          <w:color w:val="000000"/>
        </w:rPr>
        <w:t>Seyhan</w:t>
      </w:r>
      <w:r w:rsidRPr="00B979A3">
        <w:rPr>
          <w:rFonts w:ascii="Palatino Linotype" w:eastAsia="Palatino Linotype" w:hAnsi="Palatino Linotype" w:cs="Palatino Linotype"/>
          <w:color w:val="000000"/>
        </w:rPr>
        <w:t xml:space="preserve"> ve Diğerleri/Türkiye Kararının</w:t>
      </w:r>
      <w:r w:rsidR="00244534">
        <w:rPr>
          <w:rFonts w:ascii="Palatino Linotype" w:eastAsia="Palatino Linotype" w:hAnsi="Palatino Linotype" w:cs="Palatino Linotype"/>
          <w:color w:val="000000"/>
        </w:rPr>
        <w:t xml:space="preserve"> HUDOC’ya yayımlanan</w:t>
      </w:r>
      <w:r w:rsidRPr="00B979A3">
        <w:rPr>
          <w:rFonts w:ascii="Palatino Linotype" w:eastAsia="Palatino Linotype" w:hAnsi="Palatino Linotype" w:cs="Palatino Linotype"/>
          <w:color w:val="000000"/>
        </w:rPr>
        <w:t xml:space="preserve"> Türkçe Çevirisi</w:t>
      </w:r>
      <w:r w:rsidR="00593F88">
        <w:rPr>
          <w:rFonts w:ascii="Palatino Linotype" w:eastAsia="Palatino Linotype" w:hAnsi="Palatino Linotype" w:cs="Palatino Linotype"/>
          <w:color w:val="000000"/>
        </w:rPr>
        <w:t>,</w:t>
      </w:r>
    </w:p>
    <w:p w14:paraId="65F6E38E" w14:textId="77777777" w:rsidR="000B7997" w:rsidRDefault="00FC0B37" w:rsidP="000B7997">
      <w:pPr>
        <w:numPr>
          <w:ilvl w:val="0"/>
          <w:numId w:val="2"/>
        </w:numPr>
        <w:pBdr>
          <w:top w:val="nil"/>
          <w:left w:val="nil"/>
          <w:bottom w:val="nil"/>
          <w:right w:val="nil"/>
          <w:between w:val="nil"/>
        </w:pBdr>
        <w:spacing w:line="23" w:lineRule="atLeast"/>
        <w:ind w:left="1418" w:hanging="70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Yasak/Türkiye Büyük Daire karar özeti</w:t>
      </w:r>
      <w:r w:rsidR="005B7BEB">
        <w:rPr>
          <w:rFonts w:ascii="Palatino Linotype" w:eastAsia="Palatino Linotype" w:hAnsi="Palatino Linotype" w:cs="Palatino Linotype"/>
          <w:color w:val="000000"/>
        </w:rPr>
        <w:t>.</w:t>
      </w:r>
    </w:p>
    <w:p w14:paraId="4484EA0A" w14:textId="6838CBFF" w:rsidR="00FC0B37" w:rsidRPr="000B7997" w:rsidRDefault="00FC0B37" w:rsidP="000B7997">
      <w:pPr>
        <w:numPr>
          <w:ilvl w:val="0"/>
          <w:numId w:val="2"/>
        </w:numPr>
        <w:pBdr>
          <w:top w:val="nil"/>
          <w:left w:val="nil"/>
          <w:bottom w:val="nil"/>
          <w:right w:val="nil"/>
          <w:between w:val="nil"/>
        </w:pBdr>
        <w:spacing w:line="23" w:lineRule="atLeast"/>
        <w:ind w:left="1418" w:hanging="709"/>
        <w:jc w:val="both"/>
        <w:rPr>
          <w:rFonts w:ascii="Palatino Linotype" w:eastAsia="Palatino Linotype" w:hAnsi="Palatino Linotype" w:cs="Palatino Linotype"/>
          <w:bCs/>
          <w:color w:val="000000"/>
        </w:rPr>
      </w:pPr>
      <w:r w:rsidRPr="000B7997">
        <w:rPr>
          <w:rFonts w:ascii="Palatino Linotype" w:hAnsi="Palatino Linotype"/>
          <w:bCs/>
        </w:rPr>
        <w:t>Prof. Dr. Adem SÖZÜER, Prof. Dr. İzzet ÖZGENÇ, Prof. Dr. Faruk TURHAN, Prof. Dr. Cumhur ŞAHİN ve Prof. Dr. Tolga ŞİRİN tarafından hazırlanan Hukukî Mütalaa.</w:t>
      </w:r>
    </w:p>
    <w:p w14:paraId="000000CA" w14:textId="77777777" w:rsidR="009E0554" w:rsidRDefault="009E0554" w:rsidP="00B763D9">
      <w:pPr>
        <w:pBdr>
          <w:top w:val="nil"/>
          <w:left w:val="nil"/>
          <w:bottom w:val="nil"/>
          <w:right w:val="nil"/>
          <w:between w:val="nil"/>
        </w:pBdr>
        <w:spacing w:line="23" w:lineRule="atLeast"/>
        <w:jc w:val="both"/>
        <w:rPr>
          <w:rFonts w:ascii="Palatino Linotype" w:eastAsia="Palatino Linotype" w:hAnsi="Palatino Linotype" w:cs="Palatino Linotype"/>
          <w:color w:val="010000"/>
          <w:sz w:val="24"/>
          <w:szCs w:val="24"/>
          <w:highlight w:val="white"/>
        </w:rPr>
      </w:pPr>
    </w:p>
    <w:p w14:paraId="000000CB" w14:textId="77777777" w:rsidR="009E0554" w:rsidRDefault="009E0554" w:rsidP="00B763D9">
      <w:pPr>
        <w:pBdr>
          <w:top w:val="nil"/>
          <w:left w:val="nil"/>
          <w:bottom w:val="nil"/>
          <w:right w:val="nil"/>
          <w:between w:val="nil"/>
        </w:pBdr>
        <w:spacing w:line="23" w:lineRule="atLeast"/>
        <w:ind w:firstLine="708"/>
        <w:jc w:val="both"/>
        <w:rPr>
          <w:rFonts w:ascii="Palatino Linotype" w:eastAsia="Palatino Linotype" w:hAnsi="Palatino Linotype" w:cs="Palatino Linotype"/>
          <w:b/>
          <w:color w:val="010000"/>
          <w:sz w:val="24"/>
          <w:szCs w:val="24"/>
          <w:highlight w:val="white"/>
        </w:rPr>
      </w:pPr>
    </w:p>
    <w:p w14:paraId="000000CC" w14:textId="2D75385B" w:rsidR="009E0554" w:rsidRDefault="00000000" w:rsidP="00B763D9">
      <w:pPr>
        <w:pBdr>
          <w:top w:val="nil"/>
          <w:left w:val="nil"/>
          <w:bottom w:val="nil"/>
          <w:right w:val="nil"/>
          <w:between w:val="nil"/>
        </w:pBdr>
        <w:spacing w:line="23" w:lineRule="atLeast"/>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color w:val="010000"/>
          <w:sz w:val="24"/>
          <w:szCs w:val="24"/>
          <w:highlight w:val="white"/>
        </w:rPr>
        <w:t>Dikkat:</w:t>
      </w:r>
      <w:r>
        <w:rPr>
          <w:rFonts w:ascii="Palatino Linotype" w:eastAsia="Palatino Linotype" w:hAnsi="Palatino Linotype" w:cs="Palatino Linotype"/>
          <w:color w:val="010000"/>
          <w:sz w:val="24"/>
          <w:szCs w:val="24"/>
          <w:highlight w:val="white"/>
        </w:rPr>
        <w:t xml:space="preserve"> </w:t>
      </w:r>
      <w:r>
        <w:rPr>
          <w:rFonts w:ascii="Palatino Linotype" w:eastAsia="Palatino Linotype" w:hAnsi="Palatino Linotype" w:cs="Palatino Linotype"/>
          <w:color w:val="010000"/>
          <w:sz w:val="24"/>
          <w:szCs w:val="24"/>
          <w:highlight w:val="yellow"/>
        </w:rPr>
        <w:t>Eşlerin 1 ve 2 numaralı belgeleri eklemeleri, başvuru yapan herkesin</w:t>
      </w:r>
      <w:r w:rsidR="00593F88">
        <w:rPr>
          <w:rFonts w:ascii="Palatino Linotype" w:eastAsia="Palatino Linotype" w:hAnsi="Palatino Linotype" w:cs="Palatino Linotype"/>
          <w:color w:val="010000"/>
          <w:sz w:val="24"/>
          <w:szCs w:val="24"/>
          <w:highlight w:val="yellow"/>
        </w:rPr>
        <w:t xml:space="preserve"> de</w:t>
      </w:r>
      <w:r>
        <w:rPr>
          <w:rFonts w:ascii="Palatino Linotype" w:eastAsia="Palatino Linotype" w:hAnsi="Palatino Linotype" w:cs="Palatino Linotype"/>
          <w:color w:val="010000"/>
          <w:sz w:val="24"/>
          <w:szCs w:val="24"/>
          <w:highlight w:val="yellow"/>
        </w:rPr>
        <w:t xml:space="preserve"> 3</w:t>
      </w:r>
      <w:r w:rsidR="00593F88">
        <w:rPr>
          <w:rFonts w:ascii="Palatino Linotype" w:eastAsia="Palatino Linotype" w:hAnsi="Palatino Linotype" w:cs="Palatino Linotype"/>
          <w:color w:val="010000"/>
          <w:sz w:val="24"/>
          <w:szCs w:val="24"/>
          <w:highlight w:val="yellow"/>
        </w:rPr>
        <w:t xml:space="preserve"> ve 4</w:t>
      </w:r>
      <w:r>
        <w:rPr>
          <w:rFonts w:ascii="Palatino Linotype" w:eastAsia="Palatino Linotype" w:hAnsi="Palatino Linotype" w:cs="Palatino Linotype"/>
          <w:color w:val="010000"/>
          <w:sz w:val="24"/>
          <w:szCs w:val="24"/>
          <w:highlight w:val="yellow"/>
        </w:rPr>
        <w:t xml:space="preserve">  numaralı </w:t>
      </w:r>
      <w:r w:rsidR="00593F88">
        <w:rPr>
          <w:rFonts w:ascii="Palatino Linotype" w:eastAsia="Palatino Linotype" w:hAnsi="Palatino Linotype" w:cs="Palatino Linotype"/>
          <w:color w:val="010000"/>
          <w:sz w:val="24"/>
          <w:szCs w:val="24"/>
          <w:highlight w:val="yellow"/>
        </w:rPr>
        <w:t>evrakları</w:t>
      </w:r>
      <w:r>
        <w:rPr>
          <w:rFonts w:ascii="Palatino Linotype" w:eastAsia="Palatino Linotype" w:hAnsi="Palatino Linotype" w:cs="Palatino Linotype"/>
          <w:color w:val="010000"/>
          <w:sz w:val="24"/>
          <w:szCs w:val="24"/>
          <w:highlight w:val="yellow"/>
        </w:rPr>
        <w:t xml:space="preserve"> eklemesi gerekir.</w:t>
      </w:r>
    </w:p>
    <w:sectPr w:rsidR="009E0554" w:rsidSect="000D5D69">
      <w:footerReference w:type="default" r:id="rId8"/>
      <w:pgSz w:w="11906" w:h="16838"/>
      <w:pgMar w:top="1276" w:right="1416" w:bottom="1134" w:left="993"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FDBF2" w14:textId="77777777" w:rsidR="00235733" w:rsidRDefault="00235733">
      <w:pPr>
        <w:spacing w:after="0" w:line="240" w:lineRule="auto"/>
      </w:pPr>
      <w:r>
        <w:separator/>
      </w:r>
    </w:p>
  </w:endnote>
  <w:endnote w:type="continuationSeparator" w:id="0">
    <w:p w14:paraId="50DEB52F" w14:textId="77777777" w:rsidR="00235733" w:rsidRDefault="00235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F" w14:textId="6C31B502" w:rsidR="009E0554" w:rsidRDefault="00000000">
    <w:pPr>
      <w:pBdr>
        <w:top w:val="nil"/>
        <w:left w:val="nil"/>
        <w:bottom w:val="nil"/>
        <w:right w:val="nil"/>
        <w:between w:val="nil"/>
      </w:pBdr>
      <w:tabs>
        <w:tab w:val="center" w:pos="4536"/>
        <w:tab w:val="right" w:pos="9072"/>
      </w:tabs>
      <w:spacing w:after="0" w:line="240" w:lineRule="auto"/>
      <w:jc w:val="center"/>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E51CE3">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p>
  <w:p w14:paraId="000000D0" w14:textId="77777777" w:rsidR="009E0554" w:rsidRDefault="009E0554">
    <w:pPr>
      <w:pBdr>
        <w:top w:val="nil"/>
        <w:left w:val="nil"/>
        <w:bottom w:val="nil"/>
        <w:right w:val="nil"/>
        <w:between w:val="nil"/>
      </w:pBdr>
      <w:tabs>
        <w:tab w:val="center" w:pos="4536"/>
        <w:tab w:val="right" w:pos="9072"/>
      </w:tabs>
      <w:spacing w:after="0" w:line="240" w:lineRule="auto"/>
      <w:rPr>
        <w:rFonts w:ascii="Palatino Linotype" w:eastAsia="Palatino Linotype" w:hAnsi="Palatino Linotype" w:cs="Palatino Linotype"/>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10045" w14:textId="77777777" w:rsidR="00235733" w:rsidRDefault="00235733">
      <w:pPr>
        <w:spacing w:after="0" w:line="240" w:lineRule="auto"/>
      </w:pPr>
      <w:r>
        <w:separator/>
      </w:r>
    </w:p>
  </w:footnote>
  <w:footnote w:type="continuationSeparator" w:id="0">
    <w:p w14:paraId="4054FFCD" w14:textId="77777777" w:rsidR="00235733" w:rsidRDefault="002357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8196C"/>
    <w:multiLevelType w:val="multilevel"/>
    <w:tmpl w:val="7FD6CA6A"/>
    <w:lvl w:ilvl="0">
      <w:start w:val="20"/>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9B7582A"/>
    <w:multiLevelType w:val="hybridMultilevel"/>
    <w:tmpl w:val="E86CFBA2"/>
    <w:lvl w:ilvl="0" w:tplc="4648A35E">
      <w:start w:val="1"/>
      <w:numFmt w:val="upperLetter"/>
      <w:lvlText w:val="%1."/>
      <w:lvlJc w:val="left"/>
      <w:pPr>
        <w:ind w:left="951" w:hanging="384"/>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 w15:restartNumberingAfterBreak="0">
    <w:nsid w:val="0A7E4394"/>
    <w:multiLevelType w:val="multilevel"/>
    <w:tmpl w:val="E0CEE4CA"/>
    <w:lvl w:ilvl="0">
      <w:start w:val="26"/>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1C547C41"/>
    <w:multiLevelType w:val="multilevel"/>
    <w:tmpl w:val="F7D09E8E"/>
    <w:lvl w:ilvl="0">
      <w:start w:val="40"/>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26E0092B"/>
    <w:multiLevelType w:val="multilevel"/>
    <w:tmpl w:val="78D85696"/>
    <w:styleLink w:val="Stil1"/>
    <w:lvl w:ilvl="0">
      <w:start w:val="11"/>
      <w:numFmt w:val="decimal"/>
      <w:lvlText w:val="%1."/>
      <w:lvlJc w:val="left"/>
      <w:pPr>
        <w:tabs>
          <w:tab w:val="num" w:pos="720"/>
        </w:tabs>
        <w:ind w:left="720" w:hanging="360"/>
      </w:pPr>
      <w:rPr>
        <w:rFonts w:hint="default"/>
        <w:b/>
        <w:bCs/>
        <w:i w:val="0"/>
        <w:iCs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290D058E"/>
    <w:multiLevelType w:val="multilevel"/>
    <w:tmpl w:val="D74E65DE"/>
    <w:lvl w:ilvl="0">
      <w:start w:val="37"/>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291F336B"/>
    <w:multiLevelType w:val="multilevel"/>
    <w:tmpl w:val="7C9269EA"/>
    <w:lvl w:ilvl="0">
      <w:start w:val="6"/>
      <w:numFmt w:val="decimal"/>
      <w:lvlText w:val="%1."/>
      <w:lvlJc w:val="left"/>
      <w:pPr>
        <w:ind w:left="720" w:hanging="360"/>
      </w:pPr>
      <w:rPr>
        <w:b/>
      </w:rPr>
    </w:lvl>
    <w:lvl w:ilvl="1">
      <w:start w:val="1"/>
      <w:numFmt w:val="lowerLetter"/>
      <w:lvlText w:val="%2."/>
      <w:lvlJc w:val="left"/>
      <w:pPr>
        <w:ind w:left="1440" w:hanging="360"/>
      </w:pPr>
      <w:rPr>
        <w:b w:val="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299C6E6B"/>
    <w:multiLevelType w:val="multilevel"/>
    <w:tmpl w:val="375ACB82"/>
    <w:lvl w:ilvl="0">
      <w:start w:val="11"/>
      <w:numFmt w:val="decimal"/>
      <w:lvlText w:val="%1."/>
      <w:lvlJc w:val="left"/>
      <w:pPr>
        <w:tabs>
          <w:tab w:val="num" w:pos="720"/>
        </w:tabs>
        <w:ind w:left="720" w:hanging="360"/>
      </w:pPr>
      <w:rPr>
        <w:rFonts w:hint="default"/>
        <w:b/>
        <w:bCs/>
        <w:i w:val="0"/>
        <w:iCs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6274006"/>
    <w:multiLevelType w:val="multilevel"/>
    <w:tmpl w:val="4C0A7DA6"/>
    <w:lvl w:ilvl="0">
      <w:start w:val="1"/>
      <w:numFmt w:val="decimal"/>
      <w:lvlText w:val="%1."/>
      <w:lvlJc w:val="left"/>
      <w:pPr>
        <w:ind w:left="1320" w:hanging="360"/>
      </w:pPr>
      <w:rPr>
        <w:b/>
        <w:i w:val="0"/>
      </w:rPr>
    </w:lvl>
    <w:lvl w:ilvl="1">
      <w:start w:val="1"/>
      <w:numFmt w:val="lowerLetter"/>
      <w:lvlText w:val="%2."/>
      <w:lvlJc w:val="left"/>
      <w:pPr>
        <w:ind w:left="2040" w:hanging="360"/>
      </w:pPr>
    </w:lvl>
    <w:lvl w:ilvl="2">
      <w:start w:val="1"/>
      <w:numFmt w:val="lowerRoman"/>
      <w:lvlText w:val="%3."/>
      <w:lvlJc w:val="right"/>
      <w:pPr>
        <w:ind w:left="2760" w:hanging="180"/>
      </w:pPr>
    </w:lvl>
    <w:lvl w:ilvl="3">
      <w:start w:val="1"/>
      <w:numFmt w:val="decimal"/>
      <w:lvlText w:val="%4."/>
      <w:lvlJc w:val="left"/>
      <w:pPr>
        <w:ind w:left="3480" w:hanging="360"/>
      </w:pPr>
    </w:lvl>
    <w:lvl w:ilvl="4">
      <w:start w:val="1"/>
      <w:numFmt w:val="lowerLetter"/>
      <w:lvlText w:val="%5."/>
      <w:lvlJc w:val="left"/>
      <w:pPr>
        <w:ind w:left="4200" w:hanging="360"/>
      </w:pPr>
    </w:lvl>
    <w:lvl w:ilvl="5">
      <w:start w:val="1"/>
      <w:numFmt w:val="lowerRoman"/>
      <w:lvlText w:val="%6."/>
      <w:lvlJc w:val="right"/>
      <w:pPr>
        <w:ind w:left="4920" w:hanging="180"/>
      </w:pPr>
    </w:lvl>
    <w:lvl w:ilvl="6">
      <w:start w:val="1"/>
      <w:numFmt w:val="decimal"/>
      <w:lvlText w:val="%7."/>
      <w:lvlJc w:val="left"/>
      <w:pPr>
        <w:ind w:left="5640" w:hanging="360"/>
      </w:pPr>
    </w:lvl>
    <w:lvl w:ilvl="7">
      <w:start w:val="1"/>
      <w:numFmt w:val="lowerLetter"/>
      <w:lvlText w:val="%8."/>
      <w:lvlJc w:val="left"/>
      <w:pPr>
        <w:ind w:left="6360" w:hanging="360"/>
      </w:pPr>
    </w:lvl>
    <w:lvl w:ilvl="8">
      <w:start w:val="1"/>
      <w:numFmt w:val="lowerRoman"/>
      <w:lvlText w:val="%9."/>
      <w:lvlJc w:val="right"/>
      <w:pPr>
        <w:ind w:left="7080" w:hanging="180"/>
      </w:pPr>
    </w:lvl>
  </w:abstractNum>
  <w:abstractNum w:abstractNumId="9" w15:restartNumberingAfterBreak="0">
    <w:nsid w:val="373F2868"/>
    <w:multiLevelType w:val="multilevel"/>
    <w:tmpl w:val="C186C1C0"/>
    <w:lvl w:ilvl="0">
      <w:start w:val="29"/>
      <w:numFmt w:val="decimal"/>
      <w:lvlText w:val="%1."/>
      <w:lvlJc w:val="left"/>
      <w:pPr>
        <w:tabs>
          <w:tab w:val="num" w:pos="720"/>
        </w:tabs>
        <w:ind w:left="720" w:hanging="360"/>
      </w:pPr>
      <w:rPr>
        <w:rFonts w:hint="default"/>
        <w:b/>
        <w:bCs/>
        <w:color w:val="000000" w:themeColor="text1"/>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F544C35"/>
    <w:multiLevelType w:val="multilevel"/>
    <w:tmpl w:val="4C7CB2A8"/>
    <w:lvl w:ilvl="0">
      <w:start w:val="18"/>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4A527E04"/>
    <w:multiLevelType w:val="multilevel"/>
    <w:tmpl w:val="AD923D8C"/>
    <w:lvl w:ilvl="0">
      <w:start w:val="30"/>
      <w:numFmt w:val="decimal"/>
      <w:lvlText w:val="%1."/>
      <w:lvlJc w:val="left"/>
      <w:pPr>
        <w:tabs>
          <w:tab w:val="num" w:pos="720"/>
        </w:tabs>
        <w:ind w:left="720" w:hanging="360"/>
      </w:pPr>
      <w:rPr>
        <w:rFonts w:hint="default"/>
        <w:b/>
        <w:bCs/>
        <w:i w:val="0"/>
        <w:iCs w:val="0"/>
        <w:color w:val="000000" w:themeColor="text1"/>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4E0E23B2"/>
    <w:multiLevelType w:val="multilevel"/>
    <w:tmpl w:val="59602FBA"/>
    <w:lvl w:ilvl="0">
      <w:start w:val="1"/>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501749E7"/>
    <w:multiLevelType w:val="multilevel"/>
    <w:tmpl w:val="5A4C7B5C"/>
    <w:lvl w:ilvl="0">
      <w:start w:val="33"/>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5FD23FA1"/>
    <w:multiLevelType w:val="multilevel"/>
    <w:tmpl w:val="AF886C18"/>
    <w:lvl w:ilvl="0">
      <w:start w:val="15"/>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619903C3"/>
    <w:multiLevelType w:val="multilevel"/>
    <w:tmpl w:val="E076C4D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59D7438"/>
    <w:multiLevelType w:val="multilevel"/>
    <w:tmpl w:val="407C23BA"/>
    <w:lvl w:ilvl="0">
      <w:start w:val="5"/>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691806C4"/>
    <w:multiLevelType w:val="multilevel"/>
    <w:tmpl w:val="6486DD8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776FEB"/>
    <w:multiLevelType w:val="multilevel"/>
    <w:tmpl w:val="C932F5A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8256B8A"/>
    <w:multiLevelType w:val="multilevel"/>
    <w:tmpl w:val="3416A964"/>
    <w:lvl w:ilvl="0">
      <w:start w:val="23"/>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2140955144">
    <w:abstractNumId w:val="8"/>
  </w:num>
  <w:num w:numId="2" w16cid:durableId="1201943072">
    <w:abstractNumId w:val="12"/>
  </w:num>
  <w:num w:numId="3" w16cid:durableId="545021732">
    <w:abstractNumId w:val="6"/>
  </w:num>
  <w:num w:numId="4" w16cid:durableId="1586528091">
    <w:abstractNumId w:val="1"/>
  </w:num>
  <w:num w:numId="5" w16cid:durableId="1970017339">
    <w:abstractNumId w:val="16"/>
  </w:num>
  <w:num w:numId="6" w16cid:durableId="784348112">
    <w:abstractNumId w:val="7"/>
  </w:num>
  <w:num w:numId="7" w16cid:durableId="2028217377">
    <w:abstractNumId w:val="14"/>
  </w:num>
  <w:num w:numId="8" w16cid:durableId="809783624">
    <w:abstractNumId w:val="10"/>
  </w:num>
  <w:num w:numId="9" w16cid:durableId="565844722">
    <w:abstractNumId w:val="0"/>
  </w:num>
  <w:num w:numId="10" w16cid:durableId="401801699">
    <w:abstractNumId w:val="19"/>
  </w:num>
  <w:num w:numId="11" w16cid:durableId="1615211041">
    <w:abstractNumId w:val="2"/>
  </w:num>
  <w:num w:numId="12" w16cid:durableId="989484163">
    <w:abstractNumId w:val="18"/>
  </w:num>
  <w:num w:numId="13" w16cid:durableId="645356185">
    <w:abstractNumId w:val="17"/>
  </w:num>
  <w:num w:numId="14" w16cid:durableId="935092167">
    <w:abstractNumId w:val="15"/>
  </w:num>
  <w:num w:numId="15" w16cid:durableId="229659918">
    <w:abstractNumId w:val="11"/>
  </w:num>
  <w:num w:numId="16" w16cid:durableId="329871154">
    <w:abstractNumId w:val="13"/>
  </w:num>
  <w:num w:numId="17" w16cid:durableId="2079788309">
    <w:abstractNumId w:val="5"/>
  </w:num>
  <w:num w:numId="18" w16cid:durableId="1328245030">
    <w:abstractNumId w:val="3"/>
  </w:num>
  <w:num w:numId="19" w16cid:durableId="608586602">
    <w:abstractNumId w:val="9"/>
  </w:num>
  <w:num w:numId="20" w16cid:durableId="19772949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554"/>
    <w:rsid w:val="00007559"/>
    <w:rsid w:val="000619E6"/>
    <w:rsid w:val="00073CD8"/>
    <w:rsid w:val="000B1DE1"/>
    <w:rsid w:val="000B7997"/>
    <w:rsid w:val="000D5D69"/>
    <w:rsid w:val="000E4667"/>
    <w:rsid w:val="00173FAF"/>
    <w:rsid w:val="001B139A"/>
    <w:rsid w:val="001B7936"/>
    <w:rsid w:val="001E2495"/>
    <w:rsid w:val="00224DF3"/>
    <w:rsid w:val="002335C2"/>
    <w:rsid w:val="00235733"/>
    <w:rsid w:val="00244534"/>
    <w:rsid w:val="00277F14"/>
    <w:rsid w:val="002861B2"/>
    <w:rsid w:val="002A0DDA"/>
    <w:rsid w:val="002C54CF"/>
    <w:rsid w:val="002E5FEF"/>
    <w:rsid w:val="003060B6"/>
    <w:rsid w:val="0032694A"/>
    <w:rsid w:val="00340C74"/>
    <w:rsid w:val="00352475"/>
    <w:rsid w:val="0035450C"/>
    <w:rsid w:val="003945F9"/>
    <w:rsid w:val="0039725D"/>
    <w:rsid w:val="003F1A64"/>
    <w:rsid w:val="00456CB5"/>
    <w:rsid w:val="00462AB8"/>
    <w:rsid w:val="004647E0"/>
    <w:rsid w:val="00471EBE"/>
    <w:rsid w:val="00477C8F"/>
    <w:rsid w:val="00496041"/>
    <w:rsid w:val="004A33CE"/>
    <w:rsid w:val="004A378D"/>
    <w:rsid w:val="00524361"/>
    <w:rsid w:val="005301AF"/>
    <w:rsid w:val="005423E7"/>
    <w:rsid w:val="005664E3"/>
    <w:rsid w:val="00583C1D"/>
    <w:rsid w:val="00584DB2"/>
    <w:rsid w:val="00585BA6"/>
    <w:rsid w:val="00586784"/>
    <w:rsid w:val="00593F88"/>
    <w:rsid w:val="005B7BEB"/>
    <w:rsid w:val="00643DD9"/>
    <w:rsid w:val="00644FFE"/>
    <w:rsid w:val="0067328A"/>
    <w:rsid w:val="006A066A"/>
    <w:rsid w:val="006A2D1E"/>
    <w:rsid w:val="006D141F"/>
    <w:rsid w:val="006F218A"/>
    <w:rsid w:val="00722181"/>
    <w:rsid w:val="0078480C"/>
    <w:rsid w:val="007A2F3F"/>
    <w:rsid w:val="007A7CFE"/>
    <w:rsid w:val="007B1334"/>
    <w:rsid w:val="007B38DD"/>
    <w:rsid w:val="00841375"/>
    <w:rsid w:val="008C6F11"/>
    <w:rsid w:val="008D55E4"/>
    <w:rsid w:val="008E1E66"/>
    <w:rsid w:val="008E790A"/>
    <w:rsid w:val="00977C24"/>
    <w:rsid w:val="00982F16"/>
    <w:rsid w:val="009E0554"/>
    <w:rsid w:val="009F07BE"/>
    <w:rsid w:val="00A12E7F"/>
    <w:rsid w:val="00AE7E0B"/>
    <w:rsid w:val="00B121DE"/>
    <w:rsid w:val="00B21384"/>
    <w:rsid w:val="00B763D9"/>
    <w:rsid w:val="00B86266"/>
    <w:rsid w:val="00B96CFF"/>
    <w:rsid w:val="00B979A3"/>
    <w:rsid w:val="00BE5008"/>
    <w:rsid w:val="00C00613"/>
    <w:rsid w:val="00C60AC7"/>
    <w:rsid w:val="00C73194"/>
    <w:rsid w:val="00CA5A82"/>
    <w:rsid w:val="00CB6888"/>
    <w:rsid w:val="00CD119B"/>
    <w:rsid w:val="00D33617"/>
    <w:rsid w:val="00D53C08"/>
    <w:rsid w:val="00D55AD5"/>
    <w:rsid w:val="00D647B8"/>
    <w:rsid w:val="00D669DC"/>
    <w:rsid w:val="00D72E31"/>
    <w:rsid w:val="00D773C0"/>
    <w:rsid w:val="00DF3D5D"/>
    <w:rsid w:val="00E51CE3"/>
    <w:rsid w:val="00E63E28"/>
    <w:rsid w:val="00EA6B0B"/>
    <w:rsid w:val="00ED5188"/>
    <w:rsid w:val="00F1118A"/>
    <w:rsid w:val="00F25DB8"/>
    <w:rsid w:val="00F36AA1"/>
    <w:rsid w:val="00F40485"/>
    <w:rsid w:val="00F75237"/>
    <w:rsid w:val="00F938E7"/>
    <w:rsid w:val="00F93B56"/>
    <w:rsid w:val="00FC0B3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91ADC"/>
  <w15:docId w15:val="{598677FC-E56A-4A3D-AAA8-0B7D8B3BE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240" w:after="0" w:line="256" w:lineRule="auto"/>
      <w:jc w:val="both"/>
      <w:outlineLvl w:val="0"/>
    </w:pPr>
    <w:rPr>
      <w:rFonts w:ascii="Palatino Linotype" w:eastAsia="Palatino Linotype" w:hAnsi="Palatino Linotype" w:cs="Palatino Linotype"/>
      <w:color w:val="000000"/>
      <w:sz w:val="24"/>
      <w:szCs w:val="24"/>
    </w:rPr>
  </w:style>
  <w:style w:type="paragraph" w:styleId="Balk2">
    <w:name w:val="heading 2"/>
    <w:basedOn w:val="Normal"/>
    <w:next w:val="Normal"/>
    <w:uiPriority w:val="9"/>
    <w:semiHidden/>
    <w:unhideWhenUsed/>
    <w:qFormat/>
    <w:pPr>
      <w:keepNext/>
      <w:keepLines/>
      <w:spacing w:before="40" w:after="0" w:line="256" w:lineRule="auto"/>
      <w:ind w:left="927" w:hanging="360"/>
      <w:jc w:val="both"/>
      <w:outlineLvl w:val="1"/>
    </w:pPr>
    <w:rPr>
      <w:rFonts w:ascii="Palatino Linotype" w:eastAsia="Palatino Linotype" w:hAnsi="Palatino Linotype" w:cs="Palatino Linotype"/>
      <w:b/>
      <w:color w:val="000000"/>
    </w:rPr>
  </w:style>
  <w:style w:type="paragraph" w:styleId="Balk3">
    <w:name w:val="heading 3"/>
    <w:basedOn w:val="Normal"/>
    <w:next w:val="Normal"/>
    <w:uiPriority w:val="9"/>
    <w:semiHidden/>
    <w:unhideWhenUsed/>
    <w:qFormat/>
    <w:pPr>
      <w:keepNext/>
      <w:keepLines/>
      <w:spacing w:before="40" w:after="0" w:line="256" w:lineRule="auto"/>
      <w:outlineLvl w:val="2"/>
    </w:pPr>
    <w:rPr>
      <w:rFonts w:ascii="Palatino Linotype" w:eastAsia="Palatino Linotype" w:hAnsi="Palatino Linotype" w:cs="Palatino Linotype"/>
    </w:rPr>
  </w:style>
  <w:style w:type="paragraph" w:styleId="Balk4">
    <w:name w:val="heading 4"/>
    <w:basedOn w:val="Normal"/>
    <w:next w:val="Normal"/>
    <w:uiPriority w:val="9"/>
    <w:semiHidden/>
    <w:unhideWhenUsed/>
    <w:qFormat/>
    <w:pPr>
      <w:keepNext/>
      <w:keepLines/>
      <w:spacing w:before="80" w:after="40"/>
      <w:outlineLvl w:val="3"/>
    </w:pPr>
    <w:rPr>
      <w:b/>
    </w:rPr>
  </w:style>
  <w:style w:type="paragraph" w:styleId="Balk5">
    <w:name w:val="heading 5"/>
    <w:basedOn w:val="Normal"/>
    <w:next w:val="Normal"/>
    <w:uiPriority w:val="9"/>
    <w:semiHidden/>
    <w:unhideWhenUsed/>
    <w:qFormat/>
    <w:pPr>
      <w:keepNext/>
      <w:keepLines/>
      <w:spacing w:before="80" w:after="40"/>
      <w:outlineLvl w:val="4"/>
    </w:pPr>
    <w:rPr>
      <w:color w:val="2F5496"/>
    </w:rPr>
  </w:style>
  <w:style w:type="paragraph" w:styleId="Balk6">
    <w:name w:val="heading 6"/>
    <w:basedOn w:val="Normal"/>
    <w:next w:val="Normal"/>
    <w:uiPriority w:val="9"/>
    <w:semiHidden/>
    <w:unhideWhenUsed/>
    <w:qFormat/>
    <w:pPr>
      <w:keepNext/>
      <w:keepLines/>
      <w:spacing w:before="40" w:after="0"/>
      <w:outlineLvl w:val="5"/>
    </w:pPr>
    <w:rPr>
      <w:i/>
      <w:color w:val="595959"/>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spacing w:after="80" w:line="240" w:lineRule="auto"/>
    </w:pPr>
    <w:rPr>
      <w:sz w:val="56"/>
      <w:szCs w:val="56"/>
    </w:rPr>
  </w:style>
  <w:style w:type="paragraph" w:styleId="Altyaz">
    <w:name w:val="Subtitle"/>
    <w:basedOn w:val="Normal"/>
    <w:next w:val="Normal"/>
    <w:uiPriority w:val="11"/>
    <w:qFormat/>
    <w:rPr>
      <w:color w:val="595959"/>
      <w:sz w:val="28"/>
      <w:szCs w:val="28"/>
    </w:rPr>
  </w:style>
  <w:style w:type="paragraph" w:styleId="Dzeltme">
    <w:name w:val="Revision"/>
    <w:hidden/>
    <w:uiPriority w:val="99"/>
    <w:semiHidden/>
    <w:rsid w:val="00E51CE3"/>
    <w:pPr>
      <w:spacing w:after="0" w:line="240" w:lineRule="auto"/>
    </w:pPr>
  </w:style>
  <w:style w:type="paragraph" w:styleId="ListeParagraf">
    <w:name w:val="List Paragraph"/>
    <w:basedOn w:val="Normal"/>
    <w:uiPriority w:val="34"/>
    <w:qFormat/>
    <w:rsid w:val="00340C74"/>
    <w:pPr>
      <w:ind w:left="720"/>
      <w:contextualSpacing/>
    </w:pPr>
  </w:style>
  <w:style w:type="paragraph" w:styleId="DipnotMetni">
    <w:name w:val="footnote text"/>
    <w:basedOn w:val="Normal"/>
    <w:link w:val="DipnotMetniChar"/>
    <w:uiPriority w:val="99"/>
    <w:semiHidden/>
    <w:unhideWhenUsed/>
    <w:rsid w:val="00586784"/>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586784"/>
    <w:rPr>
      <w:sz w:val="20"/>
      <w:szCs w:val="20"/>
    </w:rPr>
  </w:style>
  <w:style w:type="character" w:styleId="DipnotBavurusu">
    <w:name w:val="footnote reference"/>
    <w:basedOn w:val="VarsaylanParagrafYazTipi"/>
    <w:uiPriority w:val="99"/>
    <w:semiHidden/>
    <w:unhideWhenUsed/>
    <w:rsid w:val="00586784"/>
    <w:rPr>
      <w:vertAlign w:val="superscript"/>
    </w:rPr>
  </w:style>
  <w:style w:type="paragraph" w:styleId="NormalWeb">
    <w:name w:val="Normal (Web)"/>
    <w:basedOn w:val="Normal"/>
    <w:uiPriority w:val="99"/>
    <w:semiHidden/>
    <w:unhideWhenUsed/>
    <w:rsid w:val="009F07BE"/>
    <w:rPr>
      <w:rFonts w:ascii="Times New Roman" w:hAnsi="Times New Roman" w:cs="Times New Roman"/>
      <w:sz w:val="24"/>
      <w:szCs w:val="24"/>
    </w:rPr>
  </w:style>
  <w:style w:type="numbering" w:customStyle="1" w:styleId="Stil1">
    <w:name w:val="Stil1"/>
    <w:uiPriority w:val="99"/>
    <w:rsid w:val="004647E0"/>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91F4F-2032-4AF5-B330-D82F16DE1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15</Pages>
  <Words>7873</Words>
  <Characters>44880</Characters>
  <Application>Microsoft Office Word</Application>
  <DocSecurity>0</DocSecurity>
  <Lines>374</Lines>
  <Paragraphs>105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 Y</cp:lastModifiedBy>
  <cp:revision>4</cp:revision>
  <dcterms:created xsi:type="dcterms:W3CDTF">2026-08-08T08:09:00Z</dcterms:created>
  <dcterms:modified xsi:type="dcterms:W3CDTF">2026-08-08T21:56:00Z</dcterms:modified>
</cp:coreProperties>
</file>