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764AA" w:rsidRDefault="00000000">
      <w:pPr>
        <w:spacing w:after="40"/>
        <w:jc w:val="center"/>
      </w:pPr>
      <w:r>
        <w:rPr>
          <w:b/>
          <w:bCs/>
          <w:sz w:val="22"/>
          <w:szCs w:val="22"/>
        </w:rPr>
        <w:t>…………AĞIR CEZA MAHKEMESİ BAŞKANLIĞINA</w:t>
      </w:r>
    </w:p>
    <w:p w:rsidR="008764AA" w:rsidRDefault="00000000">
      <w:pPr>
        <w:spacing w:after="160"/>
        <w:jc w:val="center"/>
      </w:pPr>
      <w:r w:rsidRPr="00934C33">
        <w:rPr>
          <w:i/>
          <w:iCs/>
          <w:sz w:val="22"/>
          <w:szCs w:val="22"/>
          <w:highlight w:val="yellow"/>
        </w:rPr>
        <w:t>(Hükmü veren ilk derece ağır ceza mahkemesinin adı yazılmalı)</w:t>
      </w:r>
    </w:p>
    <w:p w:rsidR="008764AA" w:rsidRDefault="00000000">
      <w:pPr>
        <w:spacing w:before="80" w:after="60"/>
        <w:jc w:val="both"/>
      </w:pPr>
      <w:r>
        <w:rPr>
          <w:b/>
          <w:bCs/>
          <w:sz w:val="22"/>
          <w:szCs w:val="22"/>
        </w:rPr>
        <w:t>Dosya No:</w:t>
      </w:r>
      <w:r>
        <w:rPr>
          <w:sz w:val="22"/>
          <w:szCs w:val="22"/>
        </w:rPr>
        <w:t xml:space="preserve">…/...E,/… K.  </w:t>
      </w:r>
      <w:r w:rsidRPr="00934C33">
        <w:rPr>
          <w:sz w:val="22"/>
          <w:szCs w:val="22"/>
          <w:highlight w:val="yellow"/>
        </w:rPr>
        <w:t>(İlk derece mahkemesi dava dosya numarası yazılmalı)</w:t>
      </w:r>
    </w:p>
    <w:p w:rsidR="008764AA" w:rsidRDefault="008764AA">
      <w:pPr>
        <w:spacing w:before="80" w:after="40"/>
        <w:jc w:val="both"/>
      </w:pPr>
    </w:p>
    <w:p w:rsidR="008764AA" w:rsidRDefault="00000000">
      <w:pPr>
        <w:spacing w:before="80" w:after="40"/>
        <w:jc w:val="both"/>
      </w:pPr>
      <w:r>
        <w:rPr>
          <w:b/>
          <w:bCs/>
          <w:sz w:val="22"/>
          <w:szCs w:val="22"/>
        </w:rPr>
        <w:t xml:space="preserve">Talepte Bulunan Hükümlü                         : </w:t>
      </w:r>
    </w:p>
    <w:p w:rsidR="008764AA" w:rsidRDefault="00000000">
      <w:pPr>
        <w:spacing w:before="80" w:after="40"/>
        <w:jc w:val="both"/>
      </w:pPr>
      <w:r>
        <w:rPr>
          <w:b/>
          <w:bCs/>
          <w:sz w:val="22"/>
          <w:szCs w:val="22"/>
        </w:rPr>
        <w:t xml:space="preserve">Talepte Bulunan                                       : </w:t>
      </w:r>
      <w:r w:rsidRPr="00934C33">
        <w:rPr>
          <w:sz w:val="22"/>
          <w:szCs w:val="22"/>
          <w:highlight w:val="yellow"/>
        </w:rPr>
        <w:t>(Vasi ya da eş talepte bulunuyorsa, o kişinin bilgileri. Eğer kişi kendisi başvuru yapacaksa bu kısmı doldurmaya gerek yok)</w:t>
      </w:r>
    </w:p>
    <w:p w:rsidR="008764AA" w:rsidRDefault="00000000">
      <w:pPr>
        <w:spacing w:before="40" w:after="40"/>
        <w:jc w:val="both"/>
      </w:pPr>
      <w:r>
        <w:rPr>
          <w:b/>
          <w:bCs/>
          <w:sz w:val="22"/>
          <w:szCs w:val="22"/>
        </w:rPr>
        <w:t xml:space="preserve">Talep Konusu                                           :  </w:t>
      </w:r>
      <w:r>
        <w:rPr>
          <w:sz w:val="22"/>
          <w:szCs w:val="22"/>
        </w:rPr>
        <w:t xml:space="preserve">Avrupa İnsan Hakları Mahkemesi'nin (AİHM) </w:t>
      </w:r>
      <w:r>
        <w:rPr>
          <w:i/>
          <w:iCs/>
          <w:sz w:val="22"/>
          <w:szCs w:val="22"/>
        </w:rPr>
        <w:t>Dönmez ve Diğerleri/Türkiye</w:t>
      </w:r>
      <w:r>
        <w:rPr>
          <w:sz w:val="22"/>
          <w:szCs w:val="22"/>
        </w:rPr>
        <w:t xml:space="preserve"> başvurusunda AİHS'in 7. maddesinden </w:t>
      </w:r>
      <w:r w:rsidR="00934C33">
        <w:rPr>
          <w:sz w:val="22"/>
          <w:szCs w:val="22"/>
        </w:rPr>
        <w:t>evrdiği ihlal kararı sonrası,</w:t>
      </w:r>
      <w:r>
        <w:rPr>
          <w:sz w:val="22"/>
          <w:szCs w:val="22"/>
        </w:rPr>
        <w:t xml:space="preserve"> Mahkemenizin …………. Tarihli, ………. E. ve ………..K.  sayılı kesinleşmiş kararın;</w:t>
      </w:r>
    </w:p>
    <w:p w:rsidR="008764AA" w:rsidRDefault="00000000">
      <w:pPr>
        <w:spacing w:before="80" w:after="40"/>
        <w:ind w:left="720"/>
        <w:jc w:val="both"/>
      </w:pPr>
      <w:r>
        <w:rPr>
          <w:sz w:val="22"/>
          <w:szCs w:val="22"/>
        </w:rPr>
        <w:t>- Öncelikle CMK'nın 311/1-f maddesi uyarınca yeniden yargılamaya konu yapılmasına,</w:t>
      </w:r>
    </w:p>
    <w:p w:rsidR="008764AA" w:rsidRDefault="00000000">
      <w:pPr>
        <w:spacing w:before="80" w:after="40"/>
        <w:ind w:left="720"/>
        <w:jc w:val="both"/>
      </w:pPr>
      <w:r>
        <w:rPr>
          <w:sz w:val="22"/>
          <w:szCs w:val="22"/>
        </w:rPr>
        <w:t xml:space="preserve">- Akabinde ise suçun yasal unsurları oluşmadan mahkumiyet kararı verildiği AİHM kararı ile tespit edildiğinden dolayı derhal </w:t>
      </w:r>
      <w:r w:rsidRPr="00934C33">
        <w:rPr>
          <w:sz w:val="22"/>
          <w:szCs w:val="22"/>
          <w:highlight w:val="yellow"/>
        </w:rPr>
        <w:t>beraatıma/eşimin/vasisi olduğum ...'in/müvekkilin</w:t>
      </w:r>
      <w:r>
        <w:rPr>
          <w:sz w:val="22"/>
          <w:szCs w:val="22"/>
        </w:rPr>
        <w:t xml:space="preserve"> beraatına karar verilmesine,</w:t>
      </w:r>
    </w:p>
    <w:p w:rsidR="008764AA" w:rsidRDefault="00000000">
      <w:pPr>
        <w:spacing w:before="80" w:after="40"/>
        <w:ind w:left="720"/>
        <w:jc w:val="both"/>
      </w:pPr>
      <w:r>
        <w:rPr>
          <w:sz w:val="22"/>
          <w:szCs w:val="22"/>
        </w:rPr>
        <w:t xml:space="preserve">- Yargılama sonuna kadar </w:t>
      </w:r>
      <w:r w:rsidRPr="00934C33">
        <w:rPr>
          <w:sz w:val="22"/>
          <w:szCs w:val="22"/>
          <w:highlight w:val="yellow"/>
        </w:rPr>
        <w:t>infazın/infazını (ilgili kişi tutukluysa</w:t>
      </w:r>
      <w:r>
        <w:rPr>
          <w:sz w:val="22"/>
          <w:szCs w:val="22"/>
        </w:rPr>
        <w:t>) tedbiren durdurulmasına,</w:t>
      </w:r>
    </w:p>
    <w:p w:rsidR="008764AA" w:rsidRDefault="00000000">
      <w:pPr>
        <w:spacing w:before="80" w:after="40"/>
        <w:ind w:left="720"/>
        <w:jc w:val="both"/>
      </w:pPr>
      <w:r>
        <w:rPr>
          <w:sz w:val="22"/>
          <w:szCs w:val="22"/>
        </w:rPr>
        <w:t xml:space="preserve">- Adli Sicil Yönetmeliğinin 3. ve 13/3. maddesi gereğince tali karar fişi </w:t>
      </w:r>
      <w:r w:rsidRPr="00934C33">
        <w:rPr>
          <w:b/>
          <w:bCs/>
          <w:sz w:val="22"/>
          <w:szCs w:val="22"/>
        </w:rPr>
        <w:t>DÜZENLENMESİNE,</w:t>
      </w:r>
      <w:r>
        <w:rPr>
          <w:sz w:val="22"/>
          <w:szCs w:val="22"/>
        </w:rPr>
        <w:t xml:space="preserve"> AİHM karar gereği yargılamanın yenilenmesi sonucunda verilecek beraat kararının kesinleşmesi ile birlikte önceki mahkûmiyet kararına ilişkin adlî sicil ve arşiv kaydının tamamen silinmesi amacıyla ek kararın ve düzenlenen tali karar fişinin adli sicil kaydına işlenmek üzere Adli Sicil İstatistik Müdürlüğüne </w:t>
      </w:r>
      <w:r w:rsidRPr="00934C33">
        <w:rPr>
          <w:b/>
          <w:bCs/>
          <w:sz w:val="22"/>
          <w:szCs w:val="22"/>
        </w:rPr>
        <w:t>GÖNDERİLMESİNE</w:t>
      </w:r>
      <w:r>
        <w:rPr>
          <w:sz w:val="22"/>
          <w:szCs w:val="22"/>
        </w:rPr>
        <w:t>,</w:t>
      </w:r>
    </w:p>
    <w:p w:rsidR="008764AA" w:rsidRDefault="00000000">
      <w:pPr>
        <w:spacing w:before="80" w:after="40"/>
        <w:ind w:left="720"/>
        <w:jc w:val="both"/>
      </w:pPr>
      <w:r>
        <w:rPr>
          <w:sz w:val="22"/>
          <w:szCs w:val="22"/>
        </w:rPr>
        <w:t xml:space="preserve">- İnfaz evraklarının işlemsiz olarak mahkemenize gönderilmesi için Cumhuriyet Başsavcılığına </w:t>
      </w:r>
      <w:r w:rsidRPr="00934C33">
        <w:rPr>
          <w:b/>
          <w:bCs/>
          <w:sz w:val="22"/>
          <w:szCs w:val="22"/>
        </w:rPr>
        <w:t>MÜZEKKERE YAZILMASINA,</w:t>
      </w:r>
    </w:p>
    <w:p w:rsidR="008764AA" w:rsidRDefault="00000000">
      <w:pPr>
        <w:spacing w:before="80" w:after="120"/>
        <w:jc w:val="both"/>
      </w:pPr>
      <w:r>
        <w:rPr>
          <w:sz w:val="22"/>
          <w:szCs w:val="22"/>
        </w:rPr>
        <w:t>karar verilmesi istemine ilişkindir.</w:t>
      </w:r>
    </w:p>
    <w:p w:rsidR="008764AA" w:rsidRDefault="00000000">
      <w:pPr>
        <w:spacing w:before="80" w:after="200"/>
        <w:jc w:val="both"/>
      </w:pPr>
      <w:r>
        <w:rPr>
          <w:b/>
          <w:bCs/>
          <w:sz w:val="22"/>
          <w:szCs w:val="22"/>
        </w:rPr>
        <w:t xml:space="preserve">Dayanılan Hukuki Kurallar               :    </w:t>
      </w:r>
      <w:r>
        <w:rPr>
          <w:sz w:val="22"/>
          <w:szCs w:val="22"/>
        </w:rPr>
        <w:t xml:space="preserve">CMK'nın 262/1 </w:t>
      </w:r>
      <w:r w:rsidRPr="00934C33">
        <w:rPr>
          <w:sz w:val="22"/>
          <w:szCs w:val="22"/>
          <w:highlight w:val="yellow"/>
        </w:rPr>
        <w:t>(eş veya vasi başvuracaksa bu madde yazılmalı, şahsi başvuru yapılacaksa çıkarılmalı)</w:t>
      </w:r>
      <w:r>
        <w:rPr>
          <w:sz w:val="22"/>
          <w:szCs w:val="22"/>
        </w:rPr>
        <w:t xml:space="preserve"> 311/1-f maddesi, AY'nin 90. maddesi ve AİHS'in 6., 7. ve 46. maddeleri.</w:t>
      </w:r>
    </w:p>
    <w:p w:rsidR="008764AA" w:rsidRDefault="00000000">
      <w:pPr>
        <w:spacing w:before="240" w:after="120"/>
        <w:jc w:val="center"/>
      </w:pPr>
      <w:r>
        <w:rPr>
          <w:b/>
          <w:bCs/>
          <w:sz w:val="22"/>
          <w:szCs w:val="22"/>
          <w:u w:val="single"/>
        </w:rPr>
        <w:t>AÇIKLAMALAR</w:t>
      </w:r>
    </w:p>
    <w:p w:rsidR="008764AA" w:rsidRPr="00934C33" w:rsidRDefault="00000000" w:rsidP="00934C33">
      <w:pPr>
        <w:spacing w:before="240" w:after="120"/>
        <w:jc w:val="both"/>
      </w:pPr>
      <w:r w:rsidRPr="00934C33">
        <w:rPr>
          <w:b/>
          <w:bCs/>
          <w:sz w:val="22"/>
          <w:szCs w:val="22"/>
          <w:highlight w:val="yellow"/>
        </w:rPr>
        <w:t>I. HAKKIMDA VERİLEN/ EŞİM HAKKINDA VERİLEN/VASİSİ OLDUĞUM ... HAKKINDA VERİLEN/MÜVEKKİL HAKKINDA VERİLEN MAHKUMİYET GEREKÇESİ</w:t>
      </w:r>
    </w:p>
    <w:p w:rsidR="008764AA" w:rsidRDefault="00000000">
      <w:pPr>
        <w:spacing w:before="80" w:after="80"/>
        <w:jc w:val="both"/>
      </w:pPr>
      <w:r>
        <w:rPr>
          <w:b/>
          <w:bCs/>
          <w:sz w:val="22"/>
          <w:szCs w:val="22"/>
        </w:rPr>
        <w:t xml:space="preserve">1.   </w:t>
      </w:r>
      <w:r>
        <w:rPr>
          <w:sz w:val="22"/>
          <w:szCs w:val="22"/>
        </w:rPr>
        <w:t xml:space="preserve">Mahkemenizin </w:t>
      </w:r>
      <w:r w:rsidRPr="00934C33">
        <w:rPr>
          <w:sz w:val="22"/>
          <w:szCs w:val="22"/>
          <w:highlight w:val="yellow"/>
        </w:rPr>
        <w:t>... tarihli, ….E. ve ….K….</w:t>
      </w:r>
      <w:r>
        <w:rPr>
          <w:sz w:val="22"/>
          <w:szCs w:val="22"/>
        </w:rPr>
        <w:t xml:space="preserve"> sayılı kararı ile TCK'nın 314/2. maddesi uyarınca silahlı terör örgütüne üyelik suçlaması ile </w:t>
      </w:r>
      <w:r w:rsidRPr="00934C33">
        <w:rPr>
          <w:sz w:val="22"/>
          <w:szCs w:val="22"/>
          <w:highlight w:val="yellow"/>
        </w:rPr>
        <w:t>…. hapis cezasına mahkum edildim/eşim-vasisi olduğum(kişi ismi yazılacak)/müvekkil mahkum edildi. Hakkımdaki/hakkındaki karar …</w:t>
      </w:r>
      <w:r>
        <w:rPr>
          <w:sz w:val="22"/>
          <w:szCs w:val="22"/>
        </w:rPr>
        <w:t>tarihinde kesinleşmiştir.</w:t>
      </w:r>
    </w:p>
    <w:p w:rsidR="008764AA" w:rsidRDefault="00000000">
      <w:pPr>
        <w:spacing w:before="80" w:after="80"/>
        <w:jc w:val="both"/>
      </w:pPr>
      <w:r>
        <w:rPr>
          <w:b/>
          <w:bCs/>
          <w:sz w:val="22"/>
          <w:szCs w:val="22"/>
        </w:rPr>
        <w:t xml:space="preserve">2.   </w:t>
      </w:r>
      <w:r>
        <w:rPr>
          <w:sz w:val="22"/>
          <w:szCs w:val="22"/>
        </w:rPr>
        <w:t>Hakkımdaki/hakkındaki mahkumiyet gerekçesi; sırasıyla (</w:t>
      </w:r>
      <w:r w:rsidRPr="00934C33">
        <w:rPr>
          <w:sz w:val="22"/>
          <w:szCs w:val="22"/>
          <w:highlight w:val="yellow"/>
        </w:rPr>
        <w:t>herkes kendi mahkumiyet gerekçesini yazmalı) ByLock uygulamasını indirmek, Bank Asya'da hesap açmak, …derneğine ve …sendikasına üye olmak, …x okulunda okumak, …x gazetesi ve dergisine abone olmak, …x aboneliğini sonlandırmak, … 1 Amerikan Doları bulundurmak, …x derneğine yardım etmek, …x tanığın beyanı ile cemaat sohbetlerine katılmak, çocuğunu …x okulunda okutturmak, örgüte üyelikten hakkında soruşturma açılmış olan xyz kişiler ile görüşmek, seçimlerde …x partisine veya (HSK ve vb kurum seçimlerinde) x grubuna destek vermek (vb)</w:t>
      </w:r>
      <w:r>
        <w:rPr>
          <w:sz w:val="22"/>
          <w:szCs w:val="22"/>
        </w:rPr>
        <w:t xml:space="preserve"> hususlarına dayandırılmıştır.</w:t>
      </w:r>
    </w:p>
    <w:p w:rsidR="008764AA" w:rsidRDefault="00000000">
      <w:pPr>
        <w:spacing w:before="80" w:after="80"/>
        <w:jc w:val="both"/>
      </w:pPr>
      <w:r>
        <w:rPr>
          <w:b/>
          <w:bCs/>
          <w:sz w:val="22"/>
          <w:szCs w:val="22"/>
        </w:rPr>
        <w:t xml:space="preserve">3.   </w:t>
      </w:r>
      <w:r>
        <w:rPr>
          <w:sz w:val="22"/>
          <w:szCs w:val="22"/>
        </w:rPr>
        <w:t>Bununla birlikte AİHM, anılan mahkûmiyet kararına ilişkin olarak, AİHS'in 7. maddesinde güvence altına alınan suç ve cezaların yasallığı ilkesinin ihlal edildiğine karar vermiştir. İşbu dilekçe, AİHM'in söz konusu ihlal kararı doğrultusunda yargılamanın yenilenmesi talebine ilişkindir.</w:t>
      </w:r>
    </w:p>
    <w:p w:rsidR="008764AA" w:rsidRPr="00934C33" w:rsidRDefault="00000000" w:rsidP="00934C33">
      <w:pPr>
        <w:spacing w:before="240" w:after="120"/>
        <w:jc w:val="both"/>
      </w:pPr>
      <w:r w:rsidRPr="00934C33">
        <w:rPr>
          <w:b/>
          <w:bCs/>
          <w:sz w:val="22"/>
          <w:szCs w:val="22"/>
        </w:rPr>
        <w:t>II. YARGILAMANIN YENİLENMESİ TALEBİNİN DAYANDIĞI HUKUKİ KURALLAR</w:t>
      </w:r>
    </w:p>
    <w:p w:rsidR="008764AA" w:rsidRDefault="00000000">
      <w:pPr>
        <w:spacing w:before="80" w:after="80"/>
        <w:jc w:val="both"/>
      </w:pPr>
      <w:r>
        <w:rPr>
          <w:b/>
          <w:bCs/>
          <w:sz w:val="22"/>
          <w:szCs w:val="22"/>
        </w:rPr>
        <w:t xml:space="preserve">4.   </w:t>
      </w:r>
      <w:r>
        <w:rPr>
          <w:sz w:val="22"/>
          <w:szCs w:val="22"/>
        </w:rPr>
        <w:t xml:space="preserve">Hükümlü lehine yargılamanın yenilenmesi nedenleri CMK'nın 311. maddesinde düzenlenmiştir. </w:t>
      </w:r>
      <w:r w:rsidRPr="00934C33">
        <w:rPr>
          <w:sz w:val="22"/>
          <w:szCs w:val="22"/>
          <w:highlight w:val="yellow"/>
        </w:rPr>
        <w:t>Lehime/eşimin lehine/Müvekkil</w:t>
      </w:r>
      <w:r>
        <w:rPr>
          <w:sz w:val="22"/>
          <w:szCs w:val="22"/>
        </w:rPr>
        <w:t xml:space="preserve"> açısından yargılamanın yenilenmesi dayanağını oluşturacak düzenleme aşağıdaki gibidir:</w:t>
      </w:r>
    </w:p>
    <w:p w:rsidR="00934C33" w:rsidRPr="00934C33" w:rsidRDefault="00000000" w:rsidP="00934C33">
      <w:pPr>
        <w:spacing w:before="80" w:after="80"/>
        <w:jc w:val="both"/>
        <w:rPr>
          <w:i/>
          <w:iCs/>
          <w:sz w:val="22"/>
          <w:szCs w:val="22"/>
        </w:rPr>
      </w:pPr>
      <w:r w:rsidRPr="00934C33">
        <w:rPr>
          <w:i/>
          <w:iCs/>
          <w:sz w:val="22"/>
          <w:szCs w:val="22"/>
        </w:rPr>
        <w:lastRenderedPageBreak/>
        <w:t xml:space="preserve">"Madde 311 – (1) Kesinleşen bir hükümle sonuçlanmış bir dava, aşağıda yazılı hâllerde hükümlü lehine olarak yargılamanın yenilenmesi yoluyla tekrar görülür: </w:t>
      </w:r>
    </w:p>
    <w:p w:rsidR="008764AA" w:rsidRPr="00934C33" w:rsidRDefault="00000000" w:rsidP="00934C33">
      <w:pPr>
        <w:spacing w:before="80" w:after="80"/>
        <w:jc w:val="both"/>
        <w:rPr>
          <w:i/>
          <w:iCs/>
        </w:rPr>
      </w:pPr>
      <w:r w:rsidRPr="00934C33">
        <w:rPr>
          <w:i/>
          <w:iCs/>
          <w:sz w:val="22"/>
          <w:szCs w:val="22"/>
        </w:rPr>
        <w:t>f) Ceza hükmünün, İnsan Haklarını ve Ana Hürriyetleri Korumaya Dair Sözleşmenin veya eki protokollerin ihlâli suretiyle verildiğinin ve hükmün bu aykırılığa dayandığının, Avrupa İnsan Hakları Mahkemesinin kesinleşmiş kararıyla tespit edilmiş olması veya ceza hükmü aleyhine Avrupa İnsan Hakları Mahkemesine yapılan başvuru hakkında dostane çözüm ya da tek taraflı deklarasyon sonucunda düşme kararı verilmesi. Bu hâlde yargılamanın yenilenmesi, Avrupa İnsan Hakları Mahkemesi kararının kesinleştiği tarihten itibaren bir yıl içinde istenebilir."</w:t>
      </w:r>
    </w:p>
    <w:p w:rsidR="008764AA" w:rsidRPr="00934C33" w:rsidRDefault="00000000" w:rsidP="00934C33">
      <w:pPr>
        <w:spacing w:before="240" w:after="120"/>
        <w:jc w:val="both"/>
      </w:pPr>
      <w:r w:rsidRPr="00934C33">
        <w:rPr>
          <w:b/>
          <w:bCs/>
          <w:sz w:val="22"/>
          <w:szCs w:val="22"/>
        </w:rPr>
        <w:t>III.   YARGILAMANIN YENİLENMESİ TALEBİNİN NEDENİ VE DÖNMEZ VE DİĞERLERİ, YALÇINKAYA VE YASAK KARARLARI ARASINDAKİ BAĞLANTI</w:t>
      </w:r>
    </w:p>
    <w:p w:rsidR="008764AA" w:rsidRDefault="00000000">
      <w:pPr>
        <w:spacing w:before="80" w:after="80"/>
        <w:jc w:val="both"/>
      </w:pPr>
      <w:r>
        <w:rPr>
          <w:b/>
          <w:bCs/>
          <w:sz w:val="22"/>
          <w:szCs w:val="22"/>
        </w:rPr>
        <w:t xml:space="preserve">5.   </w:t>
      </w:r>
      <w:r>
        <w:rPr>
          <w:sz w:val="22"/>
          <w:szCs w:val="22"/>
        </w:rPr>
        <w:t xml:space="preserve">AİHM, 23 Haziran 2026 tarihli </w:t>
      </w:r>
      <w:r>
        <w:rPr>
          <w:i/>
          <w:iCs/>
          <w:sz w:val="22"/>
          <w:szCs w:val="22"/>
        </w:rPr>
        <w:t>Dönmez ve Diğerleri</w:t>
      </w:r>
      <w:r>
        <w:rPr>
          <w:sz w:val="22"/>
          <w:szCs w:val="22"/>
        </w:rPr>
        <w:t xml:space="preserve"> kararında (kesinleşme: 23 Haziran 2026), aralarında </w:t>
      </w:r>
      <w:r w:rsidRPr="00934C33">
        <w:rPr>
          <w:sz w:val="22"/>
          <w:szCs w:val="22"/>
          <w:highlight w:val="yellow"/>
        </w:rPr>
        <w:t xml:space="preserve">şahsımın/eşimin/müvekkilin de </w:t>
      </w:r>
      <w:r w:rsidRPr="00934C33">
        <w:rPr>
          <w:b/>
          <w:bCs/>
          <w:sz w:val="22"/>
          <w:szCs w:val="22"/>
          <w:highlight w:val="yellow"/>
          <w:u w:val="single"/>
        </w:rPr>
        <w:t>kararın … sıra numarasında yer aldığı</w:t>
      </w:r>
      <w:r>
        <w:rPr>
          <w:sz w:val="22"/>
          <w:szCs w:val="22"/>
        </w:rPr>
        <w:t xml:space="preserve"> 34 başvurucu için AİHS'in 7. maddesinin (kanunsuz ceza olmaz ilkesi) ihlal edildiğine hükmetmiştir. Mahkeme, bu dosyada </w:t>
      </w:r>
      <w:r w:rsidRPr="00934C33">
        <w:rPr>
          <w:b/>
          <w:bCs/>
          <w:i/>
          <w:iCs/>
          <w:sz w:val="22"/>
          <w:szCs w:val="22"/>
        </w:rPr>
        <w:t>Yüksel Yalçınkaya</w:t>
      </w:r>
      <w:r w:rsidRPr="00934C33">
        <w:rPr>
          <w:b/>
          <w:bCs/>
          <w:sz w:val="22"/>
          <w:szCs w:val="22"/>
        </w:rPr>
        <w:t xml:space="preserve"> kararındaki ilkelerden ayrılmayı gerektirecek bir durum olmadığını belirtmiş; </w:t>
      </w:r>
      <w:r>
        <w:rPr>
          <w:sz w:val="22"/>
          <w:szCs w:val="22"/>
        </w:rPr>
        <w:t>Türk yargısının ByLock konusundaki "kategorik ve tek tip" yaklaşımının yapısal bir sorun olduğunu vurgulamıştır (Dönmez, §§ 9–12).</w:t>
      </w:r>
    </w:p>
    <w:p w:rsidR="008764AA" w:rsidRDefault="00000000">
      <w:pPr>
        <w:spacing w:before="80" w:after="80"/>
        <w:jc w:val="both"/>
      </w:pPr>
      <w:r>
        <w:rPr>
          <w:b/>
          <w:bCs/>
          <w:sz w:val="22"/>
          <w:szCs w:val="22"/>
        </w:rPr>
        <w:t xml:space="preserve">6.   </w:t>
      </w:r>
      <w:r>
        <w:rPr>
          <w:sz w:val="22"/>
          <w:szCs w:val="22"/>
        </w:rPr>
        <w:t xml:space="preserve">Kararın temelinde, mahkûmiyetlerin belirleyici delil olarak ByLock tespitine dayandırılması yatmaktadır. AİHM, incelenen dosyaların ortak noktasının ByLock verilerinin "kesin ve tartışmasız ispat aracı" sayılarak hüküm kurulması olduğunu saptamıştır. Mahkeme ayrıca, bu dosyalarda ByLock dışında yer alan ek delillerin — sendika/dernek üyeliği, Bank Asya hesap hareketleri, yasal yayınlara abonelik, HTS kayıtları, tanık beyanları ve benzeri faaliyetlerin — de tek başına ya da ByLock tespiti ile birlikte kategorik bir suç ispatı aracına dönüştürüldüğünü ve bu yaklaşımın </w:t>
      </w:r>
      <w:r>
        <w:rPr>
          <w:i/>
          <w:iCs/>
          <w:sz w:val="22"/>
          <w:szCs w:val="22"/>
        </w:rPr>
        <w:t>Yalçınkaya</w:t>
      </w:r>
      <w:r>
        <w:rPr>
          <w:sz w:val="22"/>
          <w:szCs w:val="22"/>
        </w:rPr>
        <w:t xml:space="preserve"> kararındaki ihlal gerekçelerinin kapsamına girdiğini teyit etmiştir (Dönmez, §§ 2, 10–11).</w:t>
      </w:r>
    </w:p>
    <w:p w:rsidR="008764AA" w:rsidRDefault="00000000">
      <w:pPr>
        <w:spacing w:before="80" w:after="80"/>
        <w:jc w:val="both"/>
      </w:pPr>
      <w:r>
        <w:rPr>
          <w:b/>
          <w:bCs/>
          <w:sz w:val="22"/>
          <w:szCs w:val="22"/>
        </w:rPr>
        <w:t xml:space="preserve">7.   </w:t>
      </w:r>
      <w:r>
        <w:rPr>
          <w:sz w:val="22"/>
          <w:szCs w:val="22"/>
        </w:rPr>
        <w:t xml:space="preserve">Ulusal mahkemeler, ByLock kullanımını doğrudan "örgüt üyeliği" ile eşdeğer tutan otomatik bir varsayımla hareket etmiştir. Bu yaklaşım, suçun oluşması için gereken "manevi unsurun (kastın)" araştırılmasını engellemiş ve kişisel sorumluluğu otomatik bir şekli suça indirgemiştir. AİHM, Hükümetin her bir dosyanın özgün koşullarına ilişkin savunmalarını dikkate almamış ve </w:t>
      </w:r>
      <w:r>
        <w:rPr>
          <w:i/>
          <w:iCs/>
          <w:sz w:val="22"/>
          <w:szCs w:val="22"/>
        </w:rPr>
        <w:t>Dönmez</w:t>
      </w:r>
      <w:r>
        <w:rPr>
          <w:sz w:val="22"/>
          <w:szCs w:val="22"/>
        </w:rPr>
        <w:t xml:space="preserve"> kararını da </w:t>
      </w:r>
      <w:r>
        <w:rPr>
          <w:i/>
          <w:iCs/>
          <w:sz w:val="22"/>
          <w:szCs w:val="22"/>
        </w:rPr>
        <w:t>Yalçınkaya</w:t>
      </w:r>
      <w:r>
        <w:rPr>
          <w:sz w:val="22"/>
          <w:szCs w:val="22"/>
        </w:rPr>
        <w:t xml:space="preserve"> kararındaki "sistemik sorunlar" çerçevesinde değerlendirmiştir. Mahkemeye göre belirleyici olan, dosya detaylarından ziyade, ByLock'a ulusal ölçekte atfedilen kategorik ispat gücü ve uygulanan tek tip yargılama pratiğidir (Dönmez, §§ 9–10; Yalçınkaya, §§ 257, 262–271).</w:t>
      </w:r>
    </w:p>
    <w:p w:rsidR="008764AA" w:rsidRDefault="00000000">
      <w:pPr>
        <w:spacing w:before="80" w:after="80"/>
        <w:jc w:val="both"/>
      </w:pPr>
      <w:r>
        <w:rPr>
          <w:b/>
          <w:bCs/>
          <w:sz w:val="22"/>
          <w:szCs w:val="22"/>
        </w:rPr>
        <w:t xml:space="preserve">8.   </w:t>
      </w:r>
      <w:r>
        <w:rPr>
          <w:sz w:val="22"/>
          <w:szCs w:val="22"/>
        </w:rPr>
        <w:t xml:space="preserve">AİHS 7. Madde (Kanunilik) Yönünden: ByLock kullanımının otomatik olarak "bilerek ve isteyerek örgüt üyeliği" sayılması, yasaların sanık aleyhine öngörülemez ve genişletici şekilde yorumlanmasıdır. Mahkeme, bu durumun hukuki belirlilik ilkesine aykırı olduğunu ve sistemik bir ihlal oluşturduğunu teyit etmiştir. Nitekim AİHM, </w:t>
      </w:r>
      <w:r>
        <w:rPr>
          <w:i/>
          <w:iCs/>
          <w:sz w:val="22"/>
          <w:szCs w:val="22"/>
        </w:rPr>
        <w:t>Dönmez</w:t>
      </w:r>
      <w:r>
        <w:rPr>
          <w:sz w:val="22"/>
          <w:szCs w:val="22"/>
        </w:rPr>
        <w:t xml:space="preserve"> kararında ByLock kullanıcılarına uygulanan bu otomatik nitelendirme yaklaşımının suçun unsurlarına ilişkin bireysel değerlendirmeyi imkânsız kıldığını ve yasallık ilkesiyle bağdaşmadığını açıkça saptamıştır (Dönmez, §§ 11–12; Yalçınkaya, §§ 271–272).</w:t>
      </w:r>
    </w:p>
    <w:p w:rsidR="008764AA" w:rsidRDefault="00000000">
      <w:pPr>
        <w:spacing w:before="80" w:after="80"/>
        <w:jc w:val="both"/>
      </w:pPr>
      <w:r>
        <w:rPr>
          <w:b/>
          <w:bCs/>
          <w:sz w:val="22"/>
          <w:szCs w:val="22"/>
        </w:rPr>
        <w:t xml:space="preserve">9.   </w:t>
      </w:r>
      <w:r w:rsidR="00934C33">
        <w:rPr>
          <w:sz w:val="22"/>
          <w:szCs w:val="22"/>
        </w:rPr>
        <w:t>M</w:t>
      </w:r>
      <w:r>
        <w:rPr>
          <w:sz w:val="22"/>
          <w:szCs w:val="22"/>
        </w:rPr>
        <w:t xml:space="preserve">evcut 7. madde ihlalinin tespiti, başvurucuların </w:t>
      </w:r>
      <w:r>
        <w:rPr>
          <w:i/>
          <w:iCs/>
          <w:sz w:val="22"/>
          <w:szCs w:val="22"/>
        </w:rPr>
        <w:t>Yalçınkaya</w:t>
      </w:r>
      <w:r>
        <w:rPr>
          <w:sz w:val="22"/>
          <w:szCs w:val="22"/>
        </w:rPr>
        <w:t xml:space="preserve"> kararındaki ilkeler ışığında yeniden yargılanma talebinde bulunabilmelerine imkân tanımaktadır. Bununla birlikte Mahkeme, 7. madde kapsamındaki ihlale yol açan temel sorunların (yargının tek tip yaklaşımı, delil değerlendirmesi ve ByLock kullanımının nitelendirilmesi) </w:t>
      </w:r>
      <w:r>
        <w:rPr>
          <w:i/>
          <w:iCs/>
          <w:sz w:val="22"/>
          <w:szCs w:val="22"/>
        </w:rPr>
        <w:t>Yalçınkaya</w:t>
      </w:r>
      <w:r>
        <w:rPr>
          <w:sz w:val="22"/>
          <w:szCs w:val="22"/>
        </w:rPr>
        <w:t xml:space="preserve"> kararında 6. madde ihlallerine de yol açan sorunlarla birebir aynı olduğunu saptamıştır. Dolayısıyla </w:t>
      </w:r>
      <w:r>
        <w:rPr>
          <w:i/>
          <w:iCs/>
          <w:sz w:val="22"/>
          <w:szCs w:val="22"/>
        </w:rPr>
        <w:t>Yalçınkaya</w:t>
      </w:r>
      <w:r>
        <w:rPr>
          <w:sz w:val="22"/>
          <w:szCs w:val="22"/>
        </w:rPr>
        <w:t xml:space="preserve"> kararındaki 6. maddeye ilişkin ihlal gerekçeleri bu dosya bakımından da geçerliliğini korumaktadır (Dönmez, §§ 14–15; Yalçınkaya, § 425).</w:t>
      </w:r>
    </w:p>
    <w:p w:rsidR="008764AA" w:rsidRDefault="00000000">
      <w:pPr>
        <w:spacing w:before="80" w:after="80"/>
        <w:jc w:val="both"/>
      </w:pPr>
      <w:r>
        <w:rPr>
          <w:b/>
          <w:bCs/>
          <w:sz w:val="22"/>
          <w:szCs w:val="22"/>
        </w:rPr>
        <w:t xml:space="preserve">10.   </w:t>
      </w:r>
      <w:r>
        <w:rPr>
          <w:sz w:val="22"/>
          <w:szCs w:val="22"/>
        </w:rPr>
        <w:t xml:space="preserve">AİHM Büyük Dairesi'nin 5 Mayıs 2026 tarihli </w:t>
      </w:r>
      <w:r>
        <w:rPr>
          <w:i/>
          <w:iCs/>
          <w:sz w:val="22"/>
          <w:szCs w:val="22"/>
        </w:rPr>
        <w:t>Yasak/Türkiye</w:t>
      </w:r>
      <w:r>
        <w:rPr>
          <w:sz w:val="22"/>
          <w:szCs w:val="22"/>
        </w:rPr>
        <w:t xml:space="preserve"> kararı (B.No: 17389/20), </w:t>
      </w:r>
      <w:r>
        <w:rPr>
          <w:i/>
          <w:iCs/>
          <w:sz w:val="22"/>
          <w:szCs w:val="22"/>
        </w:rPr>
        <w:t>Dönmez</w:t>
      </w:r>
      <w:r>
        <w:rPr>
          <w:sz w:val="22"/>
          <w:szCs w:val="22"/>
        </w:rPr>
        <w:t xml:space="preserve"> kararında da atıfta bulunulan (§ 11) bu yapısal sorunları çok daha geniş bir delil yelpazesi üzerinden ele almış ve cezai sorumluluğun tespiti için zorunlu olan "manevi unsur" (mens rea / suç kastı) şartını net sınırlarla belirlemiştir. Büyük Daire, salt ByLock değil, çok daha çeşitli delillere dayalı mahkûmiyetleri incelemiş ve eylemler ne denli çeşitli olursa olsun, maddi ve manevi unsurlar somut bir biçimde bireyselleştirilerek incelenmeksizin verilen kararların 7. maddeyi açıkça ihlal edeceğini hüküm altına almıştır. AİHM ayrıca </w:t>
      </w:r>
      <w:r>
        <w:rPr>
          <w:i/>
          <w:iCs/>
          <w:sz w:val="22"/>
          <w:szCs w:val="22"/>
        </w:rPr>
        <w:t>Dönmez</w:t>
      </w:r>
      <w:r>
        <w:rPr>
          <w:sz w:val="22"/>
          <w:szCs w:val="22"/>
        </w:rPr>
        <w:t xml:space="preserve"> kararında ByLock dışındaki ek delillerin mevcudiyetinin bazı </w:t>
      </w:r>
      <w:r>
        <w:rPr>
          <w:sz w:val="22"/>
          <w:szCs w:val="22"/>
        </w:rPr>
        <w:lastRenderedPageBreak/>
        <w:t xml:space="preserve">başvurucular açısından organik bağı gösterebileceğini kaydetmiş; ancak bunu </w:t>
      </w:r>
      <w:r>
        <w:rPr>
          <w:i/>
          <w:iCs/>
          <w:sz w:val="22"/>
          <w:szCs w:val="22"/>
        </w:rPr>
        <w:t>Yasak</w:t>
      </w:r>
      <w:r>
        <w:rPr>
          <w:sz w:val="22"/>
          <w:szCs w:val="22"/>
        </w:rPr>
        <w:t xml:space="preserve"> kararındaki Sözleşme gereklilikleri çerçevesinde değerlendirmiştir (Dönmez, § 11; Yasak, §§ 200-213).</w:t>
      </w:r>
    </w:p>
    <w:p w:rsidR="008764AA" w:rsidRDefault="00000000">
      <w:pPr>
        <w:spacing w:before="80" w:after="80"/>
        <w:jc w:val="both"/>
      </w:pPr>
      <w:r>
        <w:rPr>
          <w:b/>
          <w:bCs/>
          <w:sz w:val="22"/>
          <w:szCs w:val="22"/>
        </w:rPr>
        <w:t xml:space="preserve">11.   </w:t>
      </w:r>
      <w:r>
        <w:rPr>
          <w:sz w:val="22"/>
          <w:szCs w:val="22"/>
        </w:rPr>
        <w:t xml:space="preserve">Büyük Daire </w:t>
      </w:r>
      <w:r>
        <w:rPr>
          <w:i/>
          <w:iCs/>
          <w:sz w:val="22"/>
          <w:szCs w:val="22"/>
        </w:rPr>
        <w:t>Yasak</w:t>
      </w:r>
      <w:r>
        <w:rPr>
          <w:sz w:val="22"/>
          <w:szCs w:val="22"/>
        </w:rPr>
        <w:t xml:space="preserve"> kararında üç </w:t>
      </w:r>
      <w:r w:rsidR="00934C33">
        <w:rPr>
          <w:sz w:val="22"/>
          <w:szCs w:val="22"/>
        </w:rPr>
        <w:t>önemli husus</w:t>
      </w:r>
      <w:r>
        <w:rPr>
          <w:sz w:val="22"/>
          <w:szCs w:val="22"/>
        </w:rPr>
        <w:t xml:space="preserve"> ortaya koymuştur. </w:t>
      </w:r>
      <w:r w:rsidRPr="00934C33">
        <w:rPr>
          <w:b/>
          <w:bCs/>
          <w:sz w:val="22"/>
          <w:szCs w:val="22"/>
        </w:rPr>
        <w:t>İlk olarak,</w:t>
      </w:r>
      <w:r>
        <w:rPr>
          <w:sz w:val="22"/>
          <w:szCs w:val="22"/>
        </w:rPr>
        <w:t xml:space="preserve"> söz konusu yapının 15 Temmuz 2016 öncesinde devletin bilgisi ve denetimi altında eğitim, sağlık ve finans alanlarında yasal olarak faaliyet gösterdiğini vurgulayan Büyük Daire, bu gerçeklik karşısında ulusal mahkemelerin kişilerin yapıyla temasını "masum bir katılım" mı yoksa "bilinçli bir terörist projeye iştirak" mi olduğunu bireyselleştirilmiş biçimde irdelemek zorunda olduğunu hükme bağlamıştır (Yasak, §§ 205, 208). </w:t>
      </w:r>
      <w:r w:rsidRPr="00934C33">
        <w:rPr>
          <w:b/>
          <w:bCs/>
          <w:sz w:val="22"/>
          <w:szCs w:val="22"/>
        </w:rPr>
        <w:t>İkinci olarak</w:t>
      </w:r>
      <w:r>
        <w:rPr>
          <w:sz w:val="22"/>
          <w:szCs w:val="22"/>
        </w:rPr>
        <w:t xml:space="preserve"> Mahkeme "zamansal" bir değerlendirme yapmış; 2014 yılına veya 15 Temmuz öncesine dair eylemlerin kasıt unsurunu oluşturduğunun varsayımlara değil somut maddi gerçeklere dayandırılması gerektiğini belirtmiştir (Yasak, § 205). </w:t>
      </w:r>
      <w:r w:rsidRPr="00934C33">
        <w:rPr>
          <w:b/>
          <w:bCs/>
          <w:sz w:val="22"/>
          <w:szCs w:val="22"/>
        </w:rPr>
        <w:t>Üçüncü olarak</w:t>
      </w:r>
      <w:r>
        <w:rPr>
          <w:sz w:val="22"/>
          <w:szCs w:val="22"/>
        </w:rPr>
        <w:t xml:space="preserve"> ise Yargıtay'ın örgüte atfettiği 7 katmanlı hiyerarşik yapının muğlak tasvirinin, ulusal mahkemelerce kişinin kastı üzerinden somutlaştırılmadan otomatik bir cezalandırma gerekçesine dönüştürülmesini doğrudan 7. madde ihlali olarak nitelendirmiştir (Yasak, § 210).</w:t>
      </w:r>
    </w:p>
    <w:p w:rsidR="008764AA" w:rsidRPr="00934C33" w:rsidRDefault="00000000">
      <w:pPr>
        <w:spacing w:before="80" w:after="80"/>
        <w:jc w:val="both"/>
        <w:rPr>
          <w:b/>
          <w:bCs/>
        </w:rPr>
      </w:pPr>
      <w:r>
        <w:rPr>
          <w:b/>
          <w:bCs/>
          <w:sz w:val="22"/>
          <w:szCs w:val="22"/>
        </w:rPr>
        <w:t xml:space="preserve">12.   </w:t>
      </w:r>
      <w:r>
        <w:rPr>
          <w:sz w:val="22"/>
          <w:szCs w:val="22"/>
        </w:rPr>
        <w:t xml:space="preserve">Bu üç kararın — </w:t>
      </w:r>
      <w:r>
        <w:rPr>
          <w:i/>
          <w:iCs/>
          <w:sz w:val="22"/>
          <w:szCs w:val="22"/>
        </w:rPr>
        <w:t>Yalçınkaya</w:t>
      </w:r>
      <w:r>
        <w:rPr>
          <w:sz w:val="22"/>
          <w:szCs w:val="22"/>
        </w:rPr>
        <w:t xml:space="preserve">, </w:t>
      </w:r>
      <w:r>
        <w:rPr>
          <w:i/>
          <w:iCs/>
          <w:sz w:val="22"/>
          <w:szCs w:val="22"/>
        </w:rPr>
        <w:t>Dönmez</w:t>
      </w:r>
      <w:r>
        <w:rPr>
          <w:sz w:val="22"/>
          <w:szCs w:val="22"/>
        </w:rPr>
        <w:t xml:space="preserve"> ve </w:t>
      </w:r>
      <w:r>
        <w:rPr>
          <w:i/>
          <w:iCs/>
          <w:sz w:val="22"/>
          <w:szCs w:val="22"/>
        </w:rPr>
        <w:t>Yasak</w:t>
      </w:r>
      <w:r>
        <w:rPr>
          <w:sz w:val="22"/>
          <w:szCs w:val="22"/>
        </w:rPr>
        <w:t xml:space="preserve"> — birlikte okunması, Türk yargısındaki yapısal sorunun tüm boyutlarını ortaya koymaktadır. </w:t>
      </w:r>
      <w:r>
        <w:rPr>
          <w:i/>
          <w:iCs/>
          <w:sz w:val="22"/>
          <w:szCs w:val="22"/>
        </w:rPr>
        <w:t>Yalçınkaya</w:t>
      </w:r>
      <w:r>
        <w:rPr>
          <w:sz w:val="22"/>
          <w:szCs w:val="22"/>
        </w:rPr>
        <w:t xml:space="preserve"> kararı otomatik mahkûmiyet, öngörülebilirlik, kanunilik ve delillerin bireyselleştirilmeden kullanılmasının hukuka aykırılığını saptamıştır. </w:t>
      </w:r>
      <w:r>
        <w:rPr>
          <w:i/>
          <w:iCs/>
          <w:sz w:val="22"/>
          <w:szCs w:val="22"/>
        </w:rPr>
        <w:t>Dönmez</w:t>
      </w:r>
      <w:r>
        <w:rPr>
          <w:sz w:val="22"/>
          <w:szCs w:val="22"/>
        </w:rPr>
        <w:t xml:space="preserve"> kararı, 34 başvurucu örneğinde bu ihlallerin yapısal niteliğini ve bireysel dosya özelliklerinden bağımsız olarak uygulandığını teyit etmiştir. </w:t>
      </w:r>
      <w:r>
        <w:rPr>
          <w:i/>
          <w:iCs/>
          <w:sz w:val="22"/>
          <w:szCs w:val="22"/>
        </w:rPr>
        <w:t>Yasak</w:t>
      </w:r>
      <w:r>
        <w:rPr>
          <w:sz w:val="22"/>
          <w:szCs w:val="22"/>
        </w:rPr>
        <w:t xml:space="preserve"> kararı ise sorunu en temele indirerek, hangi delile dayanılırsa dayanılsın, kişinin yapının şiddet içeren amaçlarını bilip bilmediğinin (manevi unsurun) mutlaka bireysel ve somut biçimde ispat edilmesini zorunlu kılmıştır. </w:t>
      </w:r>
      <w:r w:rsidRPr="00934C33">
        <w:rPr>
          <w:b/>
          <w:bCs/>
          <w:sz w:val="22"/>
          <w:szCs w:val="22"/>
        </w:rPr>
        <w:t>Bu üç karar ayrı ayrı değil, birbirini tamamlayan bir bütün olarak uygulanmak zorundadır. İhlalin giderilmesi için en uygun yol CMK 311/1-f maddesi uyarınca yargılamanın yenilenmesidir (Dönmez, § 17; Yalçınkaya, § 425).</w:t>
      </w:r>
    </w:p>
    <w:p w:rsidR="008764AA" w:rsidRPr="00934C33" w:rsidRDefault="00000000" w:rsidP="00934C33">
      <w:pPr>
        <w:spacing w:before="240" w:after="120"/>
        <w:jc w:val="both"/>
      </w:pPr>
      <w:r w:rsidRPr="00934C33">
        <w:rPr>
          <w:b/>
          <w:bCs/>
          <w:sz w:val="22"/>
          <w:szCs w:val="22"/>
        </w:rPr>
        <w:t>IV. AİHM'İN SÖZLEŞMENİN 7. MADDESİNDEN VERDİĞİ İHLALİN GEREKÇELERİ VE MAHKEMEDEN TALEPLER</w:t>
      </w:r>
    </w:p>
    <w:p w:rsidR="008764AA" w:rsidRDefault="00000000">
      <w:pPr>
        <w:spacing w:before="80" w:after="80"/>
        <w:jc w:val="both"/>
      </w:pPr>
      <w:r>
        <w:rPr>
          <w:b/>
          <w:bCs/>
          <w:sz w:val="22"/>
          <w:szCs w:val="22"/>
        </w:rPr>
        <w:t xml:space="preserve">13.   </w:t>
      </w:r>
      <w:r>
        <w:rPr>
          <w:sz w:val="22"/>
          <w:szCs w:val="22"/>
        </w:rPr>
        <w:t xml:space="preserve">AİHM, </w:t>
      </w:r>
      <w:r>
        <w:rPr>
          <w:i/>
          <w:iCs/>
          <w:sz w:val="22"/>
          <w:szCs w:val="22"/>
        </w:rPr>
        <w:t>Dönmez ve Diğerleri</w:t>
      </w:r>
      <w:r>
        <w:rPr>
          <w:sz w:val="22"/>
          <w:szCs w:val="22"/>
        </w:rPr>
        <w:t xml:space="preserve"> kararında (§§ 9–12), </w:t>
      </w:r>
      <w:r>
        <w:rPr>
          <w:i/>
          <w:iCs/>
          <w:sz w:val="22"/>
          <w:szCs w:val="22"/>
        </w:rPr>
        <w:t>Yüksel Yalçınkaya</w:t>
      </w:r>
      <w:r>
        <w:rPr>
          <w:sz w:val="22"/>
          <w:szCs w:val="22"/>
        </w:rPr>
        <w:t xml:space="preserve"> içtihadından ayrılmayı gerektirecek bir durum olmadığını açıkça ortaya koymuş ve her iki dosyada da "kanunsuz ceza olmaz" ilkesini (AİHS m. 7) ihlal eden temel sorunun aynı olduğunu vurgulamıştır. Mahkeme, TCK'nın 314/2. maddesinin ulusal mahkemelerce aşırı geniş ve öngörülemez biçimde yorumlandığını; sırf ByLock kullanımının örgüt üyeliğinin kesin kanıtı sayılmasının, </w:t>
      </w:r>
      <w:r w:rsidRPr="00934C33">
        <w:rPr>
          <w:b/>
          <w:bCs/>
          <w:sz w:val="22"/>
          <w:szCs w:val="22"/>
        </w:rPr>
        <w:t>suçun hem maddi hem de manevi unsurlarının</w:t>
      </w:r>
      <w:r>
        <w:rPr>
          <w:sz w:val="22"/>
          <w:szCs w:val="22"/>
        </w:rPr>
        <w:t xml:space="preserve"> kişiselleştirilmesini engelleyerek yasallık ve öngörülebilirlik ilkelerini ihlal ettiğini tespit etmiştir (Dönmez, § 11; Yalçınkaya §§ 237-238, 257, 264-266). Ceza hukuku kurallarının sanık aleyhine geriye yürütülemez ve kıyas yoluyla genişletilemez olduğu vurgulanmıştır (Yalçınkaya §§ 237-238, 267).</w:t>
      </w:r>
    </w:p>
    <w:p w:rsidR="008764AA" w:rsidRPr="00934C33" w:rsidRDefault="00000000">
      <w:pPr>
        <w:spacing w:before="80" w:after="80"/>
        <w:jc w:val="both"/>
        <w:rPr>
          <w:b/>
          <w:bCs/>
        </w:rPr>
      </w:pPr>
      <w:r>
        <w:rPr>
          <w:b/>
          <w:bCs/>
          <w:sz w:val="22"/>
          <w:szCs w:val="22"/>
        </w:rPr>
        <w:t xml:space="preserve">14.   </w:t>
      </w:r>
      <w:r>
        <w:rPr>
          <w:sz w:val="22"/>
          <w:szCs w:val="22"/>
        </w:rPr>
        <w:t xml:space="preserve">AİHM Büyük Dairesi'nin yakın zamanda verdiği </w:t>
      </w:r>
      <w:r w:rsidRPr="00934C33">
        <w:rPr>
          <w:b/>
          <w:bCs/>
          <w:i/>
          <w:iCs/>
          <w:sz w:val="22"/>
          <w:szCs w:val="22"/>
        </w:rPr>
        <w:t>Yasak/Türkiye</w:t>
      </w:r>
      <w:r w:rsidRPr="00934C33">
        <w:rPr>
          <w:b/>
          <w:bCs/>
          <w:sz w:val="22"/>
          <w:szCs w:val="22"/>
        </w:rPr>
        <w:t xml:space="preserve"> kararı (B.No: 17389/20) ise bu ihlal tespitlerini çok daha geniş bir delil yelpazesi üzerinden ele almış ve cezai sorumluluğun tespiti için zorunlu olan "manevi unsur" (mens rea / suç kastı) şartını net sınırlarla çizmiştir. </w:t>
      </w:r>
      <w:r w:rsidRPr="00934C33">
        <w:rPr>
          <w:b/>
          <w:bCs/>
          <w:i/>
          <w:iCs/>
          <w:sz w:val="22"/>
          <w:szCs w:val="22"/>
        </w:rPr>
        <w:t>Yasak</w:t>
      </w:r>
      <w:r w:rsidRPr="00934C33">
        <w:rPr>
          <w:b/>
          <w:bCs/>
          <w:sz w:val="22"/>
          <w:szCs w:val="22"/>
        </w:rPr>
        <w:t xml:space="preserve"> kararında, salt ByLock değil, çok daha çeşitli delillere dayalı mahkûmiyetler incelenmiş ve eylemler ne denli çeşitli olursa olsun, maddi ve manevi unsurlar somut bir biçimde bireyselleştirilerek incelenmeksizin verilen kararların 7. maddeyi açıkça ihlal edeceği hüküm altına alınmıştır (Yasak, §§ 200-202).</w:t>
      </w:r>
    </w:p>
    <w:p w:rsidR="008764AA" w:rsidRDefault="00000000">
      <w:pPr>
        <w:spacing w:before="80" w:after="80"/>
        <w:jc w:val="both"/>
      </w:pPr>
      <w:r>
        <w:rPr>
          <w:b/>
          <w:bCs/>
          <w:sz w:val="22"/>
          <w:szCs w:val="22"/>
        </w:rPr>
        <w:t xml:space="preserve">15.   </w:t>
      </w:r>
      <w:r>
        <w:rPr>
          <w:sz w:val="22"/>
          <w:szCs w:val="22"/>
        </w:rPr>
        <w:t>Bu tespitler ışığında, isnat edilen eylem tarihinde sırf ByLock kullanımının veya gerçekleştirilen faaliyetlerin TCK 314/2 kapsamında örgüt üyeliği sayılacağının o dönemin kanunları ve yerleşik içtihatları açısından öngörülebilir olup olmadığının tespit edilmesini ve bu durumun somut olaya uygulanarak denetime elverişli şekilde gerekçelendirilmesini; ayrıca TCK 314/2 hükmüne eylem tarihindeki anlamını aşan ve aleyhe genişletici bir içerik yüklenip yüklenmediğinin dayanaklarıyla açıklanmasını talep ediyoruz (Dönmez §§ 10-11; Yalçınkaya §§ 237-238, 265, 338).</w:t>
      </w:r>
    </w:p>
    <w:p w:rsidR="008764AA" w:rsidRDefault="00000000">
      <w:pPr>
        <w:spacing w:before="80" w:after="80"/>
        <w:jc w:val="both"/>
      </w:pPr>
      <w:r>
        <w:rPr>
          <w:b/>
          <w:bCs/>
          <w:sz w:val="22"/>
          <w:szCs w:val="22"/>
        </w:rPr>
        <w:t xml:space="preserve">16.   </w:t>
      </w:r>
      <w:r>
        <w:rPr>
          <w:sz w:val="22"/>
          <w:szCs w:val="22"/>
        </w:rPr>
        <w:t xml:space="preserve">AİHM, yargı makamlarının ByLock kullanımını veya benzeri faaliyetleri doğrudan "örgüt üyeliği" ile eşdeğer tutan otomatik bir varsayımla hareket ettiğini saptamıştır. Bir iletişim aracının teknik özellikleri (gizli veya şifreli olması) veya yasal dernek/sendika üyelikleri, sanığın "silahlı terör örgütü üyesi olma iradesiyle" (özel kast) hareket ettiğinin kesin kanıtı sayılamaz. Maddi bir olgudan manevi unsura (kast) geçişte sanık aleyhine varsayımsal ve döngüsel bir mantık kurmak, "kusursuz sorumluluk" </w:t>
      </w:r>
      <w:r>
        <w:rPr>
          <w:sz w:val="22"/>
          <w:szCs w:val="22"/>
        </w:rPr>
        <w:lastRenderedPageBreak/>
        <w:t xml:space="preserve">(objektif sorumluluk) rejimi yaratarak </w:t>
      </w:r>
      <w:r>
        <w:rPr>
          <w:i/>
          <w:iCs/>
          <w:sz w:val="22"/>
          <w:szCs w:val="22"/>
        </w:rPr>
        <w:t>Yalçınkaya</w:t>
      </w:r>
      <w:r>
        <w:rPr>
          <w:sz w:val="22"/>
          <w:szCs w:val="22"/>
        </w:rPr>
        <w:t xml:space="preserve"> kararındaki ihlal gerekçelerini dolanmaktır (Dönmez §§ 9–10; Yalçınkaya §§ 253, 257, 263-264, 271-272, 338). </w:t>
      </w:r>
      <w:r>
        <w:rPr>
          <w:i/>
          <w:iCs/>
          <w:sz w:val="22"/>
          <w:szCs w:val="22"/>
        </w:rPr>
        <w:t>Yasak</w:t>
      </w:r>
      <w:r>
        <w:rPr>
          <w:sz w:val="22"/>
          <w:szCs w:val="22"/>
        </w:rPr>
        <w:t xml:space="preserve"> kararı da bu noktada kolektif suçluluk ya da suç ortaklığı (aidiyet/iltisak temelli cezalandırma) yaklaşımını açıkça ve kesin bir dille reddetmiştir. Mahkeme, örtülü olarak da olsa yerel mahkemelerin kolektif suçluluk yaklaşımıyla mahkûmiyet verdiklerini kayda geçirmiş ve bu hukuka aykırı pratiği mahkûm ederek, cezai sorumluluğun tamamen bireysel olarak ve "suç kastıyla" birlikte tespitinin zorunlu olduğunu vurgulamıştır (Yasak, §§ 202-203).</w:t>
      </w:r>
    </w:p>
    <w:p w:rsidR="008764AA" w:rsidRDefault="00000000">
      <w:pPr>
        <w:spacing w:before="80" w:after="80"/>
        <w:jc w:val="both"/>
      </w:pPr>
      <w:r>
        <w:rPr>
          <w:b/>
          <w:bCs/>
          <w:sz w:val="22"/>
          <w:szCs w:val="22"/>
        </w:rPr>
        <w:t xml:space="preserve">17.   </w:t>
      </w:r>
      <w:r>
        <w:rPr>
          <w:sz w:val="22"/>
          <w:szCs w:val="22"/>
        </w:rPr>
        <w:t xml:space="preserve">AİHM'in </w:t>
      </w:r>
      <w:r>
        <w:rPr>
          <w:i/>
          <w:iCs/>
          <w:sz w:val="22"/>
          <w:szCs w:val="22"/>
        </w:rPr>
        <w:t>Yasak</w:t>
      </w:r>
      <w:r>
        <w:rPr>
          <w:sz w:val="22"/>
          <w:szCs w:val="22"/>
        </w:rPr>
        <w:t xml:space="preserve"> kararında vurguladığı en önemli husus, TCK'nın 314. maddesinde düzenlenen suçun mahiyetidir. Mahkemeye göre, bu suç sıradan veya suç faaliyetlerinde bulunan herhangi bir yapıya üyeliği değil, doğrudan doğruya "şiddete" başvurmakta olan bir silahlı terör örgütü üyeliğini ilgilendirmektedir. Bu nedenle sanığın, suç tarihinde örgütün amaçları ve "şiddet içeren yöntemlerinden" haberdar olduğunu somut olarak göstermek, cezalandırmanın vazgeçilmez koşuludur. Yargıtay tarafından geliştirilen kasıt içtihadı da kişinin bilerek ve isteyerek hareket ettiğinin, yani bizzat şiddete başvuran böyle bir yapının parçası olmayı arzuladığının ortaya konulmasını gerektirmektedir. Bir eylemi sadece örgütle temas kurmaktan ya da açıkça suç işleme kastı olmaksızın örgüte salt üye olmaktan ayıran yegâne husus budur (Yasak, § 203). Yani Mahkeme, salt yapı üyeliğinin değil, ancak amaçları ve şiddet içeren yöntemlerinden haberdar olunduğu kanıtlanabilen kişilerin terör örgütü üyesi olarak cezalandırılabileceğini net bir şekilde belirtmiştir.</w:t>
      </w:r>
    </w:p>
    <w:p w:rsidR="008764AA" w:rsidRDefault="00000000">
      <w:pPr>
        <w:spacing w:before="80" w:after="80"/>
        <w:jc w:val="both"/>
      </w:pPr>
      <w:r>
        <w:rPr>
          <w:b/>
          <w:bCs/>
          <w:sz w:val="22"/>
          <w:szCs w:val="22"/>
        </w:rPr>
        <w:t xml:space="preserve">18.   </w:t>
      </w:r>
      <w:r>
        <w:rPr>
          <w:sz w:val="22"/>
          <w:szCs w:val="22"/>
        </w:rPr>
        <w:t>Bu ihlal gerekçeleri doğrultusunda, kategorik ve toptancı kabulün reddedildiğinin kararda açıkça belirtilmesini; yargılama makamlarının "kişinin bir görev üstlendiği veya şiddet kullanımını öngörebilecek durumda olduğu" şeklindeki niyet okuyucu yaklaşımından tamamen vazgeçilmesini (Yasak, § 209); dosyaya özgü kullanım yoğunluğu, temas ağı ve atfedilen rolün kişiselleştirilerek incelenmesini ve salt "teknik tespitin kesinliği" gibi argümanların suçun manevi unsurunun oluştuğu anlamına gelmeyeceğinin gözetilerek sanığın iradesi ile kastının ceza hukuku genel prensipleri çerçevesinde ayrıca ve somut olarak tartışılmasını talep ediyoruz.</w:t>
      </w:r>
    </w:p>
    <w:p w:rsidR="008764AA" w:rsidRDefault="00000000">
      <w:pPr>
        <w:spacing w:before="80" w:after="80"/>
        <w:jc w:val="both"/>
      </w:pPr>
      <w:r>
        <w:rPr>
          <w:b/>
          <w:bCs/>
          <w:sz w:val="22"/>
          <w:szCs w:val="22"/>
        </w:rPr>
        <w:t xml:space="preserve">19.   </w:t>
      </w:r>
      <w:r>
        <w:rPr>
          <w:sz w:val="22"/>
          <w:szCs w:val="22"/>
        </w:rPr>
        <w:t xml:space="preserve">AİHM, örgüt üyeliği suçlamasında sanığın "bilme ve isteme" şeklindeki özel kastının somut olarak ispatlanması gerektiğini belirtmiştir (Dönmez §§ 9–11; Yalçınkaya §§ 253, 263-264). AİHM </w:t>
      </w:r>
      <w:r>
        <w:rPr>
          <w:i/>
          <w:iCs/>
          <w:sz w:val="22"/>
          <w:szCs w:val="22"/>
        </w:rPr>
        <w:t>Yasak</w:t>
      </w:r>
      <w:r>
        <w:rPr>
          <w:sz w:val="22"/>
          <w:szCs w:val="22"/>
        </w:rPr>
        <w:t xml:space="preserve"> kararında, kasıt unsurunun nasıl tespit edileceğine dair ulusal mahkemelerin uygulamasını incelemiş ve izlenen yöntemi son derece sorunlu bulmuştur. Kararda ne yapılması gerektiği pozitif bir hukuk kuralı olarak tarif edilmiştir: Makamlar, bu bileşenlerle yalnızca bir bağlantının varlığını değil, bu bağlantının somut içeriğini ve suç kastını ortaya koyup koymadığını araştırmak zorundadır. Yargılama makamları, kişinin örgütün merkezi veya stratejik yapılarıyla "gerçek, işlevsel ve hiyerarşik bir bağının" bulunup bulunmadığını, bu bağın kapsamını ve niteliğini, ayrıca kişinin söz konusu yapının iddia edilen şiddet içeren amaçlarını "bilerek ve isteyerek hareket edip etmediğini" somut delillerle ispat etmek zorundadır. Daha da önemlisi, sorumluluk, sonradan örgüte atfedilen şiddet veya terör niteliği üzerinden değil, yalnızca fiillerin işlendiği o dönemdeki bilgi, kast ve bağlam üzerinden değerlendirilebilir (Yasak, § 209).</w:t>
      </w:r>
    </w:p>
    <w:p w:rsidR="008764AA" w:rsidRDefault="00000000">
      <w:pPr>
        <w:spacing w:before="80" w:after="80"/>
        <w:jc w:val="both"/>
      </w:pPr>
      <w:r>
        <w:rPr>
          <w:b/>
          <w:bCs/>
          <w:sz w:val="22"/>
          <w:szCs w:val="22"/>
        </w:rPr>
        <w:t xml:space="preserve">20.   </w:t>
      </w:r>
      <w:r>
        <w:rPr>
          <w:sz w:val="22"/>
          <w:szCs w:val="22"/>
        </w:rPr>
        <w:t>Büyük Daire, bu ispat zorunluluğunun neden elzem olduğunu açıklarken çok önemli bir "bağlamsal analiz" yapmıştır. Söz konusu yapının uzun yıllar boyunca toplumun değişik alanlarına, özellikle eğitim, sağlık ve finans alanlarında yer aldığını, yasal olarak ve devletin denetiminde faaliyet gösterdiği vurgulanmıştır. Dolayısıyla toplumun geniş bir kesimini oluşturan çok sayıda kişinin, bu yapının iddia edilen amaçlarından veya gizli niyetlerinden hiçbir şekilde haberdar olmadan yapının görünür ve yasal yapılarıyla temas kurmuş, faaliyet sürdürmüş olması son derece olağandır. Hal böyleyken, terör örgütü üyeliği suçunun en zorunlu unsuru olan "kasıt" unsurunun tespitinin önemi bir kat daha artmaktadır (Yasak, § 208). Müvekkilin rutin faaliyetlerinin de bu bağlamsal gerçeklikten kopuk değerlendirilmesi hukuken mümkün değildir.</w:t>
      </w:r>
    </w:p>
    <w:p w:rsidR="008764AA" w:rsidRDefault="00000000">
      <w:pPr>
        <w:spacing w:before="80" w:after="80"/>
        <w:jc w:val="both"/>
      </w:pPr>
      <w:r>
        <w:rPr>
          <w:b/>
          <w:bCs/>
          <w:sz w:val="22"/>
          <w:szCs w:val="22"/>
        </w:rPr>
        <w:t xml:space="preserve">21.   </w:t>
      </w:r>
      <w:r>
        <w:rPr>
          <w:sz w:val="22"/>
          <w:szCs w:val="22"/>
        </w:rPr>
        <w:t xml:space="preserve">Bununla birlikte Mahkeme, </w:t>
      </w:r>
      <w:r>
        <w:rPr>
          <w:i/>
          <w:iCs/>
          <w:sz w:val="22"/>
          <w:szCs w:val="22"/>
        </w:rPr>
        <w:t>Yasak</w:t>
      </w:r>
      <w:r>
        <w:rPr>
          <w:sz w:val="22"/>
          <w:szCs w:val="22"/>
        </w:rPr>
        <w:t xml:space="preserve"> kararında önemli bir "zamansal" değerlendirme de yapmıştır. Başvurucuya atfedilen eylemlerin ne zaman gerçekleştirildiği dahi tam belirlenmeden iddialar üzerine mahkûmiyet kurulması eleştirilmiştir. İlgili yapının önce idari makamlar tarafından, sonra da mahkemeler tarafından 15 Temmuz sonrası terör örgütü olarak tanındığı gerçeği karşısında AİHM; ulusal makamların ve mahkemelerin, başvuranın söz konusu yapı içinde bulunmasının "masum bir katılımla mı" yoksa bilinçli bir "terörist projeye katılma kastıyla mı" olduğunu değerlendirmek zorunda </w:t>
      </w:r>
      <w:r>
        <w:rPr>
          <w:sz w:val="22"/>
          <w:szCs w:val="22"/>
        </w:rPr>
        <w:lastRenderedPageBreak/>
        <w:t>olduğunu açıkça ifade etmiştir. 2014 yılına veya 15 Temmuz öncesine kadar gerçekleştirilen eylemlerin kasıt unsurunu nasıl oluşturduğu, varsayımlarla değil maddi gerçeklikle açıklanmalıdır (Yasak, § 205).</w:t>
      </w:r>
    </w:p>
    <w:p w:rsidR="008764AA" w:rsidRDefault="00000000">
      <w:pPr>
        <w:spacing w:before="80" w:after="80"/>
        <w:jc w:val="both"/>
      </w:pPr>
      <w:r>
        <w:rPr>
          <w:b/>
          <w:bCs/>
          <w:sz w:val="22"/>
          <w:szCs w:val="22"/>
        </w:rPr>
        <w:t xml:space="preserve">22.   </w:t>
      </w:r>
      <w:r>
        <w:rPr>
          <w:sz w:val="22"/>
          <w:szCs w:val="22"/>
        </w:rPr>
        <w:t>Mahkeme, kişilerin 17/25 Aralık sürecinden sonra da bağlarını sürdürmesini ulusal mahkemelerin bir faktör olarak ele almasını ikincillik ilkesi gereği ulusal takdir marjında görse de, bu durumun kişilere karşı gelişigüzel bir silaha dönüştürülemeyeceğini hükme bağlamıştır. Ulusal mahkemeler bu bağlantıyı sürdüren herkes için otomatik suçlu muamelesi yapamaz; mensubiyetin devam ettiği zamana ve kişinin icra ettiği faaliyetlerin bağlamına bakıp kasıt unsurunun gerçekten var olup olmadığını somut olarak incelemek zorundadır (Yasak, § 206). İtirafın az olduğu dosyalarda yargı makamlarının varsayımsal örgüt çıkarımı yapmasının yaygın olduğu kabul edilmekle birlikte, somut dosyalarda zamansal durumun dikkate alınmaması ve bağlamsal analizin yapılmaması doğrudan hak ihlali oluşturacaktır (Yasak, § 207).</w:t>
      </w:r>
    </w:p>
    <w:p w:rsidR="008764AA" w:rsidRDefault="00000000">
      <w:pPr>
        <w:spacing w:before="80" w:after="80"/>
        <w:jc w:val="both"/>
      </w:pPr>
      <w:r>
        <w:rPr>
          <w:b/>
          <w:bCs/>
          <w:sz w:val="22"/>
          <w:szCs w:val="22"/>
        </w:rPr>
        <w:t xml:space="preserve">23.   </w:t>
      </w:r>
      <w:r>
        <w:rPr>
          <w:sz w:val="22"/>
          <w:szCs w:val="22"/>
        </w:rPr>
        <w:t xml:space="preserve">AİHM'e göre, ulusal mahkemelerin ByLock tespitini mahkumiyet için tek başına yeterli görmesi, örgüt üyeliği suçu için aranan "süreklilik, çeşitlilik ve yoğunluk" kriterlerinin göz ardı edilmesine yol açmıştır (Dönmez §§ 10–11; Yalçınkaya §§ 257, 264-266). </w:t>
      </w:r>
      <w:r>
        <w:rPr>
          <w:i/>
          <w:iCs/>
          <w:sz w:val="22"/>
          <w:szCs w:val="22"/>
        </w:rPr>
        <w:t>Yasak</w:t>
      </w:r>
      <w:r>
        <w:rPr>
          <w:sz w:val="22"/>
          <w:szCs w:val="22"/>
        </w:rPr>
        <w:t xml:space="preserve"> kararında, Yargıtay'ın söz konusu yapıya atfettiği 7 katmanlı hiyerarşik yapının muğlaklığına da özel olarak yer verilmiştir. Büyük Daire, bu katmanların hukuki bir öngörülebilirlik sunmaktan ne kadar uzak olduğunu tartışmış ve ulusal makamların bir kişinin eylemlerinin bu katmanlardan hangisine girdiğini ve bu durumun kişinin kastına nasıl etki ettiğini netleştirmediklerini tespit etmiştir (Yasak, § 210). Atıf yapılan bu katmanlı yapının muğlak tasvirlerinin varsayımsal cezalandırmalara dayanak yapılması, AİHM tarafından doğrudan 7. madde aleyhine yorumlanmıştır. Yeniden yapılacak yargılamada, örgüt üyeliği için zorunlu olan unsurların her birinin hangi somut delille ispatlandığının tek tek gösterilmesini; ByLock kullanımının veya soyut hiyerarşi katmanlarının tek başına bu unsurları karşıladığı varsayımından vazgeçilerek beraat kararı verilmesini talep ediyoruz.</w:t>
      </w:r>
    </w:p>
    <w:p w:rsidR="008764AA" w:rsidRDefault="00000000">
      <w:pPr>
        <w:spacing w:before="80" w:after="80"/>
        <w:jc w:val="both"/>
      </w:pPr>
      <w:r>
        <w:rPr>
          <w:b/>
          <w:bCs/>
          <w:sz w:val="22"/>
          <w:szCs w:val="22"/>
        </w:rPr>
        <w:t xml:space="preserve">24.   </w:t>
      </w:r>
      <w:r>
        <w:rPr>
          <w:sz w:val="22"/>
          <w:szCs w:val="22"/>
        </w:rPr>
        <w:t>AİHM, mesaj içeriklerine veya yan delillere bakılmaksızın sadece ByLock kullanımının tespitinin "kesin delil" sayılmasını eleştirmiştir (Dönmez §§ 10–11; Yalçınkaya §§ 257, 265-267). Uygulamanın halka açık mağazalardan indirilebilir olduğu bir dönemde "münhasırlık" iddiasının zayıfladığını saptamıştır (Dönmez §§ 9–10; Yalçınkaya § 338). Bu nedenle, somut içerik olmaksızın tüm kullanıcılar hakkında aynı sonucun çıkarılmasının öngörülemez olduğu belirtilerek hukuka uygunluğu ispatlanan mesaj içerikleri ve hiyerarşik yapıya dair bağlamsal delillerin dosyaya getirtilmesini; bu veriler yoksa salt kullanım tespitine dayalı hüküm kurulmamasını talep ediyoruz (Dönmez §§ 9–11; Yalçınkaya §§ 258, 265-267, 338).</w:t>
      </w:r>
    </w:p>
    <w:p w:rsidR="008764AA" w:rsidRDefault="00000000">
      <w:pPr>
        <w:spacing w:before="80" w:after="80"/>
        <w:jc w:val="both"/>
      </w:pPr>
      <w:r>
        <w:rPr>
          <w:b/>
          <w:bCs/>
          <w:sz w:val="22"/>
          <w:szCs w:val="22"/>
        </w:rPr>
        <w:t xml:space="preserve">25.   </w:t>
      </w:r>
      <w:r>
        <w:rPr>
          <w:sz w:val="22"/>
          <w:szCs w:val="22"/>
        </w:rPr>
        <w:t xml:space="preserve">AİHM'in Büyük Daire olarak verdiği </w:t>
      </w:r>
      <w:r>
        <w:rPr>
          <w:i/>
          <w:iCs/>
          <w:sz w:val="22"/>
          <w:szCs w:val="22"/>
        </w:rPr>
        <w:t>Yalçınkaya</w:t>
      </w:r>
      <w:r>
        <w:rPr>
          <w:sz w:val="22"/>
          <w:szCs w:val="22"/>
        </w:rPr>
        <w:t xml:space="preserve"> kararı ve bu içtihadı takip eden </w:t>
      </w:r>
      <w:r>
        <w:rPr>
          <w:i/>
          <w:iCs/>
          <w:sz w:val="22"/>
          <w:szCs w:val="22"/>
        </w:rPr>
        <w:t>Dönmez</w:t>
      </w:r>
      <w:r>
        <w:rPr>
          <w:sz w:val="22"/>
          <w:szCs w:val="22"/>
        </w:rPr>
        <w:t xml:space="preserve">, </w:t>
      </w:r>
      <w:r>
        <w:rPr>
          <w:i/>
          <w:iCs/>
          <w:sz w:val="22"/>
          <w:szCs w:val="22"/>
        </w:rPr>
        <w:t>Demirhan</w:t>
      </w:r>
      <w:r>
        <w:rPr>
          <w:sz w:val="22"/>
          <w:szCs w:val="22"/>
        </w:rPr>
        <w:t xml:space="preserve"> ve </w:t>
      </w:r>
      <w:r>
        <w:rPr>
          <w:i/>
          <w:iCs/>
          <w:sz w:val="22"/>
          <w:szCs w:val="22"/>
        </w:rPr>
        <w:t>Yasak</w:t>
      </w:r>
      <w:r>
        <w:rPr>
          <w:sz w:val="22"/>
          <w:szCs w:val="22"/>
        </w:rPr>
        <w:t xml:space="preserve"> kararlarında ortaya koyduğu ilkelerin sadece ByLock uygulamasına özgü teknik bir tespit olmadığı; aksine Mahkemenin asıl vurgusunun, "suçun delili olabilecek bir olgunun, sanki suçun unsuruymuş gibi kabul edilmesine" ve bu yolla "suç tipinin kapsamının yargı eliyle fiilen genişletilerek yasallık ilkesinin ihlal edilmesine" yönelik olduğu tartışmasız bir gerçektir. Bu bağlamda, dosyalarda yer alan ve mahkûmiyet gerekçelerinde sıkça sıralanan; ByLock kullanım iddiası, şifreli mesaj içerikleri, tanık beyanları, sendika/dernek/vakıf üyeliği, Bank Asya hesap hareketleri, yasal yayınlara abonelik, gezilere katılım, yurt dışı giriş-çıkış kayıtları, bağış yapma, sosyal medya paylaşımları, öğrenci yurdunda kalma, HTS kayıtları, kurum istihdamı gibi hususlar, suç tarihinde yasal ve rutin faaliyetler olup, AİHM içtihatları gereğince yasallık ilkesinin koruması altındadır. AİHM, benzer davalarda kasta dair çıkarım yapmak isteyen ulusal yargı organlarına yol göstererek standardı belirlemiştir: Kasıt çıkarımı ancak ve ancak davanın "somut olgularıyla sıkı sıkıya bağlı kalınarak" ve "bireyselleştirilmiş bir analize dayanarak" yapılırsa 7. maddeye uygun olabilir. İlgili dönemde büyük ölçüde "dini/sosyal bir grup" olarak algılanan bir yapıya mensup olma olgusu, tek başına, kişinin mahkûmiyetine dayanak teşkil eden fiilleri gerçekleştirirken suç için gerekli kasıt unsuruna sahip olduğu sonucuna asla yol açamaz. Dosyadaki var olan (ve aslen yasal olan) delilleri alt alta sıralayıp, bu delillerin kişinin örgütün iddia edilen terörist amaçlarından gerçekten haberdar olduğunu ve bu bilgiyle örgüte katıldığını açıklamaya çalışmaksızın "kastın varlığına" hükmedilmesi kabul edilemez (Yasak, § 211). Bu faaliyetlerin hiçbiri, TCK'da tanımlanan "silahlı terör örgütü üyeliği" suçunun maddi unsurlarını ve bilhassa "cebir ve şiddet içermesi gereken nihai amacın bilindiği ve istendiği" şeklindeki manevi unsurunu kanıtlamaya elverişli değildir (Demirhan § 16).</w:t>
      </w:r>
    </w:p>
    <w:p w:rsidR="008764AA" w:rsidRDefault="00000000">
      <w:pPr>
        <w:spacing w:before="80" w:after="80"/>
        <w:jc w:val="both"/>
      </w:pPr>
      <w:r>
        <w:rPr>
          <w:b/>
          <w:bCs/>
          <w:sz w:val="22"/>
          <w:szCs w:val="22"/>
        </w:rPr>
        <w:lastRenderedPageBreak/>
        <w:t xml:space="preserve">26.   </w:t>
      </w:r>
      <w:r>
        <w:rPr>
          <w:sz w:val="22"/>
          <w:szCs w:val="22"/>
        </w:rPr>
        <w:t>AİHM, yargılamalarda yapılan temel hata olan suçun kurucu unsurları yerine delillerin ikame edilmesini eleştirmiştir. Hükümetin "başvurucularla ilgili ByLock dışında başka deliller de var" savunmasını reddeden AİHM, suçun unsurlarının varlığı ortaya konulmadan, kriter olarak adlandırılan delillerin otomatik bir cezalandırma gerekçesi yapılmasını 7. maddenin ihlali saymıştır (Yalçınkaya, §§ 268, 341-343; Demirhan, § 39). Mahkemenin nihai sonucuna göre; ulusal makamlar ve mahkemeler, başvurucuların örgütün terör örgütü olarak tanımlanmasından çok önce iç hukukta sahip olduğu yasal statü etrafında belirli eylemlerde bulunmalarının, onların "örgütün terörist niteliği ve amaçlarından haberdar oldukları", "bu örgütün bir parçası olmayı amaçladıkları" ve örgütün amaçlarına "aktif, sürekli bir şekilde katkıda bulundukları" sonucuna nasıl yol açtığını hukuken açıklayamamışlardır. Bu durum doğrudan doğruya, cezai sorumluluk atfı için zorunlu olan manevi unsur tespit edilmeden kişinin cezalandırılmama hakkını garanti eden Sözleşmenin 7. maddesinin ihlalidir (Yasak, §§ 212-213).</w:t>
      </w:r>
    </w:p>
    <w:p w:rsidR="008764AA" w:rsidRDefault="00000000">
      <w:pPr>
        <w:spacing w:before="80" w:after="80"/>
        <w:jc w:val="both"/>
      </w:pPr>
      <w:r>
        <w:rPr>
          <w:b/>
          <w:bCs/>
          <w:sz w:val="22"/>
          <w:szCs w:val="22"/>
        </w:rPr>
        <w:t xml:space="preserve">27.   </w:t>
      </w:r>
      <w:r>
        <w:rPr>
          <w:sz w:val="22"/>
          <w:szCs w:val="22"/>
        </w:rPr>
        <w:t>Bu kapsamda, yeniden başlayacak yargılama sürecinde dikkat edilmesi gereken en önemli husus; tıpkı ByLock'ta olduğu gibi, diğer delil ve kriterlerin varlığının tespiti halinde de "otomatik cezalandırma" yoluna gidilmemesidir. Yargılamada yapılması gereken "kriter tespiti" veya "delil sayımı" değil, "suçun unsurlarının tespiti"dir. Bu nedenle, yeniden yargılama aşamasında dosyaya yeni bir veri girmesi durumunda dahi; şayet bu yeni veriler suçun unsurlarının (özellikle manevi unsurun) varlığını somut, şüpheye yer bırakmayacak ve kişiselleştirilmiş şekilde göstermiyorsa, bunlara cezalandırma için "yeni delil" değeri atfedilmemeli; cebir ve şiddet içeren eylemleri bilme ve isteme kastını ispatlamadığı sürece bu veriler üzerinden sanığın hukuki durumu aleyhine sonuç çıkarılmamalıdır.</w:t>
      </w:r>
    </w:p>
    <w:p w:rsidR="008764AA" w:rsidRDefault="00000000">
      <w:pPr>
        <w:spacing w:before="80" w:after="80"/>
        <w:jc w:val="both"/>
      </w:pPr>
      <w:r>
        <w:rPr>
          <w:b/>
          <w:bCs/>
          <w:sz w:val="22"/>
          <w:szCs w:val="22"/>
        </w:rPr>
        <w:t xml:space="preserve">28.   </w:t>
      </w:r>
      <w:r>
        <w:rPr>
          <w:i/>
          <w:iCs/>
          <w:sz w:val="22"/>
          <w:szCs w:val="22"/>
        </w:rPr>
        <w:t>Yalçınkaya</w:t>
      </w:r>
      <w:r>
        <w:rPr>
          <w:sz w:val="22"/>
          <w:szCs w:val="22"/>
        </w:rPr>
        <w:t xml:space="preserve"> ve devamı kararlar ile </w:t>
      </w:r>
      <w:r>
        <w:rPr>
          <w:i/>
          <w:iCs/>
          <w:sz w:val="22"/>
          <w:szCs w:val="22"/>
        </w:rPr>
        <w:t>Yasak</w:t>
      </w:r>
      <w:r>
        <w:rPr>
          <w:sz w:val="22"/>
          <w:szCs w:val="22"/>
        </w:rPr>
        <w:t xml:space="preserve"> Büyük Daire kararları birbirinden bağımsız kararlar değil, yargı sistemimizdeki aynı yapısal sorunun birbirini tamamlayan iki farklı görünümüne ilişkindir ve birlikte uygulanmak zorundadır. </w:t>
      </w:r>
      <w:r>
        <w:rPr>
          <w:i/>
          <w:iCs/>
          <w:sz w:val="22"/>
          <w:szCs w:val="22"/>
        </w:rPr>
        <w:t>Yalçınkaya</w:t>
      </w:r>
      <w:r>
        <w:rPr>
          <w:sz w:val="22"/>
          <w:szCs w:val="22"/>
        </w:rPr>
        <w:t xml:space="preserve"> kararı otomatik mahkûmiyet, öngörülebilirlik, kanunilik ve delillerin bireyselleştirilmeden kullanılmasının hukuka aykırılığını tespit etmişken; </w:t>
      </w:r>
      <w:r>
        <w:rPr>
          <w:i/>
          <w:iCs/>
          <w:sz w:val="22"/>
          <w:szCs w:val="22"/>
        </w:rPr>
        <w:t>Yasak</w:t>
      </w:r>
      <w:r>
        <w:rPr>
          <w:sz w:val="22"/>
          <w:szCs w:val="22"/>
        </w:rPr>
        <w:t xml:space="preserve"> kararı sorunu daha da temele indirerek kişinin yapının şiddet içeren amaçlarını bilip bilmediğinin (manevi unsurun) mutlaka bireysel olarak ispat edilmesini şart koşmuştur. 15 Temmuz öncesi yasal veya rutin faaliyetlerin, sonradan geriye yürütülerek örgüt üyeliği suçunun deliline dönüştürülmesi ve kişinin terör kastı ispatlanmadan cezalandırma yoluna gidilmesi hukuka aykırıdır.</w:t>
      </w:r>
    </w:p>
    <w:p w:rsidR="008764AA" w:rsidRDefault="00000000">
      <w:pPr>
        <w:spacing w:before="80" w:after="80"/>
        <w:jc w:val="both"/>
      </w:pPr>
      <w:r>
        <w:rPr>
          <w:b/>
          <w:bCs/>
          <w:sz w:val="22"/>
          <w:szCs w:val="22"/>
        </w:rPr>
        <w:t xml:space="preserve">29.   </w:t>
      </w:r>
      <w:r>
        <w:rPr>
          <w:sz w:val="22"/>
          <w:szCs w:val="22"/>
        </w:rPr>
        <w:t>Tüm bu hukuki ve fiili gerçekler muvacehesinde; müvekkilin dava dosyasına yansıyan, esasen devletin izni ve bilgisi dahilinde gerçekleşen rutin, sosyal, yasal ve sivil nitelikteki eylemlerinden hareketle TCK md. 314/2 anlamında "silahlı terör örgütüne üye olma" kastı çıkarılamaz. Failin fiili işlediği sıradaki kastı, sonradan yaşanan olaylara ve yapının sonradan kazandığı statüsüne bakılarak geriye dönük olarak var sayılamaz. Müvekkilin hiçbir şiddet eylemine karışmadığı, söz konusu stratejik veya merkezi yapısıyla hiçbir hiyerarşik bağının bulunmadığı ve suç işleme kastıyla hareket etmediği açık olduğundan, Sayın Mahkemenizce varsayımlara ve kolektif suçluluk algısına dayalı bir cezalandırma yoluna gidilmemesi hukukun ve hakkaniyetin gereğidir.</w:t>
      </w:r>
    </w:p>
    <w:p w:rsidR="008764AA" w:rsidRDefault="00000000">
      <w:pPr>
        <w:spacing w:before="80" w:after="80"/>
        <w:jc w:val="both"/>
      </w:pPr>
      <w:r>
        <w:rPr>
          <w:b/>
          <w:bCs/>
          <w:sz w:val="22"/>
          <w:szCs w:val="22"/>
        </w:rPr>
        <w:t xml:space="preserve">30.   </w:t>
      </w:r>
      <w:r>
        <w:rPr>
          <w:sz w:val="22"/>
          <w:szCs w:val="22"/>
        </w:rPr>
        <w:t xml:space="preserve">Özetle ve sonuç olarak; AİHM, 7. maddenin hukukun üstünlüğünün temeli olduğunu vurgulamıştır (Yalçınkaya § 270). AİHM'in </w:t>
      </w:r>
      <w:r>
        <w:rPr>
          <w:i/>
          <w:iCs/>
          <w:sz w:val="22"/>
          <w:szCs w:val="22"/>
        </w:rPr>
        <w:t>Yalçınkaya</w:t>
      </w:r>
      <w:r>
        <w:rPr>
          <w:sz w:val="22"/>
          <w:szCs w:val="22"/>
        </w:rPr>
        <w:t xml:space="preserve">, </w:t>
      </w:r>
      <w:r>
        <w:rPr>
          <w:i/>
          <w:iCs/>
          <w:sz w:val="22"/>
          <w:szCs w:val="22"/>
        </w:rPr>
        <w:t>Dönmez</w:t>
      </w:r>
      <w:r>
        <w:rPr>
          <w:sz w:val="22"/>
          <w:szCs w:val="22"/>
        </w:rPr>
        <w:t xml:space="preserve"> ve </w:t>
      </w:r>
      <w:r>
        <w:rPr>
          <w:i/>
          <w:iCs/>
          <w:sz w:val="22"/>
          <w:szCs w:val="22"/>
        </w:rPr>
        <w:t>Yasak</w:t>
      </w:r>
      <w:r>
        <w:rPr>
          <w:sz w:val="22"/>
          <w:szCs w:val="22"/>
        </w:rPr>
        <w:t xml:space="preserve"> kararlarında ortaya koyduğu ilkeler ışığında, ByLock ile diğer delil ve kriterler arasında hukuki nitelik ve ispat gücü bakımından bir fark bulunmamaktadır ve bu unsurların hiçbiri tek başına "suç kastı" yerine geçemez. Bu nedenle, mahkemenizden talebimiz; öncelikle isnat edilen suçun maddi ve manevi unsurlarının şahsım/eşim/müvekkil bakımından nasıl gerçekleştiğini, varsayım ve ön kabullere değil, şüpheye yer bırakmayacak somut delillere dayanarak ortaya koymasıdır. Ancak bu ispat yapıldıktan sonra "kriter" denilen hususların suçun unsurlarının varlığına nasıl delil teşkil ettiğinin gerekçelendirilmesi mümkündür. Aksi takdirde, suçun unsurlarının oluşmadığı gözetilerek, kriterlerin varlığına bakılmaksızın beraat kararı verilmesini talep ediyoruz.</w:t>
      </w:r>
    </w:p>
    <w:p w:rsidR="008764AA" w:rsidRPr="00934C33" w:rsidRDefault="00000000" w:rsidP="00934C33">
      <w:pPr>
        <w:spacing w:before="240" w:after="120"/>
        <w:jc w:val="both"/>
      </w:pPr>
      <w:r w:rsidRPr="00934C33">
        <w:rPr>
          <w:b/>
          <w:bCs/>
          <w:sz w:val="22"/>
          <w:szCs w:val="22"/>
        </w:rPr>
        <w:t>B. AİHS'İN 6. MADDESİ KAPSAMINDA MAHKEMEDEN TALEP EDİLEN HUSUSLAR</w:t>
      </w:r>
    </w:p>
    <w:p w:rsidR="008764AA" w:rsidRDefault="00000000">
      <w:pPr>
        <w:spacing w:before="80" w:after="80"/>
        <w:jc w:val="both"/>
      </w:pPr>
      <w:r>
        <w:rPr>
          <w:b/>
          <w:bCs/>
          <w:sz w:val="22"/>
          <w:szCs w:val="22"/>
        </w:rPr>
        <w:t xml:space="preserve">31.   </w:t>
      </w:r>
      <w:r>
        <w:rPr>
          <w:sz w:val="22"/>
          <w:szCs w:val="22"/>
        </w:rPr>
        <w:t xml:space="preserve">AİHM, </w:t>
      </w:r>
      <w:r w:rsidRPr="00934C33">
        <w:rPr>
          <w:b/>
          <w:bCs/>
          <w:i/>
          <w:iCs/>
          <w:sz w:val="22"/>
          <w:szCs w:val="22"/>
        </w:rPr>
        <w:t>Dönmez ve Diğerleri</w:t>
      </w:r>
      <w:r>
        <w:rPr>
          <w:sz w:val="22"/>
          <w:szCs w:val="22"/>
        </w:rPr>
        <w:t xml:space="preserve"> kararının gerekçesinde, bu ihlalin temel kaynağının </w:t>
      </w:r>
      <w:r>
        <w:rPr>
          <w:i/>
          <w:iCs/>
          <w:sz w:val="22"/>
          <w:szCs w:val="22"/>
        </w:rPr>
        <w:t>Yüksel Yalçınkaya</w:t>
      </w:r>
      <w:r>
        <w:rPr>
          <w:sz w:val="22"/>
          <w:szCs w:val="22"/>
        </w:rPr>
        <w:t xml:space="preserve"> kararında tespit edilen yapısal ve sistemik sorunlarla birebir aynı olduğunu vurgulamıştır. Mahkeme, </w:t>
      </w:r>
      <w:r>
        <w:rPr>
          <w:i/>
          <w:iCs/>
          <w:sz w:val="22"/>
          <w:szCs w:val="22"/>
        </w:rPr>
        <w:t>Dönmez</w:t>
      </w:r>
      <w:r>
        <w:rPr>
          <w:sz w:val="22"/>
          <w:szCs w:val="22"/>
        </w:rPr>
        <w:t xml:space="preserve"> kararının ilgili paragraflarında, </w:t>
      </w:r>
      <w:r>
        <w:rPr>
          <w:i/>
          <w:iCs/>
          <w:sz w:val="22"/>
          <w:szCs w:val="22"/>
        </w:rPr>
        <w:t>Yalçınkaya</w:t>
      </w:r>
      <w:r>
        <w:rPr>
          <w:sz w:val="22"/>
          <w:szCs w:val="22"/>
        </w:rPr>
        <w:t xml:space="preserve"> kararında adil yargılanma hakkı (AİHS m. 6/1) bağlamında tespit edilen; savunmanın elektronik delillere erişememesi, delillerin güvenilirliğinin denetlenememesi ve silahların eşitliği ilkesinin ihlali gibi hususların bu dosyalar için </w:t>
      </w:r>
      <w:r>
        <w:rPr>
          <w:sz w:val="22"/>
          <w:szCs w:val="22"/>
        </w:rPr>
        <w:lastRenderedPageBreak/>
        <w:t xml:space="preserve">de geçerli olduğunu açıkça belirtmiştir. Bu sebeple, yeniden yapılacak yargılamada, </w:t>
      </w:r>
      <w:r>
        <w:rPr>
          <w:i/>
          <w:iCs/>
          <w:sz w:val="22"/>
          <w:szCs w:val="22"/>
        </w:rPr>
        <w:t>Yalçınkaya</w:t>
      </w:r>
      <w:r>
        <w:rPr>
          <w:sz w:val="22"/>
          <w:szCs w:val="22"/>
        </w:rPr>
        <w:t xml:space="preserve"> içtihadında 6. madde kapsamında ortaya konulan kriterlerin mahkemenizce dikkate alınması yasal bir zorunluluktur (Dönmez, §§ 14–15; Yalçınkaya, §§ 324–345).</w:t>
      </w:r>
    </w:p>
    <w:p w:rsidR="008764AA" w:rsidRDefault="00000000">
      <w:pPr>
        <w:spacing w:before="80" w:after="80"/>
        <w:jc w:val="both"/>
      </w:pPr>
      <w:r>
        <w:rPr>
          <w:b/>
          <w:bCs/>
          <w:sz w:val="22"/>
          <w:szCs w:val="22"/>
        </w:rPr>
        <w:t xml:space="preserve">32.   </w:t>
      </w:r>
      <w:r>
        <w:rPr>
          <w:sz w:val="22"/>
          <w:szCs w:val="22"/>
        </w:rPr>
        <w:t>Bu tespitler doğrultusunda yargılamalarda belirleyici delil sayılan ByLock verilerinin elde ediliş yöntemi, bütünlüğü ve güvenilirliği konusunda savunmanın etkili itirazda bulunma imkânının kısıtlandığını saptadığı için ulusal mahkemelerin davanın esasına ilişkin bu teknik itirazları karşılamamış ve savcılık ile savunma arasında adil bir denge kuramamış olduğu gözetilerek verilerin elde ediliş yönteminin hukuka uygunluğunun denetime elverişli şekilde açıklanmasını, özellikle MİT tarafından istihbari yöntemlerle elde edilen verilerin Cumhuriyet savcılığına teslim edildikten sonra alınan CMK 134 kararları veya buna ilişkin tutanakların geçmişe dönük olarak hukuka uygun hale getirilemeyeceğinin ve delilin ilk toplandığı andaki yargısal denetimsizliğin sonradan yapılan işlemlerle telafi edilemeyeceğinin AİHM içtihatları doğrultusunda kabul edilmesini talep ediyoruz (Yalçınkaya §§ 293, 317, 324–341, 327, 331, 332-333, 334, 335-337, 337-339, 344-345).</w:t>
      </w:r>
    </w:p>
    <w:p w:rsidR="008764AA" w:rsidRDefault="00000000">
      <w:pPr>
        <w:spacing w:before="80" w:after="80"/>
        <w:jc w:val="both"/>
      </w:pPr>
      <w:r>
        <w:rPr>
          <w:b/>
          <w:bCs/>
          <w:sz w:val="22"/>
          <w:szCs w:val="22"/>
        </w:rPr>
        <w:t xml:space="preserve">33.   </w:t>
      </w:r>
      <w:r>
        <w:rPr>
          <w:sz w:val="22"/>
          <w:szCs w:val="22"/>
        </w:rPr>
        <w:t>AİHM, MİT'in veri toplama faaliyetinin istihbari nitelikte olduğunu ve CMK m.134'te öngörülen "bağımsız yargısal denetim" güvencelerini içermediğini tespit etmiştir; bu bağlamda istihbarat birimleri tarafından yargısal denetim ve hâkim kararı olmaksızın toplanan verilerin aylar sonra adli makamlara teslim edilmesini ve bu sürecin sonradan alınan CMK m.134 kararlarıyla geçmişe dönük olarak hukuka uygun hale getirilmeye çalışılmasını Sözleşme'nin adil yargılanma güvencelerine aykırı bulmuştur (Yalçınkaya §§ 293, 317, 334).</w:t>
      </w:r>
    </w:p>
    <w:p w:rsidR="008764AA" w:rsidRDefault="00000000">
      <w:pPr>
        <w:spacing w:before="80" w:after="80"/>
        <w:jc w:val="both"/>
      </w:pPr>
      <w:r>
        <w:rPr>
          <w:b/>
          <w:bCs/>
          <w:sz w:val="22"/>
          <w:szCs w:val="22"/>
        </w:rPr>
        <w:t xml:space="preserve">34.   </w:t>
      </w:r>
      <w:r>
        <w:rPr>
          <w:sz w:val="22"/>
          <w:szCs w:val="22"/>
        </w:rPr>
        <w:t>Bu doğrultuda istihbari amaçla toplanan verilerin delil olarak kullanılabilmesi için ilk temas anında yargısal güvencelerin sağlanmış olması gerektiğini belirten Mahkeme içtihatları gözetilerek ByLock verilerinin ilk elde edildiği aşamada yetkili bir hâkim kararı veya yazılı bir emrin bulunup bulunmadığının araştırılmasını, Ankara 4. Sulh Ceza Hâkimliğinin sonradan verdiği kararın delil toplama anındaki denetimsizliği telafi edemeyeceği gerçeği karşısında verilerin elde ediliş yönteminin hukuka uygunluğunun denetime elverişli ve kuşkuya yer bırakmayacak şekilde açıklattırılmasını, Yargıtay'ın aksi yöndeki eski içtihatları yerine bağlayıcı olan AİHM tespitlerinin esas alınmasını ve verilerin elde ediliş yönteminin hukuka uygunluğunun denetime elverişli şekilde açıklanmasını talep ediyoruz (Yalçınkaya §§ 317, 333, 334).</w:t>
      </w:r>
    </w:p>
    <w:p w:rsidR="008764AA" w:rsidRDefault="00000000">
      <w:pPr>
        <w:spacing w:before="80" w:after="80"/>
        <w:jc w:val="both"/>
      </w:pPr>
      <w:r>
        <w:rPr>
          <w:b/>
          <w:bCs/>
          <w:sz w:val="22"/>
          <w:szCs w:val="22"/>
        </w:rPr>
        <w:t xml:space="preserve">35.   </w:t>
      </w:r>
      <w:r>
        <w:rPr>
          <w:sz w:val="22"/>
          <w:szCs w:val="22"/>
        </w:rPr>
        <w:t>AİHM, yargı organlarının ByLock'a yönelik "kategorik ve tekdüze" yaklaşımının kişiye özgü değerlendirmeyi imkânsız kıldığını, sadece savcılık tarafından sunulan raporların hükme esas alınmasının "otomatik cezalandırma" kaygılarını gideremediğini ve savunma haklarını şekli bir prosedüre indirgediğini vurgulamıştır; AİHM OHAL koşullarının dahi bu denli usuli kısıtlamaları meşrulaştıramayacağını belirtmiştir (Yalçınkaya §§ 324–341, 353–356).</w:t>
      </w:r>
    </w:p>
    <w:p w:rsidR="008764AA" w:rsidRDefault="00000000">
      <w:pPr>
        <w:spacing w:before="80" w:after="80"/>
        <w:jc w:val="both"/>
      </w:pPr>
      <w:r>
        <w:rPr>
          <w:b/>
          <w:bCs/>
          <w:sz w:val="22"/>
          <w:szCs w:val="22"/>
        </w:rPr>
        <w:t xml:space="preserve">36.   </w:t>
      </w:r>
      <w:r>
        <w:rPr>
          <w:sz w:val="22"/>
          <w:szCs w:val="22"/>
        </w:rPr>
        <w:t>Bu ihlal gerekçesi doğrultusunda ulusal mahkemelerin "Tespit ve Değerlendirme Tutanakları"nın veya HTS/CGNAT kayıtlarının ByLock sinyalleriyle örtüşmesini yeterli görerek ham verilerin incelenmesine gerek duymaması kabul görmediği belirtilerek HTS kayıtlarının sadece internet trafiğini gösterdiği, veri içeriğini ve bütünlüğünü kanıtlamadığı vurgulanmış olup delilin güvenilirliğinin ancak tüm veri setinin bağımsız bir gözle incelenmesiyle sağlanabileceği gerçeğinden hareketle yan delillerin veya polis tutanaklarının varlığı savunma makamının ham veriler üzerinde bağımsız bilirkişi incelemesi yaptırma hakkını ortadan kaldırmaz ve aksi bir tutumun silahların eşitliği ilkesinin ihlali anlamına geldiği gözetilerek Emniyet raporlarının kesin hüküm sayılması yerine savunma tarafına ham veriler üzerinde denetim imkânı verilmesini ve rapor aldırılmasını, MİT'ten temin edilen veriler üzerinde uluslararası standartlara haiz bağımsız ve tarafsız bir adli bilişim bilirkişisi tarafından inceleme yaptırılmasını talep ediyoruz (Yalçınkaya §§ 327, 331, 332-333, 334).</w:t>
      </w:r>
    </w:p>
    <w:p w:rsidR="008764AA" w:rsidRDefault="00000000">
      <w:pPr>
        <w:spacing w:before="80" w:after="80"/>
        <w:jc w:val="both"/>
      </w:pPr>
      <w:r>
        <w:rPr>
          <w:b/>
          <w:bCs/>
          <w:sz w:val="22"/>
          <w:szCs w:val="22"/>
        </w:rPr>
        <w:t xml:space="preserve">37.   </w:t>
      </w:r>
      <w:r>
        <w:rPr>
          <w:sz w:val="22"/>
          <w:szCs w:val="22"/>
        </w:rPr>
        <w:t>AİHM, MİT tarafından yayınlanan kullanıcı listeleri arasındaki tutarsızlıklar ve soruşturulan kişi sayısı ile indirme sayıları arasındaki farklar (215 bin kullanıcı vs 102 bin soruşturma) konusundaki savunma itirazlarının mahkemelerce aydınlatılmadığını, savunmanın delilin güvenilirliğini test etme imkânından yoksun bırakılmasının yargılamanın adilliğini sakatladığını tespit etmiştir (Yalçınkaya § 334).</w:t>
      </w:r>
    </w:p>
    <w:p w:rsidR="008764AA" w:rsidRDefault="00000000">
      <w:pPr>
        <w:spacing w:before="80" w:after="80"/>
        <w:jc w:val="both"/>
      </w:pPr>
      <w:r>
        <w:rPr>
          <w:b/>
          <w:bCs/>
          <w:sz w:val="22"/>
          <w:szCs w:val="22"/>
        </w:rPr>
        <w:t xml:space="preserve">38.   </w:t>
      </w:r>
      <w:r>
        <w:rPr>
          <w:sz w:val="22"/>
          <w:szCs w:val="22"/>
        </w:rPr>
        <w:t xml:space="preserve">Bu doğrultuda yerel mahkemelerin sanığın HTS kayıtları ile ByLock sinyallerinin örtüştüğü yönündeki tespiti ham verilerin incelenmesi ihtiyacını ortadan kaldırmaya yetmemektedir; zira HTS kayıtları sadece internet trafiğini gösterir, uygulamanın içeriğini veya kullanım şeklini kanıtlamaz, bu </w:t>
      </w:r>
      <w:r>
        <w:rPr>
          <w:sz w:val="22"/>
          <w:szCs w:val="22"/>
        </w:rPr>
        <w:lastRenderedPageBreak/>
        <w:t>nedenle savunmanın ham veriler üzerinde bilirkişi incelemesi yaptırma talebinin reddinin hak ihlali olduğu kabul edilerek dosyada bulunan HTS/CGNAT kayıtlarının ByLock sinyalleriyle uyumlu olmasının veya polis (KOM) tarafından düzenlenen 'Tespit ve Değerlendirme Tutanakları'nın varlığının ham verilerin incelenmesi gerekliliğini ortadan kaldırmadığının kabulünü ve MİT'ten temin edilen veriler üzerinde uluslararası standartlara uygun bağımsız ve tarafsız bir adli bilişim bilirkişisi tarafından inceleme yaptırılmasını talep ediyoruz (Yalçınkaya §§ 327, 333).</w:t>
      </w:r>
    </w:p>
    <w:p w:rsidR="008764AA" w:rsidRDefault="00000000">
      <w:pPr>
        <w:spacing w:before="80" w:after="80"/>
        <w:jc w:val="both"/>
      </w:pPr>
      <w:r>
        <w:rPr>
          <w:b/>
          <w:bCs/>
          <w:sz w:val="22"/>
          <w:szCs w:val="22"/>
        </w:rPr>
        <w:t xml:space="preserve">39.   </w:t>
      </w:r>
      <w:r>
        <w:rPr>
          <w:sz w:val="22"/>
          <w:szCs w:val="22"/>
        </w:rPr>
        <w:t>AİHM, verilerin MİT tarafından elde edildiği an ile adli makamlara teslim edildiği 09/12/2016 tarihi arasında geçen sürede veri bütünlüğünün korunduğuna dair teknik güvencelerin (ilk HASH değeri, zaman damgası vb.) eksik olduğunu saptamış; Hükümetin MİT'in verileri istihbari yöntemlerle topladığına ve bu aşamada yargısal denetime tabi olmadığına dair savunması bu verilerin daha sonra ceza yargılamasında "tek ve belirleyici delil" olarak kullanılması gerçeği karşısında yetersiz kalmıştır (Yalçınkaya §§ 293, 333, 334).</w:t>
      </w:r>
    </w:p>
    <w:p w:rsidR="008764AA" w:rsidRDefault="00000000">
      <w:pPr>
        <w:spacing w:before="80" w:after="80"/>
        <w:jc w:val="both"/>
      </w:pPr>
      <w:r>
        <w:rPr>
          <w:b/>
          <w:bCs/>
          <w:sz w:val="22"/>
          <w:szCs w:val="22"/>
        </w:rPr>
        <w:t xml:space="preserve">40.   </w:t>
      </w:r>
      <w:r>
        <w:rPr>
          <w:sz w:val="22"/>
          <w:szCs w:val="22"/>
        </w:rPr>
        <w:t>Bu ihlal gerekçesi doğrultusunda AİHM verilerin adli makamlara tesliminden sonra alınan mahkeme kararlarının (özellikle Ankara 4. Sulh Ceza Hâkimliği kararı) verilerin toplanma aşamasındaki yargısal denetim eksikliğini ve geçmişe dönük belirsizlikleri gideremeyeceğini tespit ettiği için istihbari amaçla toplanan verilerin delil olarak kullanılmasını eleştirmiş olup verilerin değiştirilmediğini veya bozulmadığını garanti edecek teknik verilerin dosyada bulunmaması savunma hakkını kısıtladığından verilerin ilk hali ile dosyaya giren hali arasındaki tutarlılığın teknik verilerle ispatlanmasını, şayet HASH değerleri karşılaştırılamıyor veya veri bütünlüğü teknik olarak doğrulanamıyorsa şaibeli hale gelen bu verilerin CMK m.217/2 uyarınca hükme esas alınmamasını ve delil listesinden çıkarılmasını talep ediyoruz (Yalçınkaya §§ 317, 334).</w:t>
      </w:r>
    </w:p>
    <w:p w:rsidR="008764AA" w:rsidRDefault="00000000">
      <w:pPr>
        <w:spacing w:before="80" w:after="80"/>
        <w:jc w:val="both"/>
      </w:pPr>
      <w:r>
        <w:rPr>
          <w:b/>
          <w:bCs/>
          <w:sz w:val="22"/>
          <w:szCs w:val="22"/>
        </w:rPr>
        <w:t xml:space="preserve">41.   </w:t>
      </w:r>
      <w:r>
        <w:rPr>
          <w:sz w:val="22"/>
          <w:szCs w:val="22"/>
        </w:rPr>
        <w:t>AİHM, savunmanın sadece polis tarafından düzenlenen raporlara erişebilmesini yetersiz bulmuş; "ham verilerin" ve çalışma algoritmasının savunmadan saklanmasını silahların eşitliği ilkesine aykırı bulmuştur; başvuranın ham verilere erişim talebi gerekçe gösterilmeksizin reddedilmiştir (Yalçınkaya §§ 327, 331). AİHM ByLock verilerinin güvenilirliğinin ve bütünlüğünün ancak tüm veri setinin bağımsız bir gözle incelenmesiyle sağlanabileceğini belirtmiş; ham verilere erişimin sağlanamadığı durumlarda dahi yargılamada "adil denge"nin korunabilmesi için sanığa en azından kendisiyle ilgili deşifre edilmiş tüm içeriklere erişim hakkı tanınması gerektiğini vurgulamıştır; ancak bu veriler ya dosyaya çok geç girmiş ya da sanığın içeriklere ilişkin itirazları Yargıtay tarafından dikkate alınmamıştır (Yalçınkaya §§ 332-333, 335-337).</w:t>
      </w:r>
    </w:p>
    <w:p w:rsidR="008764AA" w:rsidRDefault="00000000">
      <w:pPr>
        <w:spacing w:before="80" w:after="80"/>
        <w:jc w:val="both"/>
      </w:pPr>
      <w:r>
        <w:rPr>
          <w:b/>
          <w:bCs/>
          <w:sz w:val="22"/>
          <w:szCs w:val="22"/>
        </w:rPr>
        <w:t xml:space="preserve">42.   </w:t>
      </w:r>
      <w:r>
        <w:rPr>
          <w:sz w:val="22"/>
          <w:szCs w:val="22"/>
        </w:rPr>
        <w:t>"Silahların eşitliği" ilkesi gereği iddia makamının elinde bulunan delillerin tamamına savunma makamının da aynı koşullarda erişebilmesi gerekmektedir; savunmanın ByLock verilerinin "ham haline" ve "çalışma algoritmasına" erişiminin engellenmesini ve sadece polis tarafından filtrelenmiş raporlarla yetinilmek zorunda bırakılmasını ağır bir ihlal olarak nitelendirdiği için kullanıcı ID, IP eşleşmeleri, log kayıtları ve mesaj içerikleri dâhil olmak üzere iddialara dayanak teşkil eden tüm ham verilerin eksiksiz bir dijital kopyasının tarafımıza tevdi edilmesini, bu verilerin teknik imkânsızlıklar nedeniyle verilememesi durumunda ise bu imkânsızlığın nedenlerinin mahkemenizce tatmin edici bir gerekçeyle açıklanmasını, şahsıma/eşime/müvekkile ait olduğu iddia edilen tüm çözümlenmiş içeriklerin (mesaj, arama kaydı, mail vb.) eksiksiz olarak tarafımıza teslim edilmesini ve bu içeriklere karşı beyanda bulunma ve savunma yapma hakkımızın kullandırılmasını talep ediyoruz (Yalçınkaya §§ 327, 331, 332-333, 335-336).</w:t>
      </w:r>
    </w:p>
    <w:p w:rsidR="008764AA" w:rsidRDefault="00000000">
      <w:pPr>
        <w:spacing w:before="80" w:after="80"/>
        <w:jc w:val="both"/>
      </w:pPr>
      <w:r>
        <w:rPr>
          <w:b/>
          <w:bCs/>
          <w:sz w:val="22"/>
          <w:szCs w:val="22"/>
        </w:rPr>
        <w:t xml:space="preserve">43.   </w:t>
      </w:r>
      <w:r>
        <w:rPr>
          <w:sz w:val="22"/>
          <w:szCs w:val="22"/>
        </w:rPr>
        <w:t>AİHM, uygulamanın halka açık mağazalardan (Google Play, App Store vb.) indirilebilir olduğu bir dönemde "münhasırlık" iddiasının zayıfladığını ve indirme sayıları (yaklaşık 600 bin) ile tespit edilen kullanıcı sayıları (102 bin - 215 bin) arasındaki tutarsızlıkların giderilmediğini belirtmiştir; ByLock'un "münhasıran" kullanıldığı iddiası AİHM tarafından sorgulanmış, uygulamanın 2016 başına kadar halka açık uygulama mağazalarından indirilebilir olması münhasırlık tezini zayıflatmaktadır, AİHM Yargıtay'ın "talimatla ağa katılma" kriterini koymasına rağmen somut dosyalarda bu talimatın varlığını araştırmadan hüküm kurmasını eleştirmiştir (Yalçınkaya §§ 334, 337-339, 338-339).</w:t>
      </w:r>
    </w:p>
    <w:p w:rsidR="008764AA" w:rsidRDefault="00000000">
      <w:pPr>
        <w:spacing w:before="80" w:after="80"/>
        <w:jc w:val="both"/>
      </w:pPr>
      <w:r>
        <w:rPr>
          <w:b/>
          <w:bCs/>
          <w:sz w:val="22"/>
          <w:szCs w:val="22"/>
        </w:rPr>
        <w:t xml:space="preserve">44.   </w:t>
      </w:r>
      <w:r>
        <w:rPr>
          <w:sz w:val="22"/>
          <w:szCs w:val="22"/>
        </w:rPr>
        <w:t>Bu tespitler doğrultusunda yargı organlarının uygulamanın teknik özelliklerinden yola çıkarak "kategorik ve tekdüze" bir varsayımla hareket etmesinin kişisel kusur ilkesini zedelediği gözetilerek münhasırlık iddiasının istihbarat raporlarına dayalı soyut varsayımlarla değil mağaza kayıtları, indirme istatistikleri ve server logları gibi somut teknik verilerle ispatlanmasını, aksi halde bu iddianın sanık aleyhine bir karine olarak kullanılmamasını talep ediyoruz (Yalçınkaya §§ 334, 337-339).</w:t>
      </w:r>
    </w:p>
    <w:p w:rsidR="008764AA" w:rsidRDefault="00000000">
      <w:pPr>
        <w:spacing w:before="80" w:after="80"/>
        <w:jc w:val="both"/>
      </w:pPr>
      <w:r>
        <w:rPr>
          <w:b/>
          <w:bCs/>
          <w:sz w:val="22"/>
          <w:szCs w:val="22"/>
        </w:rPr>
        <w:lastRenderedPageBreak/>
        <w:t xml:space="preserve">45.   </w:t>
      </w:r>
      <w:r>
        <w:rPr>
          <w:sz w:val="22"/>
          <w:szCs w:val="22"/>
        </w:rPr>
        <w:t>AİHM, mahkûmiyetlerin temel dayanağının ByLock olduğunu, Bank Asya hesabı, sendika veya dernek üyeliği gibi yan delillerin ise sonucu belirleyici bir etkisi olmadığını tespit etmiştir; mahkeme bu faaliyetlerin suç tarihinde yasal ve hukuka uygun eylemler olduğunu, bunların nasıl bir suçun delili sayıldığının yerel mahkemelerce ikna edici şekilde açıklanamadığını belirtmiştir (Yalçınkaya §§ 242-243).</w:t>
      </w:r>
    </w:p>
    <w:p w:rsidR="008764AA" w:rsidRDefault="00000000">
      <w:pPr>
        <w:spacing w:before="80" w:after="80"/>
        <w:jc w:val="both"/>
      </w:pPr>
      <w:r>
        <w:rPr>
          <w:b/>
          <w:bCs/>
          <w:sz w:val="22"/>
          <w:szCs w:val="22"/>
        </w:rPr>
        <w:t xml:space="preserve">46.   </w:t>
      </w:r>
      <w:r>
        <w:rPr>
          <w:sz w:val="22"/>
          <w:szCs w:val="22"/>
        </w:rPr>
        <w:t>AİHM'in 6. madde kapsamında dile getirdiği hususlar dikkate alındığında, ByLock'un CMK'nın 134. maddesinde öngörülen usule uygun şekilde elde edilmediği açıktır. Zira bu madde gereğince, dijital bir delille ilgili arama, el koyma ve imaj alma (kopyalama) yapılabilmesi için başlatılmış olan cezai bir soruşturmanın varlığı ve bu tedbirlere bu soruşturma kapsamında karar verilmesi gerekir; ByLock'ta ise bu süreç tersten işletilmiştir. Herhangi bir soruşturma olmadan ve adli kolluk yetki ve görevi olmayan MİT'in istihbari yollarla elde edip üzerinde AİHM'in de belirttiği şekliyle aylarca çalışılan ByLock verileri savcılığa teslim edildiği gün ByLock'la ilgili soruşturma başlatılmıştır. ByLock verileri, bir hakim kararına istinaden değil, istihbari çalışmayla elde edilmiştir. Hakim tarafından verilecek arama kararı üzerine elde edilip el konulması gereken ByLock verileri böyle bir karar olmadan ve Litvanya ülkesinde olan veriler bu ülkeyle 6706 sayılı Yasaya uygun şekilde adli yardımlaşma (istinabe) yapılmadan ele geçirilmiştir. CMK'ya aykırı bu elde etme yöntemi nedeniyle, ByLock ile ilgili verilen ilk karar olan Ankara 4. Sulh Ceza Mahkemesinin kararı da arama ve elkoymaya ilişkin olmayıp sadece imaj almaya (kopyalama) ilişkindir. Ancak, usulüne uygun şekilde ve hakim kararın üzerine yapılmamış bir aramada elde edilen delilin sadece imajının alınmasına hakim tarafından karar verilmesi, o delilin elde edilme sürecindeki hukuka aykırılıkları ortadan kaldırmaz. CMK 134. maddenin amacı, göstermelik de olsa bir delilin elde edilmesiyle ilgili sonradan da olsa bir hakim kararı bulunması değil, dijital delilin en baştan itibaren öngörülen usule uygun şekilde elde edilmesidir.</w:t>
      </w:r>
    </w:p>
    <w:p w:rsidR="008764AA" w:rsidRDefault="00000000">
      <w:pPr>
        <w:spacing w:before="80" w:after="80"/>
        <w:jc w:val="both"/>
      </w:pPr>
      <w:r>
        <w:rPr>
          <w:b/>
          <w:bCs/>
          <w:sz w:val="22"/>
          <w:szCs w:val="22"/>
        </w:rPr>
        <w:t xml:space="preserve">47.   </w:t>
      </w:r>
      <w:r>
        <w:rPr>
          <w:sz w:val="22"/>
          <w:szCs w:val="22"/>
        </w:rPr>
        <w:t>Aynı şekilde, ByLock verileri 5809 sayılı Elektronik Haberleşme Kanunu ve bu kanuna dayanarak çıkarılan yönetmeliklerde öngörülen 1 yıllık yasal saklama süresi geçtikten sonra dosyalara dahil edilmiştir; yani normalde imha edilmesi gereken ve artık yasal delil statüsünde olmayan verilere dayalı olarak yargılamalar yapılmaktadır. Ayrıca, Ankara C. Başsavcılığının aldırdığı bilirkişi raporundan da anlaşılacağı üzere yapısı bozuktur ve orijinal değildir. Kısaca, AİHM'in ihlal gerekçesinde yer verdiği ve burada söylediğimiz hususlar ByLock'un en başından itibaren hukuka aykırı delil olduğunun göstergesidir. Hukuka aykırı bir delil, CMK gereğince delil olarak kullanılamaz. Hukuka aykırı delil konusunda CMK'nın standardı AİHS standardının çok daha üzerindedir; zira AİHM, delil hukuka aykırı olsa bile bu delilin yargılamanın bütününe etkisine baktığını söylemektedir, CMK'da ise hukuka aykırı delil hiçbir şekilde yargılamada kullanılamaz.</w:t>
      </w:r>
    </w:p>
    <w:p w:rsidR="008764AA" w:rsidRDefault="00000000">
      <w:pPr>
        <w:spacing w:before="80" w:after="80"/>
        <w:jc w:val="both"/>
      </w:pPr>
      <w:r>
        <w:rPr>
          <w:b/>
          <w:bCs/>
          <w:sz w:val="22"/>
          <w:szCs w:val="22"/>
        </w:rPr>
        <w:t xml:space="preserve">48.   </w:t>
      </w:r>
      <w:r>
        <w:rPr>
          <w:sz w:val="22"/>
          <w:szCs w:val="22"/>
        </w:rPr>
        <w:t xml:space="preserve">Sonuç olarak AİHM, elektronik delillerin elde edilmesi ve kullanılmasında savunma haklarının gözetilmediği, silahların eşitliği ilkesinin ihlal edildiği ve yargılamanın bir bütün olarak adil olmadığına ilişkin tespitler doğrultusunda </w:t>
      </w:r>
      <w:r>
        <w:rPr>
          <w:i/>
          <w:iCs/>
          <w:sz w:val="22"/>
          <w:szCs w:val="22"/>
        </w:rPr>
        <w:t>Yalçınkaya</w:t>
      </w:r>
      <w:r>
        <w:rPr>
          <w:sz w:val="22"/>
          <w:szCs w:val="22"/>
        </w:rPr>
        <w:t xml:space="preserve"> kararında adil yargılanma hakkı bağlamında tespit edilen hususların bu dosyalar için de geçerli olduğunu açıkça belirtmiştir (Yalçınkaya §§ 344-345; Demirhan § 46). Yeniden yapılacak yargılamada; gerek AİHM'in ihlal tespitleri gerekse yukarıda ayrıntılarıyla yer verdiğimiz hususlar araştırılarak, öncelikle ByLock'un hukuka aykırı delil olduğunun tespitiyle dosyadan çıkarılmasını, delil olarak kabul edilmemesini ve verilecek kararda dikkate alınmamasını; dosyadaki diğer hususlar değerlendirilirken ise </w:t>
      </w:r>
      <w:r>
        <w:rPr>
          <w:i/>
          <w:iCs/>
          <w:sz w:val="22"/>
          <w:szCs w:val="22"/>
        </w:rPr>
        <w:t>Yalçınkaya</w:t>
      </w:r>
      <w:r>
        <w:rPr>
          <w:sz w:val="22"/>
          <w:szCs w:val="22"/>
        </w:rPr>
        <w:t xml:space="preserve"> içtihadında ortaya konulan kriterler uyarınca suç ve cezada şahsilik ilkesi gereği yasal ve rutin faaliyetlere kişiselleştirilmiş somut bir suç kastı ortaya konulmaksızın belirleyici bir ağırlık verilmemesini, bu delillerin tek başına "silahlı terör örgütü üyeliği" suçunun unsurlarını oluşturup oluşturmadığının AİHM'in güncel içtihadı ışığında yeniden değerlendirilmesini ve sonuç olarak verinin yasallığı, bütünlüğü ve güvenilirliği ile münhasırlık iddiası somut teknik verilerle şüpheye yer bırakmayacak şekilde doğrulanmadan AİHM'in </w:t>
      </w:r>
      <w:r>
        <w:rPr>
          <w:i/>
          <w:iCs/>
          <w:sz w:val="22"/>
          <w:szCs w:val="22"/>
        </w:rPr>
        <w:t>Yalçınkaya</w:t>
      </w:r>
      <w:r>
        <w:rPr>
          <w:sz w:val="22"/>
          <w:szCs w:val="22"/>
        </w:rPr>
        <w:t xml:space="preserve"> ve </w:t>
      </w:r>
      <w:r>
        <w:rPr>
          <w:i/>
          <w:iCs/>
          <w:sz w:val="22"/>
          <w:szCs w:val="22"/>
        </w:rPr>
        <w:t>Demirhan</w:t>
      </w:r>
      <w:r>
        <w:rPr>
          <w:sz w:val="22"/>
          <w:szCs w:val="22"/>
        </w:rPr>
        <w:t xml:space="preserve"> kararlarındaki tespitlerine aykırı şekilde ByLock'a dayanılarak hüküm kurulmamasını talep ediyoruz (Yalçınkaya §§ 242-243, 293, 317, 327, 331, 332-333, 334, 335-337, 337-339, 344-345).</w:t>
      </w:r>
    </w:p>
    <w:p w:rsidR="008764AA" w:rsidRPr="00934C33" w:rsidRDefault="00000000" w:rsidP="00934C33">
      <w:pPr>
        <w:spacing w:before="240" w:after="120"/>
        <w:jc w:val="both"/>
      </w:pPr>
      <w:r w:rsidRPr="00934C33">
        <w:rPr>
          <w:b/>
          <w:bCs/>
          <w:sz w:val="22"/>
          <w:szCs w:val="22"/>
        </w:rPr>
        <w:t>VI. NETİCE VE TALEP</w:t>
      </w:r>
    </w:p>
    <w:p w:rsidR="008764AA" w:rsidRDefault="00000000">
      <w:pPr>
        <w:spacing w:before="80" w:after="80"/>
        <w:jc w:val="both"/>
      </w:pPr>
      <w:r>
        <w:rPr>
          <w:b/>
          <w:bCs/>
          <w:sz w:val="22"/>
          <w:szCs w:val="22"/>
        </w:rPr>
        <w:t xml:space="preserve">49.   </w:t>
      </w:r>
      <w:r>
        <w:rPr>
          <w:sz w:val="22"/>
          <w:szCs w:val="22"/>
        </w:rPr>
        <w:t xml:space="preserve">AİHM'in </w:t>
      </w:r>
      <w:r>
        <w:rPr>
          <w:i/>
          <w:iCs/>
          <w:sz w:val="22"/>
          <w:szCs w:val="22"/>
        </w:rPr>
        <w:t>Dönmez ve Diğerleri</w:t>
      </w:r>
      <w:r>
        <w:rPr>
          <w:sz w:val="22"/>
          <w:szCs w:val="22"/>
        </w:rPr>
        <w:t xml:space="preserve"> kararında </w:t>
      </w:r>
      <w:r w:rsidRPr="00934C33">
        <w:rPr>
          <w:sz w:val="22"/>
          <w:szCs w:val="22"/>
          <w:highlight w:val="yellow"/>
        </w:rPr>
        <w:t>şahsımla/eşimle/müvekkille</w:t>
      </w:r>
      <w:r>
        <w:rPr>
          <w:sz w:val="22"/>
          <w:szCs w:val="22"/>
        </w:rPr>
        <w:t xml:space="preserve"> ilgili AİHS'in 7. maddesi kapsamında verdiği ihlal kararı ve CMK'nın 311/1-f maddesi gereğince yapılan işbu yeniden yargılanma talebinin kabulüne,</w:t>
      </w:r>
    </w:p>
    <w:p w:rsidR="008764AA" w:rsidRDefault="00000000">
      <w:pPr>
        <w:spacing w:before="80" w:after="80"/>
        <w:jc w:val="both"/>
      </w:pPr>
      <w:r>
        <w:rPr>
          <w:b/>
          <w:bCs/>
          <w:sz w:val="22"/>
          <w:szCs w:val="22"/>
        </w:rPr>
        <w:lastRenderedPageBreak/>
        <w:t xml:space="preserve">50.   </w:t>
      </w:r>
      <w:r>
        <w:rPr>
          <w:i/>
          <w:iCs/>
          <w:sz w:val="22"/>
          <w:szCs w:val="22"/>
        </w:rPr>
        <w:t>Yalçınkaya</w:t>
      </w:r>
      <w:r>
        <w:rPr>
          <w:sz w:val="22"/>
          <w:szCs w:val="22"/>
        </w:rPr>
        <w:t xml:space="preserve">, </w:t>
      </w:r>
      <w:r>
        <w:rPr>
          <w:i/>
          <w:iCs/>
          <w:sz w:val="22"/>
          <w:szCs w:val="22"/>
        </w:rPr>
        <w:t>Dönmez ve Diğerleri</w:t>
      </w:r>
      <w:r>
        <w:rPr>
          <w:sz w:val="22"/>
          <w:szCs w:val="22"/>
        </w:rPr>
        <w:t xml:space="preserve"> ve </w:t>
      </w:r>
      <w:r>
        <w:rPr>
          <w:i/>
          <w:iCs/>
          <w:sz w:val="22"/>
          <w:szCs w:val="22"/>
        </w:rPr>
        <w:t>Yasak</w:t>
      </w:r>
      <w:r>
        <w:rPr>
          <w:sz w:val="22"/>
          <w:szCs w:val="22"/>
        </w:rPr>
        <w:t xml:space="preserve"> kararlarında AİHM'in verdiği ihlal kararlarının giderilmesi adına mahkemenizden talepte </w:t>
      </w:r>
      <w:r w:rsidRPr="00934C33">
        <w:rPr>
          <w:sz w:val="22"/>
          <w:szCs w:val="22"/>
          <w:highlight w:val="yellow"/>
        </w:rPr>
        <w:t>bulunduğum/bulunduğumuz</w:t>
      </w:r>
      <w:r>
        <w:rPr>
          <w:sz w:val="22"/>
          <w:szCs w:val="22"/>
        </w:rPr>
        <w:t xml:space="preserve"> hususlar ile bu kapsamda heyetinizin uygun göreceği hususların araştırılmasına,</w:t>
      </w:r>
    </w:p>
    <w:p w:rsidR="008764AA" w:rsidRPr="00934C33" w:rsidRDefault="00000000">
      <w:pPr>
        <w:spacing w:before="80" w:after="80"/>
        <w:jc w:val="both"/>
        <w:rPr>
          <w:b/>
          <w:bCs/>
        </w:rPr>
      </w:pPr>
      <w:r>
        <w:rPr>
          <w:b/>
          <w:bCs/>
          <w:sz w:val="22"/>
          <w:szCs w:val="22"/>
        </w:rPr>
        <w:t xml:space="preserve">51.   </w:t>
      </w:r>
      <w:r>
        <w:rPr>
          <w:sz w:val="22"/>
          <w:szCs w:val="22"/>
        </w:rPr>
        <w:t xml:space="preserve">Yapılan araştırma neticesinde, </w:t>
      </w:r>
      <w:r w:rsidRPr="00934C33">
        <w:rPr>
          <w:sz w:val="22"/>
          <w:szCs w:val="22"/>
          <w:highlight w:val="yellow"/>
        </w:rPr>
        <w:t>üzerime/Eşimin üzerine/müvekkilin üzerine</w:t>
      </w:r>
      <w:r>
        <w:rPr>
          <w:sz w:val="22"/>
          <w:szCs w:val="22"/>
        </w:rPr>
        <w:t xml:space="preserve"> atılı suçun unsurlarının oluşmadığı ve atılı bu suçu </w:t>
      </w:r>
      <w:r w:rsidRPr="00934C33">
        <w:rPr>
          <w:sz w:val="22"/>
          <w:szCs w:val="22"/>
          <w:highlight w:val="yellow"/>
        </w:rPr>
        <w:t>işlediği/işlediğim</w:t>
      </w:r>
      <w:r>
        <w:rPr>
          <w:sz w:val="22"/>
          <w:szCs w:val="22"/>
        </w:rPr>
        <w:t xml:space="preserve"> hususunda cezalandırmaya yeter her türlü şüpheden uzak, kesin ve inandırıcı delil bulunmadığının tespitiyle Anayasa'nın 36, 38, 90, 138; AİHS'in 6, 7, 46 ve CMK'nın 223/2-a maddesinde ifadesini bulan </w:t>
      </w:r>
      <w:r w:rsidRPr="00934C33">
        <w:rPr>
          <w:b/>
          <w:bCs/>
          <w:i/>
          <w:iCs/>
          <w:sz w:val="22"/>
          <w:szCs w:val="22"/>
        </w:rPr>
        <w:t xml:space="preserve">"yüklenen fiilin kanunda suç olarak tanımlanmamış olması" </w:t>
      </w:r>
      <w:r>
        <w:rPr>
          <w:sz w:val="22"/>
          <w:szCs w:val="22"/>
        </w:rPr>
        <w:t xml:space="preserve">gerekçesiyle </w:t>
      </w:r>
      <w:r w:rsidRPr="00934C33">
        <w:rPr>
          <w:sz w:val="22"/>
          <w:szCs w:val="22"/>
          <w:highlight w:val="yellow"/>
        </w:rPr>
        <w:t xml:space="preserve">hakkımda/eşim hakkında/müvekkil hakkında </w:t>
      </w:r>
      <w:r w:rsidRPr="00934C33">
        <w:rPr>
          <w:b/>
          <w:bCs/>
          <w:sz w:val="22"/>
          <w:szCs w:val="22"/>
          <w:highlight w:val="yellow"/>
        </w:rPr>
        <w:t>BERAAT</w:t>
      </w:r>
      <w:r w:rsidRPr="00934C33">
        <w:rPr>
          <w:sz w:val="22"/>
          <w:szCs w:val="22"/>
          <w:highlight w:val="yellow"/>
        </w:rPr>
        <w:t xml:space="preserve"> ve öncelikle infazın </w:t>
      </w:r>
      <w:r w:rsidRPr="00934C33">
        <w:rPr>
          <w:b/>
          <w:bCs/>
          <w:sz w:val="22"/>
          <w:szCs w:val="22"/>
          <w:highlight w:val="yellow"/>
        </w:rPr>
        <w:t>DURDURULMASINA</w:t>
      </w:r>
      <w:r w:rsidRPr="00934C33">
        <w:rPr>
          <w:sz w:val="22"/>
          <w:szCs w:val="22"/>
          <w:highlight w:val="yellow"/>
        </w:rPr>
        <w:t xml:space="preserve"> ve sonrasında </w:t>
      </w:r>
      <w:r w:rsidRPr="00934C33">
        <w:rPr>
          <w:b/>
          <w:bCs/>
          <w:sz w:val="22"/>
          <w:szCs w:val="22"/>
          <w:highlight w:val="yellow"/>
        </w:rPr>
        <w:t>TAHLİYESİNE</w:t>
      </w:r>
      <w:r w:rsidRPr="00934C33">
        <w:rPr>
          <w:sz w:val="22"/>
          <w:szCs w:val="22"/>
          <w:highlight w:val="yellow"/>
        </w:rPr>
        <w:t xml:space="preserve"> (sanık tutukluysa)</w:t>
      </w:r>
      <w:r>
        <w:rPr>
          <w:sz w:val="22"/>
          <w:szCs w:val="22"/>
        </w:rPr>
        <w:t xml:space="preserve"> Adli Sicil Yönetmeliğinin 3. ve 13/3. maddesi gereğince tali karar fişi </w:t>
      </w:r>
      <w:r w:rsidRPr="00934C33">
        <w:rPr>
          <w:b/>
          <w:bCs/>
          <w:sz w:val="22"/>
          <w:szCs w:val="22"/>
        </w:rPr>
        <w:t>DÜZENLENMESİNE</w:t>
      </w:r>
      <w:r>
        <w:rPr>
          <w:sz w:val="22"/>
          <w:szCs w:val="22"/>
        </w:rPr>
        <w:t xml:space="preserve">, AİHM karar gereği yargılamanın yenilenmesi sonucunda verilecek beraat kararının kesinleşmesi ile birlikte önceki mahkûmiyet kararına ilişkin adlî sicil ve arşiv kaydının tamamen silinmesi amacıyla ek kararın ve düzenlenen tali karar fişinin adli sicil kaydına işlenmek üzere Adli Sicil İstatistik Müdürlüğüne </w:t>
      </w:r>
      <w:r w:rsidRPr="00934C33">
        <w:rPr>
          <w:b/>
          <w:bCs/>
          <w:sz w:val="22"/>
          <w:szCs w:val="22"/>
        </w:rPr>
        <w:t>GÖNDERİLMESİNE,</w:t>
      </w:r>
      <w:r>
        <w:rPr>
          <w:sz w:val="22"/>
          <w:szCs w:val="22"/>
        </w:rPr>
        <w:t xml:space="preserve"> infaz evraklarının işlemsiz olarak mahkemenize gönderilmesi için Cumhuriyet Başsavcılığına </w:t>
      </w:r>
      <w:r w:rsidRPr="00934C33">
        <w:rPr>
          <w:b/>
          <w:bCs/>
          <w:sz w:val="22"/>
          <w:szCs w:val="22"/>
        </w:rPr>
        <w:t>MÜZEKKERE YAZILMASINA,</w:t>
      </w:r>
    </w:p>
    <w:p w:rsidR="008764AA" w:rsidRDefault="00000000">
      <w:pPr>
        <w:spacing w:before="80" w:after="80"/>
        <w:jc w:val="both"/>
      </w:pPr>
      <w:r>
        <w:rPr>
          <w:sz w:val="22"/>
          <w:szCs w:val="22"/>
        </w:rPr>
        <w:t>Karar verilmesini,</w:t>
      </w:r>
    </w:p>
    <w:p w:rsidR="008764AA" w:rsidRDefault="00000000">
      <w:pPr>
        <w:spacing w:before="80" w:after="80"/>
        <w:jc w:val="both"/>
      </w:pPr>
      <w:r>
        <w:rPr>
          <w:sz w:val="22"/>
          <w:szCs w:val="22"/>
        </w:rPr>
        <w:t xml:space="preserve">Saygılarımla arz ve talep ederim/ederiz.  </w:t>
      </w:r>
      <w:r w:rsidRPr="00934C33">
        <w:rPr>
          <w:sz w:val="22"/>
          <w:szCs w:val="22"/>
          <w:highlight w:val="yellow"/>
        </w:rPr>
        <w:t>…../…./2026</w:t>
      </w:r>
    </w:p>
    <w:p w:rsidR="008764AA" w:rsidRDefault="008764AA">
      <w:pPr>
        <w:spacing w:before="80" w:after="80"/>
        <w:jc w:val="both"/>
      </w:pPr>
    </w:p>
    <w:p w:rsidR="008764AA" w:rsidRDefault="00000000">
      <w:pPr>
        <w:spacing w:before="80" w:after="80"/>
        <w:jc w:val="right"/>
      </w:pPr>
      <w:r>
        <w:rPr>
          <w:sz w:val="22"/>
          <w:szCs w:val="22"/>
        </w:rPr>
        <w:t>Hükümlü/Eşi/Müdafii</w:t>
      </w:r>
    </w:p>
    <w:p w:rsidR="008764AA" w:rsidRDefault="00934C33" w:rsidP="00934C33">
      <w:pPr>
        <w:spacing w:before="80" w:after="200"/>
        <w:ind w:left="5664" w:firstLine="708"/>
        <w:jc w:val="center"/>
      </w:pPr>
      <w:r>
        <w:rPr>
          <w:sz w:val="22"/>
          <w:szCs w:val="22"/>
        </w:rPr>
        <w:t xml:space="preserve">         </w:t>
      </w:r>
      <w:r w:rsidR="00000000">
        <w:rPr>
          <w:sz w:val="22"/>
          <w:szCs w:val="22"/>
        </w:rPr>
        <w:t>İmza</w:t>
      </w:r>
    </w:p>
    <w:p w:rsidR="008764AA" w:rsidRDefault="00000000" w:rsidP="00934C33">
      <w:pPr>
        <w:spacing w:before="240" w:after="120"/>
        <w:jc w:val="both"/>
      </w:pPr>
      <w:r>
        <w:rPr>
          <w:b/>
          <w:bCs/>
          <w:sz w:val="22"/>
          <w:szCs w:val="22"/>
          <w:u w:val="single"/>
        </w:rPr>
        <w:t>EK'LER</w:t>
      </w:r>
    </w:p>
    <w:p w:rsidR="008764AA" w:rsidRDefault="00000000">
      <w:pPr>
        <w:spacing w:before="80" w:after="80"/>
        <w:ind w:left="720"/>
        <w:jc w:val="both"/>
      </w:pPr>
      <w:r>
        <w:rPr>
          <w:sz w:val="22"/>
          <w:szCs w:val="22"/>
        </w:rPr>
        <w:t>1.   Nüfus Aile Kayıt Örneği,</w:t>
      </w:r>
    </w:p>
    <w:p w:rsidR="008764AA" w:rsidRDefault="00000000">
      <w:pPr>
        <w:spacing w:before="80" w:after="80"/>
        <w:ind w:left="720"/>
        <w:jc w:val="both"/>
      </w:pPr>
      <w:r>
        <w:rPr>
          <w:sz w:val="22"/>
          <w:szCs w:val="22"/>
        </w:rPr>
        <w:t>2.   T.C. Kimlik Fotokopisi,</w:t>
      </w:r>
    </w:p>
    <w:p w:rsidR="008764AA" w:rsidRDefault="00000000">
      <w:pPr>
        <w:spacing w:before="80" w:after="80"/>
        <w:ind w:left="720"/>
        <w:jc w:val="both"/>
      </w:pPr>
      <w:r>
        <w:rPr>
          <w:sz w:val="22"/>
          <w:szCs w:val="22"/>
        </w:rPr>
        <w:t>3.   AİHM'in Dönmez ve Diğerleri/Türkiye Kararının HUDOC'ta Yayımlanan Türkçe Çevirisi,</w:t>
      </w:r>
    </w:p>
    <w:p w:rsidR="008764AA" w:rsidRDefault="00000000">
      <w:pPr>
        <w:spacing w:before="80" w:after="80"/>
        <w:ind w:left="720"/>
        <w:jc w:val="both"/>
      </w:pPr>
      <w:r>
        <w:rPr>
          <w:sz w:val="22"/>
          <w:szCs w:val="22"/>
        </w:rPr>
        <w:t>4.   Yasak/Türkiye Büyük Daire karar özeti.</w:t>
      </w:r>
    </w:p>
    <w:p w:rsidR="008764AA" w:rsidRDefault="008764AA">
      <w:pPr>
        <w:spacing w:before="80" w:after="80"/>
        <w:jc w:val="both"/>
      </w:pPr>
    </w:p>
    <w:p w:rsidR="008764AA" w:rsidRPr="00934C33" w:rsidRDefault="00000000">
      <w:pPr>
        <w:spacing w:before="80" w:after="80"/>
        <w:jc w:val="both"/>
      </w:pPr>
      <w:r w:rsidRPr="00934C33">
        <w:rPr>
          <w:b/>
          <w:bCs/>
          <w:sz w:val="22"/>
          <w:szCs w:val="22"/>
        </w:rPr>
        <w:t>Dikkat:</w:t>
      </w:r>
      <w:r w:rsidRPr="00934C33">
        <w:rPr>
          <w:sz w:val="22"/>
          <w:szCs w:val="22"/>
        </w:rPr>
        <w:t xml:space="preserve"> </w:t>
      </w:r>
      <w:r w:rsidRPr="00934C33">
        <w:rPr>
          <w:sz w:val="22"/>
          <w:szCs w:val="22"/>
          <w:highlight w:val="yellow"/>
        </w:rPr>
        <w:t>Eşlerin 1 ve 2 numaralı belgeleri eklemeleri, başvuru yapan herkesin de 3 ve 4 numaralı evrakları eklemesi gerekir.</w:t>
      </w:r>
    </w:p>
    <w:p w:rsidR="00934C33" w:rsidRPr="00934C33" w:rsidRDefault="00934C33">
      <w:pPr>
        <w:spacing w:before="80" w:after="80"/>
        <w:jc w:val="both"/>
      </w:pPr>
    </w:p>
    <w:sectPr w:rsidR="00934C33" w:rsidRPr="00934C3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41169C"/>
    <w:multiLevelType w:val="hybridMultilevel"/>
    <w:tmpl w:val="16422904"/>
    <w:lvl w:ilvl="0" w:tplc="F3964350">
      <w:start w:val="1"/>
      <w:numFmt w:val="bullet"/>
      <w:lvlText w:val="●"/>
      <w:lvlJc w:val="left"/>
      <w:pPr>
        <w:ind w:left="720" w:hanging="360"/>
      </w:pPr>
    </w:lvl>
    <w:lvl w:ilvl="1" w:tplc="D35E4926">
      <w:start w:val="1"/>
      <w:numFmt w:val="bullet"/>
      <w:lvlText w:val="○"/>
      <w:lvlJc w:val="left"/>
      <w:pPr>
        <w:ind w:left="1440" w:hanging="360"/>
      </w:pPr>
    </w:lvl>
    <w:lvl w:ilvl="2" w:tplc="C1A09AFA">
      <w:start w:val="1"/>
      <w:numFmt w:val="bullet"/>
      <w:lvlText w:val="■"/>
      <w:lvlJc w:val="left"/>
      <w:pPr>
        <w:ind w:left="2160" w:hanging="360"/>
      </w:pPr>
    </w:lvl>
    <w:lvl w:ilvl="3" w:tplc="E58A787E">
      <w:start w:val="1"/>
      <w:numFmt w:val="bullet"/>
      <w:lvlText w:val="●"/>
      <w:lvlJc w:val="left"/>
      <w:pPr>
        <w:ind w:left="2880" w:hanging="360"/>
      </w:pPr>
    </w:lvl>
    <w:lvl w:ilvl="4" w:tplc="DE8AD0A0">
      <w:start w:val="1"/>
      <w:numFmt w:val="bullet"/>
      <w:lvlText w:val="○"/>
      <w:lvlJc w:val="left"/>
      <w:pPr>
        <w:ind w:left="3600" w:hanging="360"/>
      </w:pPr>
    </w:lvl>
    <w:lvl w:ilvl="5" w:tplc="05FC0068">
      <w:start w:val="1"/>
      <w:numFmt w:val="bullet"/>
      <w:lvlText w:val="■"/>
      <w:lvlJc w:val="left"/>
      <w:pPr>
        <w:ind w:left="4320" w:hanging="360"/>
      </w:pPr>
    </w:lvl>
    <w:lvl w:ilvl="6" w:tplc="17EE84B2">
      <w:start w:val="1"/>
      <w:numFmt w:val="bullet"/>
      <w:lvlText w:val="●"/>
      <w:lvlJc w:val="left"/>
      <w:pPr>
        <w:ind w:left="5040" w:hanging="360"/>
      </w:pPr>
    </w:lvl>
    <w:lvl w:ilvl="7" w:tplc="211C99D0">
      <w:start w:val="1"/>
      <w:numFmt w:val="bullet"/>
      <w:lvlText w:val="●"/>
      <w:lvlJc w:val="left"/>
      <w:pPr>
        <w:ind w:left="5760" w:hanging="360"/>
      </w:pPr>
    </w:lvl>
    <w:lvl w:ilvl="8" w:tplc="4100F93A">
      <w:start w:val="1"/>
      <w:numFmt w:val="bullet"/>
      <w:lvlText w:val="●"/>
      <w:lvlJc w:val="left"/>
      <w:pPr>
        <w:ind w:left="6480" w:hanging="360"/>
      </w:pPr>
    </w:lvl>
  </w:abstractNum>
  <w:num w:numId="1" w16cid:durableId="157844086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4AA"/>
    <w:rsid w:val="008764AA"/>
    <w:rsid w:val="008F1176"/>
    <w:rsid w:val="00934C33"/>
  </w:rsids>
  <m:mathPr>
    <m:mathFont m:val="Cambria Math"/>
    <m:brkBin m:val="before"/>
    <m:brkBinSub m:val="--"/>
    <m:smallFrac m:val="0"/>
    <m:dispDef/>
    <m:lMargin m:val="0"/>
    <m:rMargin m:val="0"/>
    <m:defJc m:val="centerGroup"/>
    <m:wrapIndent m:val="1440"/>
    <m:intLim m:val="subSup"/>
    <m:naryLim m:val="undOvr"/>
  </m:mathPr>
  <w:themeFontLang w:val="tr-NL"/>
  <w:clrSchemeMapping w:bg1="light1" w:t1="dark1" w:bg2="light2" w:t2="dark2" w:accent1="accent1" w:accent2="accent2" w:accent3="accent3" w:accent4="accent4" w:accent5="accent5" w:accent6="accent6" w:hyperlink="hyperlink" w:followedHyperlink="followedHyperlink"/>
  <w:decimalSymbol w:val=","/>
  <w:listSeparator w:val=";"/>
  <w14:docId w14:val="16973CC4"/>
  <w15:docId w15:val="{8EEF7329-D455-4545-B71B-ECCCDFF79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NL"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uiPriority w:val="9"/>
    <w:qFormat/>
    <w:pPr>
      <w:outlineLvl w:val="0"/>
    </w:pPr>
    <w:rPr>
      <w:color w:val="2E74B5"/>
      <w:sz w:val="32"/>
      <w:szCs w:val="32"/>
    </w:rPr>
  </w:style>
  <w:style w:type="paragraph" w:styleId="Balk2">
    <w:name w:val="heading 2"/>
    <w:uiPriority w:val="9"/>
    <w:semiHidden/>
    <w:unhideWhenUsed/>
    <w:qFormat/>
    <w:pPr>
      <w:outlineLvl w:val="1"/>
    </w:pPr>
    <w:rPr>
      <w:color w:val="2E74B5"/>
      <w:sz w:val="26"/>
      <w:szCs w:val="26"/>
    </w:rPr>
  </w:style>
  <w:style w:type="paragraph" w:styleId="Balk3">
    <w:name w:val="heading 3"/>
    <w:uiPriority w:val="9"/>
    <w:semiHidden/>
    <w:unhideWhenUsed/>
    <w:qFormat/>
    <w:pPr>
      <w:outlineLvl w:val="2"/>
    </w:pPr>
    <w:rPr>
      <w:color w:val="1F4D78"/>
      <w:sz w:val="24"/>
      <w:szCs w:val="24"/>
    </w:rPr>
  </w:style>
  <w:style w:type="paragraph" w:styleId="Balk4">
    <w:name w:val="heading 4"/>
    <w:uiPriority w:val="9"/>
    <w:semiHidden/>
    <w:unhideWhenUsed/>
    <w:qFormat/>
    <w:pPr>
      <w:outlineLvl w:val="3"/>
    </w:pPr>
    <w:rPr>
      <w:i/>
      <w:iCs/>
      <w:color w:val="2E74B5"/>
    </w:rPr>
  </w:style>
  <w:style w:type="paragraph" w:styleId="Balk5">
    <w:name w:val="heading 5"/>
    <w:uiPriority w:val="9"/>
    <w:semiHidden/>
    <w:unhideWhenUsed/>
    <w:qFormat/>
    <w:pPr>
      <w:outlineLvl w:val="4"/>
    </w:pPr>
    <w:rPr>
      <w:color w:val="2E74B5"/>
    </w:rPr>
  </w:style>
  <w:style w:type="paragraph" w:styleId="Balk6">
    <w:name w:val="heading 6"/>
    <w:uiPriority w:val="9"/>
    <w:semiHidden/>
    <w:unhideWhenUsed/>
    <w:qFormat/>
    <w:pPr>
      <w:outlineLvl w:val="5"/>
    </w:pPr>
    <w:rPr>
      <w:color w:val="1F4D7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uiPriority w:val="10"/>
    <w:qFormat/>
    <w:rPr>
      <w:sz w:val="56"/>
      <w:szCs w:val="56"/>
    </w:rPr>
  </w:style>
  <w:style w:type="paragraph" w:customStyle="1" w:styleId="Gl1">
    <w:name w:val="Güçlü1"/>
    <w:qFormat/>
    <w:rPr>
      <w:b/>
      <w:bCs/>
    </w:rPr>
  </w:style>
  <w:style w:type="paragraph" w:styleId="ListeParagraf">
    <w:name w:val="List Paragraph"/>
    <w:qFormat/>
  </w:style>
  <w:style w:type="character" w:styleId="Kpr">
    <w:name w:val="Hyperlink"/>
    <w:uiPriority w:val="99"/>
    <w:unhideWhenUsed/>
    <w:rPr>
      <w:color w:val="0563C1"/>
      <w:u w:val="single"/>
    </w:rPr>
  </w:style>
  <w:style w:type="character" w:styleId="DipnotBavurusu">
    <w:name w:val="footnote reference"/>
    <w:uiPriority w:val="99"/>
    <w:semiHidden/>
    <w:unhideWhenUsed/>
    <w:rPr>
      <w:vertAlign w:val="superscript"/>
    </w:rPr>
  </w:style>
  <w:style w:type="paragraph" w:styleId="DipnotMetni">
    <w:name w:val="footnote text"/>
    <w:link w:val="DipnotMetniChar"/>
    <w:uiPriority w:val="99"/>
    <w:semiHidden/>
    <w:unhideWhenUsed/>
  </w:style>
  <w:style w:type="character" w:customStyle="1" w:styleId="DipnotMetniChar">
    <w:name w:val="Dipnot Metni Char"/>
    <w:link w:val="DipnotMetni"/>
    <w:uiPriority w:val="99"/>
    <w:semiHidden/>
    <w:unhideWhenUsed/>
    <w:rPr>
      <w:sz w:val="20"/>
      <w:szCs w:val="20"/>
    </w:rPr>
  </w:style>
  <w:style w:type="character" w:styleId="SonNotBavurusu">
    <w:name w:val="endnote reference"/>
    <w:uiPriority w:val="99"/>
    <w:semiHidden/>
    <w:unhideWhenUsed/>
    <w:rPr>
      <w:vertAlign w:val="superscript"/>
    </w:rPr>
  </w:style>
  <w:style w:type="paragraph" w:styleId="SonNotMetni">
    <w:name w:val="endnote text"/>
    <w:link w:val="SonNotMetniChar"/>
    <w:uiPriority w:val="99"/>
    <w:semiHidden/>
    <w:unhideWhenUsed/>
  </w:style>
  <w:style w:type="character" w:customStyle="1" w:styleId="SonNotMetniChar">
    <w:name w:val="Son Not Metni Char"/>
    <w:link w:val="SonNotMetni"/>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10</Pages>
  <Words>6540</Words>
  <Characters>37278</Characters>
  <Application>Microsoft Office Word</Application>
  <DocSecurity>0</DocSecurity>
  <Lines>310</Lines>
  <Paragraphs>87</Paragraphs>
  <ScaleCrop>false</ScaleCrop>
  <Company/>
  <LinksUpToDate>false</LinksUpToDate>
  <CharactersWithSpaces>43731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 Y</cp:lastModifiedBy>
  <cp:revision>2</cp:revision>
  <dcterms:created xsi:type="dcterms:W3CDTF">2026-06-23T11:23:00Z</dcterms:created>
  <dcterms:modified xsi:type="dcterms:W3CDTF">2026-06-23T11:48:00Z</dcterms:modified>
</cp:coreProperties>
</file>