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7565" w:rsidRPr="008F7565" w:rsidRDefault="008F7565" w:rsidP="008F7565">
      <w:pPr>
        <w:pStyle w:val="NormalWeb"/>
        <w:ind w:firstLine="284"/>
        <w:jc w:val="center"/>
        <w:rPr>
          <w:rFonts w:ascii="Palatino Linotype" w:hAnsi="Palatino Linotype"/>
          <w:color w:val="000000"/>
          <w:sz w:val="22"/>
          <w:szCs w:val="22"/>
        </w:rPr>
      </w:pPr>
      <w:r w:rsidRPr="008F7565">
        <w:rPr>
          <w:rFonts w:ascii="Palatino Linotype" w:hAnsi="Palatino Linotype"/>
          <w:b/>
          <w:bCs/>
          <w:color w:val="000000"/>
          <w:sz w:val="22"/>
          <w:szCs w:val="22"/>
        </w:rPr>
        <w:t>Yasak / Türkiye Davası Karar Özü</w:t>
      </w:r>
      <w:r w:rsidRPr="008F7565">
        <w:rPr>
          <w:rStyle w:val="apple-converted-space"/>
          <w:rFonts w:ascii="Palatino Linotype" w:eastAsiaTheme="majorEastAsia" w:hAnsi="Palatino Linotype"/>
          <w:color w:val="000000"/>
          <w:sz w:val="22"/>
          <w:szCs w:val="22"/>
        </w:rPr>
        <w:t> </w:t>
      </w:r>
      <w:r w:rsidRPr="008F7565">
        <w:rPr>
          <w:rFonts w:ascii="Palatino Linotype" w:hAnsi="Palatino Linotype"/>
          <w:color w:val="000000"/>
          <w:sz w:val="22"/>
          <w:szCs w:val="22"/>
        </w:rPr>
        <w:t>(Büyük Daire - Başvuru No. 17389/20; 5 Mayıs 2026)</w:t>
      </w:r>
    </w:p>
    <w:p w:rsidR="008F7565" w:rsidRPr="008F7565" w:rsidRDefault="008F7565" w:rsidP="008F7565">
      <w:pPr>
        <w:pStyle w:val="NormalWeb"/>
        <w:numPr>
          <w:ilvl w:val="0"/>
          <w:numId w:val="1"/>
        </w:numPr>
        <w:ind w:hanging="436"/>
        <w:jc w:val="both"/>
        <w:rPr>
          <w:rFonts w:ascii="Palatino Linotype" w:hAnsi="Palatino Linotype"/>
          <w:color w:val="000000"/>
          <w:sz w:val="22"/>
          <w:szCs w:val="22"/>
        </w:rPr>
      </w:pPr>
      <w:r w:rsidRPr="008F7565">
        <w:rPr>
          <w:rFonts w:ascii="Palatino Linotype" w:hAnsi="Palatino Linotype"/>
          <w:b/>
          <w:bCs/>
          <w:color w:val="000000"/>
          <w:sz w:val="22"/>
          <w:szCs w:val="22"/>
        </w:rPr>
        <w:t>Başvurucu:</w:t>
      </w:r>
      <w:r w:rsidRPr="008F7565">
        <w:rPr>
          <w:rStyle w:val="apple-converted-space"/>
          <w:rFonts w:ascii="Palatino Linotype" w:eastAsiaTheme="majorEastAsia" w:hAnsi="Palatino Linotype"/>
          <w:color w:val="000000"/>
          <w:sz w:val="22"/>
          <w:szCs w:val="22"/>
        </w:rPr>
        <w:t> </w:t>
      </w:r>
      <w:r w:rsidRPr="008F7565">
        <w:rPr>
          <w:rFonts w:ascii="Palatino Linotype" w:hAnsi="Palatino Linotype"/>
          <w:color w:val="000000"/>
          <w:sz w:val="22"/>
          <w:szCs w:val="22"/>
        </w:rPr>
        <w:t>Başvurucu Şaban Yasak, Çorum Ağır Ceza Mahkemesi tarafından 14 Şubat 2018 tarihinde Türk Ceza Kanunu'nun 314/2 maddesi uyarınca silahlı terör örgütü üyeliği suçundan yedi yıl altı ay hapis cezasına mahkum edilmiştir (§ 1, § 63).</w:t>
      </w:r>
    </w:p>
    <w:p w:rsidR="008F7565" w:rsidRPr="008F7565" w:rsidRDefault="008F7565" w:rsidP="008F7565">
      <w:pPr>
        <w:pStyle w:val="NormalWeb"/>
        <w:numPr>
          <w:ilvl w:val="0"/>
          <w:numId w:val="1"/>
        </w:numPr>
        <w:ind w:hanging="436"/>
        <w:jc w:val="both"/>
        <w:rPr>
          <w:rFonts w:ascii="Palatino Linotype" w:hAnsi="Palatino Linotype"/>
          <w:color w:val="000000"/>
          <w:sz w:val="22"/>
          <w:szCs w:val="22"/>
        </w:rPr>
      </w:pPr>
      <w:r w:rsidRPr="008F7565">
        <w:rPr>
          <w:rFonts w:ascii="Palatino Linotype" w:hAnsi="Palatino Linotype"/>
          <w:b/>
          <w:bCs/>
          <w:color w:val="000000"/>
          <w:sz w:val="22"/>
          <w:szCs w:val="22"/>
        </w:rPr>
        <w:t>Mahkumiyet gerekçesi:</w:t>
      </w:r>
      <w:r w:rsidRPr="008F7565">
        <w:rPr>
          <w:rStyle w:val="apple-converted-space"/>
          <w:rFonts w:ascii="Palatino Linotype" w:eastAsiaTheme="majorEastAsia" w:hAnsi="Palatino Linotype"/>
          <w:color w:val="000000"/>
          <w:sz w:val="22"/>
          <w:szCs w:val="22"/>
        </w:rPr>
        <w:t> </w:t>
      </w:r>
      <w:r w:rsidRPr="008F7565">
        <w:rPr>
          <w:rFonts w:ascii="Palatino Linotype" w:hAnsi="Palatino Linotype"/>
          <w:color w:val="000000"/>
          <w:sz w:val="22"/>
          <w:szCs w:val="22"/>
        </w:rPr>
        <w:t>Mahk</w:t>
      </w:r>
      <w:r>
        <w:rPr>
          <w:rFonts w:ascii="Palatino Linotype" w:hAnsi="Palatino Linotype"/>
          <w:color w:val="000000"/>
          <w:sz w:val="22"/>
          <w:szCs w:val="22"/>
        </w:rPr>
        <w:t>u</w:t>
      </w:r>
      <w:r w:rsidRPr="008F7565">
        <w:rPr>
          <w:rFonts w:ascii="Palatino Linotype" w:hAnsi="Palatino Linotype"/>
          <w:color w:val="000000"/>
          <w:sz w:val="22"/>
          <w:szCs w:val="22"/>
        </w:rPr>
        <w:t>miyet kararı; başvurucunun örgütün Çorum'daki öğrenci ağında "Büyük Bölge Talebe Mesulü" (BBTM) olarak görev almasına, "Recep" veya "Şaban" kod adını kullanmasına, örgütle bağlantılı bir şirket (Çorum Eğitim Hizmetleri A.Ş.) tarafından sosyal güvenlik primlerinin ödenmesine, Bank Asya'ya para yatırmasına, örgüt üyeleriyle HTS kayıtlarının bulunmasına ve etkin pişmanlıktan yararlanan tanık beyanlarına dayandırılmıştır (§ 70).</w:t>
      </w:r>
    </w:p>
    <w:p w:rsidR="008F7565" w:rsidRPr="008F7565" w:rsidRDefault="008F7565" w:rsidP="008F7565">
      <w:pPr>
        <w:pStyle w:val="NormalWeb"/>
        <w:numPr>
          <w:ilvl w:val="0"/>
          <w:numId w:val="1"/>
        </w:numPr>
        <w:ind w:hanging="436"/>
        <w:jc w:val="both"/>
        <w:rPr>
          <w:rFonts w:ascii="Palatino Linotype" w:hAnsi="Palatino Linotype"/>
          <w:color w:val="000000"/>
          <w:sz w:val="22"/>
          <w:szCs w:val="22"/>
        </w:rPr>
      </w:pPr>
      <w:r w:rsidRPr="008F7565">
        <w:rPr>
          <w:rFonts w:ascii="Palatino Linotype" w:hAnsi="Palatino Linotype"/>
          <w:b/>
          <w:bCs/>
          <w:color w:val="000000"/>
          <w:sz w:val="22"/>
          <w:szCs w:val="22"/>
        </w:rPr>
        <w:t>Başvuru nedenleri:</w:t>
      </w:r>
      <w:r w:rsidRPr="008F7565">
        <w:rPr>
          <w:rStyle w:val="apple-converted-space"/>
          <w:rFonts w:ascii="Palatino Linotype" w:eastAsiaTheme="majorEastAsia" w:hAnsi="Palatino Linotype"/>
          <w:color w:val="000000"/>
          <w:sz w:val="22"/>
          <w:szCs w:val="22"/>
        </w:rPr>
        <w:t> </w:t>
      </w:r>
      <w:r w:rsidRPr="008F7565">
        <w:rPr>
          <w:rFonts w:ascii="Palatino Linotype" w:hAnsi="Palatino Linotype"/>
          <w:color w:val="000000"/>
          <w:sz w:val="22"/>
          <w:szCs w:val="22"/>
        </w:rPr>
        <w:t>Başvurucu, mahkûmiyetinin Sözleşme'nin 7. maddesinde yer alan "kanunsuz ceza olmaz" ilkesini, Çorum Cezaevi'ndeki aşırı kalabalık tutukluluk koşullarının ise 3. maddede yer alan "insanlık dışı veya aşağılayıcı muamele yasağını" ihlal ettiğini ileri sürerek AİHM'e başvurmuştur (§ 2).</w:t>
      </w:r>
    </w:p>
    <w:p w:rsidR="008F7565" w:rsidRPr="008F7565" w:rsidRDefault="008F7565" w:rsidP="008F7565">
      <w:pPr>
        <w:pStyle w:val="NormalWeb"/>
        <w:numPr>
          <w:ilvl w:val="0"/>
          <w:numId w:val="1"/>
        </w:numPr>
        <w:ind w:hanging="436"/>
        <w:jc w:val="both"/>
        <w:rPr>
          <w:rFonts w:ascii="Palatino Linotype" w:hAnsi="Palatino Linotype"/>
          <w:color w:val="000000"/>
          <w:sz w:val="22"/>
          <w:szCs w:val="22"/>
        </w:rPr>
      </w:pPr>
      <w:r w:rsidRPr="008F7565">
        <w:rPr>
          <w:rFonts w:ascii="Palatino Linotype" w:hAnsi="Palatino Linotype"/>
          <w:b/>
          <w:bCs/>
          <w:color w:val="000000"/>
          <w:sz w:val="22"/>
          <w:szCs w:val="22"/>
        </w:rPr>
        <w:t>Başvurunun Büyük Daire'ye sevki:</w:t>
      </w:r>
      <w:r w:rsidRPr="008F7565">
        <w:rPr>
          <w:rStyle w:val="apple-converted-space"/>
          <w:rFonts w:ascii="Palatino Linotype" w:eastAsiaTheme="majorEastAsia" w:hAnsi="Palatino Linotype"/>
          <w:color w:val="000000"/>
          <w:sz w:val="22"/>
          <w:szCs w:val="22"/>
        </w:rPr>
        <w:t> </w:t>
      </w:r>
      <w:r w:rsidRPr="008F7565">
        <w:rPr>
          <w:rFonts w:ascii="Palatino Linotype" w:hAnsi="Palatino Linotype"/>
          <w:color w:val="000000"/>
          <w:sz w:val="22"/>
          <w:szCs w:val="22"/>
        </w:rPr>
        <w:t>İkinci Dairenin 27 Ağustos 2024'te 3. ve 7. maddelerin ihlal edilmediğine hükmetmesinin ardından başvurucunun talebi, 16 Aralık 2024'te Büyük Daire heyeti tarafından kabul edilerek dava Büyük Daire'ye taşınmıştır (§ 5, § 6).</w:t>
      </w:r>
    </w:p>
    <w:p w:rsidR="008F7565" w:rsidRPr="008F7565" w:rsidRDefault="008F7565" w:rsidP="008F7565">
      <w:pPr>
        <w:pStyle w:val="NormalWeb"/>
        <w:numPr>
          <w:ilvl w:val="0"/>
          <w:numId w:val="1"/>
        </w:numPr>
        <w:ind w:hanging="436"/>
        <w:jc w:val="both"/>
        <w:rPr>
          <w:rFonts w:ascii="Palatino Linotype" w:hAnsi="Palatino Linotype"/>
          <w:color w:val="000000"/>
          <w:sz w:val="22"/>
          <w:szCs w:val="22"/>
        </w:rPr>
      </w:pPr>
      <w:r w:rsidRPr="008F7565">
        <w:rPr>
          <w:rFonts w:ascii="Palatino Linotype" w:hAnsi="Palatino Linotype"/>
          <w:b/>
          <w:bCs/>
          <w:color w:val="000000"/>
          <w:sz w:val="22"/>
          <w:szCs w:val="22"/>
        </w:rPr>
        <w:t>Başvurunun incelenmesi süreci:</w:t>
      </w:r>
      <w:r w:rsidRPr="008F7565">
        <w:rPr>
          <w:rStyle w:val="apple-converted-space"/>
          <w:rFonts w:ascii="Palatino Linotype" w:eastAsiaTheme="majorEastAsia" w:hAnsi="Palatino Linotype"/>
          <w:color w:val="000000"/>
          <w:sz w:val="22"/>
          <w:szCs w:val="22"/>
        </w:rPr>
        <w:t> </w:t>
      </w:r>
      <w:r w:rsidRPr="008F7565">
        <w:rPr>
          <w:rFonts w:ascii="Palatino Linotype" w:hAnsi="Palatino Linotype"/>
          <w:color w:val="000000"/>
          <w:sz w:val="22"/>
          <w:szCs w:val="22"/>
        </w:rPr>
        <w:t>Büyük Daire, 7 Mayıs 2025 tarihinde kamuya açık duruşmayı gerçekleştirmiş ve kararını 5 Mayıs 2026 tarihinde açıklamıştır (§ 9).</w:t>
      </w:r>
    </w:p>
    <w:p w:rsidR="008F7565" w:rsidRPr="008F7565" w:rsidRDefault="008F7565" w:rsidP="008F7565">
      <w:pPr>
        <w:pStyle w:val="NormalWeb"/>
        <w:numPr>
          <w:ilvl w:val="0"/>
          <w:numId w:val="1"/>
        </w:numPr>
        <w:ind w:hanging="436"/>
        <w:jc w:val="both"/>
        <w:rPr>
          <w:rFonts w:ascii="Palatino Linotype" w:hAnsi="Palatino Linotype"/>
          <w:color w:val="000000"/>
          <w:sz w:val="22"/>
          <w:szCs w:val="22"/>
        </w:rPr>
      </w:pPr>
      <w:r w:rsidRPr="008F7565">
        <w:rPr>
          <w:rFonts w:ascii="Palatino Linotype" w:hAnsi="Palatino Linotype"/>
          <w:b/>
          <w:bCs/>
          <w:color w:val="000000"/>
          <w:sz w:val="22"/>
          <w:szCs w:val="22"/>
        </w:rPr>
        <w:t>Sözleşmeden kaynaklanan yükümlülüklerin askıya alınması:</w:t>
      </w:r>
      <w:r w:rsidRPr="008F7565">
        <w:rPr>
          <w:rStyle w:val="apple-converted-space"/>
          <w:rFonts w:ascii="Palatino Linotype" w:eastAsiaTheme="majorEastAsia" w:hAnsi="Palatino Linotype"/>
          <w:color w:val="000000"/>
          <w:sz w:val="22"/>
          <w:szCs w:val="22"/>
        </w:rPr>
        <w:t> </w:t>
      </w:r>
      <w:r w:rsidRPr="008F7565">
        <w:rPr>
          <w:rFonts w:ascii="Palatino Linotype" w:hAnsi="Palatino Linotype"/>
          <w:color w:val="000000"/>
          <w:sz w:val="22"/>
          <w:szCs w:val="22"/>
        </w:rPr>
        <w:t>Türk makamları 21 Temmuz 2016 tarihinde 15. Madde kapsamında olağanüstü hal nedeniyle Sözleşme'den kaynaklanan yükümlülüklerini askıya alma bildiriminde bulunmuştur</w:t>
      </w:r>
      <w:r>
        <w:rPr>
          <w:rFonts w:ascii="Palatino Linotype" w:hAnsi="Palatino Linotype"/>
          <w:color w:val="000000"/>
          <w:sz w:val="22"/>
          <w:szCs w:val="22"/>
        </w:rPr>
        <w:t>.</w:t>
      </w:r>
    </w:p>
    <w:p w:rsidR="008F7565" w:rsidRPr="008F7565" w:rsidRDefault="008F7565" w:rsidP="008F7565">
      <w:pPr>
        <w:pStyle w:val="NormalWeb"/>
        <w:numPr>
          <w:ilvl w:val="0"/>
          <w:numId w:val="1"/>
        </w:numPr>
        <w:ind w:hanging="436"/>
        <w:jc w:val="both"/>
        <w:rPr>
          <w:rFonts w:ascii="Palatino Linotype" w:hAnsi="Palatino Linotype"/>
          <w:color w:val="000000"/>
          <w:sz w:val="22"/>
          <w:szCs w:val="22"/>
        </w:rPr>
      </w:pPr>
      <w:r w:rsidRPr="008F7565">
        <w:rPr>
          <w:rFonts w:ascii="Palatino Linotype" w:hAnsi="Palatino Linotype"/>
          <w:b/>
          <w:bCs/>
          <w:color w:val="000000"/>
          <w:sz w:val="22"/>
          <w:szCs w:val="22"/>
        </w:rPr>
        <w:t>AİHM'in 15. Madde değerlendirmesi:</w:t>
      </w:r>
      <w:r w:rsidRPr="008F7565">
        <w:rPr>
          <w:rStyle w:val="apple-converted-space"/>
          <w:rFonts w:ascii="Palatino Linotype" w:eastAsiaTheme="majorEastAsia" w:hAnsi="Palatino Linotype"/>
          <w:color w:val="000000"/>
          <w:sz w:val="22"/>
          <w:szCs w:val="22"/>
        </w:rPr>
        <w:t> </w:t>
      </w:r>
      <w:r w:rsidRPr="008F7565">
        <w:rPr>
          <w:rFonts w:ascii="Palatino Linotype" w:hAnsi="Palatino Linotype"/>
          <w:color w:val="000000"/>
          <w:sz w:val="22"/>
          <w:szCs w:val="22"/>
        </w:rPr>
        <w:t>AİHM, hukukun üstünlüğünün temel bir unsuru olan Sözleşme'nin 7. ve 3. maddelerinde yer alan güvencelerin mutlak nitelikte olduğunu, savaş veya diğer olağanüstü hallerde bile bu güvencelerden hiçbir şekilde sapılamayacağını teyit etmiştir (§ 190, § 245).</w:t>
      </w:r>
    </w:p>
    <w:p w:rsidR="008F7565" w:rsidRPr="008F7565" w:rsidRDefault="008F7565" w:rsidP="008F7565">
      <w:pPr>
        <w:pStyle w:val="NormalWeb"/>
        <w:numPr>
          <w:ilvl w:val="0"/>
          <w:numId w:val="1"/>
        </w:numPr>
        <w:ind w:hanging="436"/>
        <w:jc w:val="both"/>
        <w:rPr>
          <w:rFonts w:ascii="Palatino Linotype" w:hAnsi="Palatino Linotype"/>
          <w:color w:val="000000"/>
          <w:sz w:val="22"/>
          <w:szCs w:val="22"/>
        </w:rPr>
      </w:pPr>
      <w:r w:rsidRPr="008F7565">
        <w:rPr>
          <w:rFonts w:ascii="Palatino Linotype" w:hAnsi="Palatino Linotype"/>
          <w:b/>
          <w:bCs/>
          <w:color w:val="000000"/>
          <w:sz w:val="22"/>
          <w:szCs w:val="22"/>
        </w:rPr>
        <w:t>Terör örgütü varlığına ancak mahkeme karar verebilir:</w:t>
      </w:r>
      <w:r w:rsidRPr="008F7565">
        <w:rPr>
          <w:rStyle w:val="apple-converted-space"/>
          <w:rFonts w:ascii="Palatino Linotype" w:eastAsiaTheme="majorEastAsia" w:hAnsi="Palatino Linotype"/>
          <w:color w:val="000000"/>
          <w:sz w:val="22"/>
          <w:szCs w:val="22"/>
        </w:rPr>
        <w:t> </w:t>
      </w:r>
      <w:r w:rsidRPr="008F7565">
        <w:rPr>
          <w:rFonts w:ascii="Palatino Linotype" w:hAnsi="Palatino Linotype"/>
          <w:color w:val="000000"/>
          <w:sz w:val="22"/>
          <w:szCs w:val="22"/>
        </w:rPr>
        <w:t>AİHM, Türk hukuku uyarınca, bir yapının resmi olarak "terör örgütü" olarak tanımlanmasının mahkemeler tarafından verilecek kesin bir karara bağlı olduğunu hatırlatmıştır (§ 102).</w:t>
      </w:r>
    </w:p>
    <w:p w:rsidR="008F7565" w:rsidRPr="008F7565" w:rsidRDefault="008F7565" w:rsidP="008F7565">
      <w:pPr>
        <w:pStyle w:val="NormalWeb"/>
        <w:ind w:firstLine="284"/>
        <w:jc w:val="both"/>
        <w:rPr>
          <w:rFonts w:ascii="Palatino Linotype" w:hAnsi="Palatino Linotype"/>
          <w:color w:val="000000"/>
          <w:sz w:val="22"/>
          <w:szCs w:val="22"/>
        </w:rPr>
      </w:pPr>
      <w:r w:rsidRPr="008F7565">
        <w:rPr>
          <w:rFonts w:ascii="Palatino Linotype" w:hAnsi="Palatino Linotype"/>
          <w:b/>
          <w:bCs/>
          <w:color w:val="000000"/>
          <w:sz w:val="22"/>
          <w:szCs w:val="22"/>
        </w:rPr>
        <w:t>AİHM’in Sözleşme’nin 7. Maddesi ile İlgili Tespitleri ve İhlal Gerekçeleri</w:t>
      </w:r>
    </w:p>
    <w:p w:rsidR="008F7565" w:rsidRPr="008F7565" w:rsidRDefault="008F7565" w:rsidP="008F7565">
      <w:pPr>
        <w:pStyle w:val="NormalWeb"/>
        <w:numPr>
          <w:ilvl w:val="0"/>
          <w:numId w:val="2"/>
        </w:numPr>
        <w:ind w:hanging="436"/>
        <w:jc w:val="both"/>
        <w:rPr>
          <w:rFonts w:ascii="Palatino Linotype" w:hAnsi="Palatino Linotype"/>
          <w:color w:val="000000"/>
          <w:sz w:val="22"/>
          <w:szCs w:val="22"/>
        </w:rPr>
      </w:pPr>
      <w:r w:rsidRPr="008F7565">
        <w:rPr>
          <w:rFonts w:ascii="Palatino Linotype" w:hAnsi="Palatino Linotype"/>
          <w:b/>
          <w:bCs/>
          <w:color w:val="000000"/>
          <w:sz w:val="22"/>
          <w:szCs w:val="22"/>
        </w:rPr>
        <w:t>AİHS’nin 7/1. Maddesi:</w:t>
      </w:r>
      <w:r w:rsidRPr="008F7565">
        <w:rPr>
          <w:rStyle w:val="apple-converted-space"/>
          <w:rFonts w:ascii="Palatino Linotype" w:eastAsiaTheme="majorEastAsia" w:hAnsi="Palatino Linotype"/>
          <w:color w:val="000000"/>
          <w:sz w:val="22"/>
          <w:szCs w:val="22"/>
        </w:rPr>
        <w:t> </w:t>
      </w:r>
      <w:r w:rsidRPr="008F7565">
        <w:rPr>
          <w:rFonts w:ascii="Palatino Linotype" w:hAnsi="Palatino Linotype"/>
          <w:color w:val="000000"/>
          <w:sz w:val="22"/>
          <w:szCs w:val="22"/>
        </w:rPr>
        <w:t>“Hiç kimse, işlendiği zaman ulusal veya uluslararası hukuka göre suç oluşturmayan bir eylem veya ihmalden dolayı suçlu bulunamaz. Aynı biçimde, suçun işlendiği sırada uygulanabilir olan cezadan daha ağır bir ceza verilemez”.</w:t>
      </w:r>
    </w:p>
    <w:p w:rsidR="008F7565" w:rsidRPr="008F7565" w:rsidRDefault="008F7565" w:rsidP="008F7565">
      <w:pPr>
        <w:pStyle w:val="NormalWeb"/>
        <w:numPr>
          <w:ilvl w:val="0"/>
          <w:numId w:val="2"/>
        </w:numPr>
        <w:ind w:hanging="436"/>
        <w:jc w:val="both"/>
        <w:rPr>
          <w:rFonts w:ascii="Palatino Linotype" w:hAnsi="Palatino Linotype"/>
          <w:color w:val="000000"/>
          <w:sz w:val="22"/>
          <w:szCs w:val="22"/>
        </w:rPr>
      </w:pPr>
      <w:r w:rsidRPr="008F7565">
        <w:rPr>
          <w:rFonts w:ascii="Palatino Linotype" w:hAnsi="Palatino Linotype"/>
          <w:b/>
          <w:bCs/>
          <w:color w:val="000000"/>
          <w:sz w:val="22"/>
          <w:szCs w:val="22"/>
        </w:rPr>
        <w:t>Şahsi Sorumluluğ</w:t>
      </w:r>
      <w:r w:rsidR="00545446">
        <w:rPr>
          <w:rFonts w:ascii="Palatino Linotype" w:hAnsi="Palatino Linotype"/>
          <w:b/>
          <w:bCs/>
          <w:color w:val="000000"/>
          <w:sz w:val="22"/>
          <w:szCs w:val="22"/>
        </w:rPr>
        <w:t>un Tespiti Zorunludur</w:t>
      </w:r>
      <w:r w:rsidRPr="008F7565">
        <w:rPr>
          <w:rFonts w:ascii="Palatino Linotype" w:hAnsi="Palatino Linotype"/>
          <w:b/>
          <w:bCs/>
          <w:color w:val="000000"/>
          <w:sz w:val="22"/>
          <w:szCs w:val="22"/>
        </w:rPr>
        <w:t>:</w:t>
      </w:r>
      <w:r w:rsidRPr="008F7565">
        <w:rPr>
          <w:rStyle w:val="apple-converted-space"/>
          <w:rFonts w:ascii="Palatino Linotype" w:eastAsiaTheme="majorEastAsia" w:hAnsi="Palatino Linotype"/>
          <w:color w:val="000000"/>
          <w:sz w:val="22"/>
          <w:szCs w:val="22"/>
        </w:rPr>
        <w:t> </w:t>
      </w:r>
      <w:r w:rsidRPr="008F7565">
        <w:rPr>
          <w:rFonts w:ascii="Palatino Linotype" w:hAnsi="Palatino Linotype"/>
          <w:color w:val="000000"/>
          <w:sz w:val="22"/>
          <w:szCs w:val="22"/>
        </w:rPr>
        <w:t>Mahkeme,</w:t>
      </w:r>
      <w:r w:rsidRPr="008F7565">
        <w:rPr>
          <w:rStyle w:val="apple-converted-space"/>
          <w:rFonts w:ascii="Palatino Linotype" w:eastAsiaTheme="majorEastAsia" w:hAnsi="Palatino Linotype"/>
          <w:color w:val="000000"/>
          <w:sz w:val="22"/>
          <w:szCs w:val="22"/>
        </w:rPr>
        <w:t> </w:t>
      </w:r>
      <w:r w:rsidRPr="008F7565">
        <w:rPr>
          <w:rFonts w:ascii="Palatino Linotype" w:hAnsi="Palatino Linotype"/>
          <w:i/>
          <w:iCs/>
          <w:color w:val="000000"/>
          <w:sz w:val="22"/>
          <w:szCs w:val="22"/>
        </w:rPr>
        <w:t>Yüksel Yalçınkaya</w:t>
      </w:r>
      <w:r w:rsidRPr="008F7565">
        <w:rPr>
          <w:rStyle w:val="apple-converted-space"/>
          <w:rFonts w:ascii="Palatino Linotype" w:eastAsiaTheme="majorEastAsia" w:hAnsi="Palatino Linotype"/>
          <w:color w:val="000000"/>
          <w:sz w:val="22"/>
          <w:szCs w:val="22"/>
        </w:rPr>
        <w:t> </w:t>
      </w:r>
      <w:r w:rsidRPr="008F7565">
        <w:rPr>
          <w:rFonts w:ascii="Palatino Linotype" w:hAnsi="Palatino Linotype"/>
          <w:color w:val="000000"/>
          <w:sz w:val="22"/>
          <w:szCs w:val="22"/>
        </w:rPr>
        <w:t>kararındaki tespitlerini bu davada da yinelemiş; bir yapının suç tarihinden sonra "terör örgütü" ilan edilmesinin veya geçmişteki beraat kararlarının tek başına mahkûmiyetin hukukiliğini zedelemeyeceğini belirtmiştir (§ 198). Ancak Sözleşme’nin 7. maddesi uyarınca bir mahkumiyetin meşru sayılabilmesi için, suçun fiil ve bilhassa kasıt unsurlarının her bir sanık özelinde, bireyselleştirilerek somut biçimde ispatlanması zorunludur. Mahkemelerin, belirli verilerden hareketle otomatik suçluluk karinesine dayanması yasallık ve öngörülebilirlik ilkeleriyle bağdaşmaz (§ 200). Mevcut davada başvurucu daha geniş bir delil yelpazesiyle (</w:t>
      </w:r>
      <w:r w:rsidR="008E4342">
        <w:rPr>
          <w:rFonts w:ascii="Palatino Linotype" w:hAnsi="Palatino Linotype"/>
          <w:color w:val="000000"/>
          <w:sz w:val="22"/>
          <w:szCs w:val="22"/>
        </w:rPr>
        <w:t xml:space="preserve">BBTM, </w:t>
      </w:r>
      <w:r w:rsidRPr="008F7565">
        <w:rPr>
          <w:rFonts w:ascii="Palatino Linotype" w:hAnsi="Palatino Linotype"/>
          <w:color w:val="000000"/>
          <w:sz w:val="22"/>
          <w:szCs w:val="22"/>
        </w:rPr>
        <w:t xml:space="preserve">öğrenci sorumluluğu, banka işlemi vb.) suçlansa </w:t>
      </w:r>
      <w:r w:rsidRPr="008F7565">
        <w:rPr>
          <w:rFonts w:ascii="Palatino Linotype" w:hAnsi="Palatino Linotype"/>
          <w:color w:val="000000"/>
          <w:sz w:val="22"/>
          <w:szCs w:val="22"/>
        </w:rPr>
        <w:lastRenderedPageBreak/>
        <w:t>da, bu durum mahkumiyetin tüm unsurlarının bireyselleştirilerek tesis edilmesi gerektiği kuralını (incelemenin esasını) değiştirmemektedir (§ 201).</w:t>
      </w:r>
    </w:p>
    <w:p w:rsidR="008F7565" w:rsidRPr="008F7565" w:rsidRDefault="008F7565" w:rsidP="008F7565">
      <w:pPr>
        <w:pStyle w:val="NormalWeb"/>
        <w:numPr>
          <w:ilvl w:val="0"/>
          <w:numId w:val="2"/>
        </w:numPr>
        <w:ind w:hanging="436"/>
        <w:jc w:val="both"/>
        <w:rPr>
          <w:rFonts w:ascii="Palatino Linotype" w:hAnsi="Palatino Linotype"/>
          <w:color w:val="000000"/>
          <w:sz w:val="22"/>
          <w:szCs w:val="22"/>
        </w:rPr>
      </w:pPr>
      <w:r w:rsidRPr="008F7565">
        <w:rPr>
          <w:rFonts w:ascii="Palatino Linotype" w:hAnsi="Palatino Linotype"/>
          <w:b/>
          <w:bCs/>
          <w:color w:val="000000"/>
          <w:sz w:val="22"/>
          <w:szCs w:val="22"/>
        </w:rPr>
        <w:t xml:space="preserve">Kusur Yoksa Ceza </w:t>
      </w:r>
      <w:r w:rsidR="00545446">
        <w:rPr>
          <w:rFonts w:ascii="Palatino Linotype" w:hAnsi="Palatino Linotype"/>
          <w:b/>
          <w:bCs/>
          <w:color w:val="000000"/>
          <w:sz w:val="22"/>
          <w:szCs w:val="22"/>
        </w:rPr>
        <w:t>Verilemez</w:t>
      </w:r>
      <w:r w:rsidRPr="008F7565">
        <w:rPr>
          <w:rStyle w:val="apple-converted-space"/>
          <w:rFonts w:ascii="Palatino Linotype" w:eastAsiaTheme="majorEastAsia" w:hAnsi="Palatino Linotype"/>
          <w:color w:val="000000"/>
          <w:sz w:val="22"/>
          <w:szCs w:val="22"/>
        </w:rPr>
        <w:t> </w:t>
      </w:r>
      <w:r w:rsidRPr="008F7565">
        <w:rPr>
          <w:rFonts w:ascii="Palatino Linotype" w:hAnsi="Palatino Linotype"/>
          <w:color w:val="000000"/>
          <w:sz w:val="22"/>
          <w:szCs w:val="22"/>
        </w:rPr>
        <w:t xml:space="preserve">Ceza hukukunun en </w:t>
      </w:r>
      <w:r>
        <w:rPr>
          <w:rFonts w:ascii="Palatino Linotype" w:hAnsi="Palatino Linotype"/>
          <w:color w:val="000000"/>
          <w:sz w:val="22"/>
          <w:szCs w:val="22"/>
        </w:rPr>
        <w:t xml:space="preserve">temel ilkelerinden </w:t>
      </w:r>
      <w:r w:rsidRPr="008F7565">
        <w:rPr>
          <w:rFonts w:ascii="Palatino Linotype" w:hAnsi="Palatino Linotype"/>
          <w:color w:val="000000"/>
          <w:sz w:val="22"/>
          <w:szCs w:val="22"/>
        </w:rPr>
        <w:t>olan "kusursuz ceza olmaz" ilkesi gereğince, kişinin şahsi sorumluluğu ve suça katılma iradesi somut olarak ispatlanmadan hiç kimse cezalandırılamaz. Sözleşme'nin 7. maddesi, cezai sorumluluğun salt bir yapıyla kurulan bir irtibata veya kolektif bir aidiyete (iltisak) dayandırılmasını kesin bir dille reddeder. Bu doğrultuda, her bir sanık özelinde yalnızca maddi eyleme değil, o eylemi var eden zihinsel bağa, yani suç işleme kastına da (mens rea) titizlikle odaklanılmalıdır (§ 193, § 202). Sonuç olarak, cezai sorumluluk toplu bir suçluluk varsayımına dayandırılamaz; yargılama sanığın şahsında tamamen bireyselleştirilmeli ve suçun manevi unsuru açıkça ortaya konulmalıdır.</w:t>
      </w:r>
    </w:p>
    <w:p w:rsidR="008F7565" w:rsidRPr="008F7565" w:rsidRDefault="008F7565" w:rsidP="008F7565">
      <w:pPr>
        <w:pStyle w:val="NormalWeb"/>
        <w:numPr>
          <w:ilvl w:val="0"/>
          <w:numId w:val="2"/>
        </w:numPr>
        <w:ind w:hanging="436"/>
        <w:jc w:val="both"/>
        <w:rPr>
          <w:rFonts w:ascii="Palatino Linotype" w:hAnsi="Palatino Linotype"/>
          <w:color w:val="000000"/>
          <w:sz w:val="22"/>
          <w:szCs w:val="22"/>
        </w:rPr>
      </w:pPr>
      <w:r w:rsidRPr="008F7565">
        <w:rPr>
          <w:rFonts w:ascii="Palatino Linotype" w:hAnsi="Palatino Linotype"/>
          <w:b/>
          <w:bCs/>
          <w:color w:val="000000"/>
          <w:sz w:val="22"/>
          <w:szCs w:val="22"/>
        </w:rPr>
        <w:t>Suç Kastı Somut Olarak İspatlanmalıdır:</w:t>
      </w:r>
      <w:r w:rsidRPr="008F7565">
        <w:rPr>
          <w:rStyle w:val="apple-converted-space"/>
          <w:rFonts w:ascii="Palatino Linotype" w:eastAsiaTheme="majorEastAsia" w:hAnsi="Palatino Linotype"/>
          <w:color w:val="000000"/>
          <w:sz w:val="22"/>
          <w:szCs w:val="22"/>
        </w:rPr>
        <w:t> </w:t>
      </w:r>
      <w:r w:rsidRPr="008F7565">
        <w:rPr>
          <w:rFonts w:ascii="Palatino Linotype" w:hAnsi="Palatino Linotype"/>
          <w:color w:val="000000"/>
          <w:sz w:val="22"/>
          <w:szCs w:val="22"/>
        </w:rPr>
        <w:t>TCK’nın 314. maddesi kapsamındaki suç, yalnızca suç işleyen bir yapıya üye olmayı değil, münhasıran "şiddete" başvuran silahlı bir terör örgütüne üye olmayı düzenler. Bu nedenle sanığın, ilgili dönemde örgütün hedefleri ve şiddet içeren yöntemleri hakkında bilgi sahibi olduğunun gösterilmesi, manevi unsurun tespiti için zorunlu bir ön koşuldur. Yargıtay’ın "doğrudan kast" yorumu çerçevesinde; kişinin "bilerek" ve "isteyerek" hareket ettiğinin, yani böyle bir örgütün parçası olmayı arzulayarak sürekli bir iştirak iradesi gösterdiğinin tespiti gerekir. Bu kriter; örgüte ve onun şiddet içeren amaçlarına yönelik gerçek/organik katılımı, herhangi bir özel suç kastı olmaksızın kurulan salt bir temas veya basit bir iltisaktan ayıran en önemli husustur (§ 203).</w:t>
      </w:r>
    </w:p>
    <w:p w:rsidR="008F7565" w:rsidRPr="008F7565" w:rsidRDefault="008F7565" w:rsidP="008F7565">
      <w:pPr>
        <w:pStyle w:val="NormalWeb"/>
        <w:numPr>
          <w:ilvl w:val="0"/>
          <w:numId w:val="2"/>
        </w:numPr>
        <w:ind w:hanging="436"/>
        <w:jc w:val="both"/>
        <w:rPr>
          <w:rFonts w:ascii="Palatino Linotype" w:hAnsi="Palatino Linotype"/>
          <w:color w:val="000000"/>
          <w:sz w:val="22"/>
          <w:szCs w:val="22"/>
        </w:rPr>
      </w:pPr>
      <w:r w:rsidRPr="008F7565">
        <w:rPr>
          <w:rFonts w:ascii="Palatino Linotype" w:hAnsi="Palatino Linotype"/>
          <w:b/>
          <w:bCs/>
          <w:color w:val="000000"/>
          <w:sz w:val="22"/>
          <w:szCs w:val="22"/>
        </w:rPr>
        <w:t>Manevi Unsur Bireyselleştirilerek Tespit Edilmelidir:</w:t>
      </w:r>
      <w:r w:rsidRPr="008F7565">
        <w:rPr>
          <w:rStyle w:val="apple-converted-space"/>
          <w:rFonts w:ascii="Palatino Linotype" w:eastAsiaTheme="majorEastAsia" w:hAnsi="Palatino Linotype"/>
          <w:color w:val="000000"/>
          <w:sz w:val="22"/>
          <w:szCs w:val="22"/>
        </w:rPr>
        <w:t> </w:t>
      </w:r>
      <w:r w:rsidRPr="008F7565">
        <w:rPr>
          <w:rFonts w:ascii="Palatino Linotype" w:hAnsi="Palatino Linotype"/>
          <w:color w:val="000000"/>
          <w:sz w:val="22"/>
          <w:szCs w:val="22"/>
        </w:rPr>
        <w:t xml:space="preserve">Söz konusu yapının toplumdaki uzun süreli varlığı ve yaygınlığı göz önüne alındığında, suçun unsurlarının her bir sanık özelinde bireyselleştirilmiş şekilde tespiti zorunluluğu çok daha </w:t>
      </w:r>
      <w:r w:rsidR="008E4342">
        <w:rPr>
          <w:rFonts w:ascii="Palatino Linotype" w:hAnsi="Palatino Linotype"/>
          <w:color w:val="000000"/>
          <w:sz w:val="22"/>
          <w:szCs w:val="22"/>
        </w:rPr>
        <w:t>önemli</w:t>
      </w:r>
      <w:r w:rsidRPr="008F7565">
        <w:rPr>
          <w:rFonts w:ascii="Palatino Linotype" w:hAnsi="Palatino Linotype"/>
          <w:color w:val="000000"/>
          <w:sz w:val="22"/>
          <w:szCs w:val="22"/>
        </w:rPr>
        <w:t xml:space="preserve"> bir hal almaktadır. Bu durumlarda, kişilere sadece iltisak veya irtibat nedeniyle sorumluluk yüklenmesini önlemek adına, ceza hukukunun sınırlarına sıkı sıkıya bağlı kalınması elzemdir. Özellikle başvurucuya atfedilen eylemlerden manevi unsura (kasta) dair bir çıkarım yapılırken; suçun gerçekleştiği zaman dilimi ve başvurucunun sadece yapının "eğitim kolundaki" faaliyetleri özel bir titizlikle ve bağlamsal bir yaklaşımla değerlendirilmelidir (§ 204).</w:t>
      </w:r>
    </w:p>
    <w:p w:rsidR="008F7565" w:rsidRPr="008F7565" w:rsidRDefault="008F7565" w:rsidP="008F7565">
      <w:pPr>
        <w:pStyle w:val="NormalWeb"/>
        <w:numPr>
          <w:ilvl w:val="0"/>
          <w:numId w:val="2"/>
        </w:numPr>
        <w:ind w:hanging="436"/>
        <w:jc w:val="both"/>
        <w:rPr>
          <w:rFonts w:ascii="Palatino Linotype" w:hAnsi="Palatino Linotype"/>
          <w:color w:val="000000"/>
          <w:sz w:val="22"/>
          <w:szCs w:val="22"/>
        </w:rPr>
      </w:pPr>
      <w:r w:rsidRPr="008F7565">
        <w:rPr>
          <w:rFonts w:ascii="Palatino Linotype" w:hAnsi="Palatino Linotype"/>
          <w:b/>
          <w:bCs/>
          <w:color w:val="000000"/>
          <w:sz w:val="22"/>
          <w:szCs w:val="22"/>
        </w:rPr>
        <w:t xml:space="preserve">Faaliyetlerin Zamansal Bağlamı </w:t>
      </w:r>
      <w:r w:rsidR="00545446">
        <w:rPr>
          <w:rFonts w:ascii="Palatino Linotype" w:hAnsi="Palatino Linotype"/>
          <w:b/>
          <w:bCs/>
          <w:color w:val="000000"/>
          <w:sz w:val="22"/>
          <w:szCs w:val="22"/>
        </w:rPr>
        <w:t>Dikkate Alınmalıdır</w:t>
      </w:r>
      <w:r w:rsidRPr="008F7565">
        <w:rPr>
          <w:rFonts w:ascii="Palatino Linotype" w:hAnsi="Palatino Linotype"/>
          <w:b/>
          <w:bCs/>
          <w:color w:val="000000"/>
          <w:sz w:val="22"/>
          <w:szCs w:val="22"/>
        </w:rPr>
        <w:t>:</w:t>
      </w:r>
      <w:r w:rsidRPr="008F7565">
        <w:rPr>
          <w:rStyle w:val="apple-converted-space"/>
          <w:rFonts w:ascii="Palatino Linotype" w:eastAsiaTheme="majorEastAsia" w:hAnsi="Palatino Linotype"/>
          <w:color w:val="000000"/>
          <w:sz w:val="22"/>
          <w:szCs w:val="22"/>
        </w:rPr>
        <w:t> </w:t>
      </w:r>
      <w:r w:rsidRPr="008F7565">
        <w:rPr>
          <w:rFonts w:ascii="Palatino Linotype" w:hAnsi="Palatino Linotype"/>
          <w:color w:val="000000"/>
          <w:sz w:val="22"/>
          <w:szCs w:val="22"/>
        </w:rPr>
        <w:t>Mahkeme, suçun zamansal unsuru konusunda ilk derece mahkemesinin kararını yeterli titizlikten yoksun bulmuştur. İddianamede, başvurucunun örgüt üyesi olduğu ve şiddet içeren hedefleri bildiği iddia edilen zaman dilimi açıkça belirtilmemiştir. Mevcut delillerden, başvurucunun iddia edilen faaliyetlerinin 2014 yılı içerisinde (darbe girişiminden ve resmi terör örgütü ilanından çok önce) sona erdiği anlaşılmaktadır (§ 205). O tarihlerde dini ve eğitimsel bir hareket olarak algılanan bir yapı söz konusu olduğundan, ulusal mahkemelerin, başvurucunun eğitim faaliyetlerine katılımının "terörist bir projeye bilinçli iştirak" mi yoksa "masumane bir katılım" mı olduğunu bağlamsal olarak ayırma yükümlülüğü bulunmaktaydı. Ancak mahkeme gerekçesi, 2014 ve öncesindeki bu faaliyetlerin suçun manevi unsurunu neden oluşturduğuna dair hiçbir açıklama sunmamıştır (§ 205, § 206).</w:t>
      </w:r>
    </w:p>
    <w:p w:rsidR="008F7565" w:rsidRPr="008F7565" w:rsidRDefault="008F7565" w:rsidP="008F7565">
      <w:pPr>
        <w:pStyle w:val="NormalWeb"/>
        <w:numPr>
          <w:ilvl w:val="0"/>
          <w:numId w:val="2"/>
        </w:numPr>
        <w:ind w:hanging="436"/>
        <w:jc w:val="both"/>
        <w:rPr>
          <w:rFonts w:ascii="Palatino Linotype" w:hAnsi="Palatino Linotype"/>
          <w:color w:val="000000"/>
          <w:sz w:val="22"/>
          <w:szCs w:val="22"/>
        </w:rPr>
      </w:pPr>
      <w:r w:rsidRPr="008F7565">
        <w:rPr>
          <w:rFonts w:ascii="Palatino Linotype" w:hAnsi="Palatino Linotype"/>
          <w:b/>
          <w:bCs/>
          <w:color w:val="000000"/>
          <w:sz w:val="22"/>
          <w:szCs w:val="22"/>
        </w:rPr>
        <w:t xml:space="preserve">Yasal Faaliyetler Terör Suçunun Otomatik </w:t>
      </w:r>
      <w:r w:rsidR="00545446">
        <w:rPr>
          <w:rFonts w:ascii="Palatino Linotype" w:hAnsi="Palatino Linotype"/>
          <w:b/>
          <w:bCs/>
          <w:color w:val="000000"/>
          <w:sz w:val="22"/>
          <w:szCs w:val="22"/>
        </w:rPr>
        <w:t xml:space="preserve">Delili </w:t>
      </w:r>
      <w:r w:rsidRPr="008F7565">
        <w:rPr>
          <w:rFonts w:ascii="Palatino Linotype" w:hAnsi="Palatino Linotype"/>
          <w:b/>
          <w:bCs/>
          <w:color w:val="000000"/>
          <w:sz w:val="22"/>
          <w:szCs w:val="22"/>
        </w:rPr>
        <w:t>Sayılamaz:</w:t>
      </w:r>
      <w:r w:rsidRPr="008F7565">
        <w:rPr>
          <w:rStyle w:val="apple-converted-space"/>
          <w:rFonts w:ascii="Palatino Linotype" w:eastAsiaTheme="majorEastAsia" w:hAnsi="Palatino Linotype"/>
          <w:color w:val="000000"/>
          <w:sz w:val="22"/>
          <w:szCs w:val="22"/>
        </w:rPr>
        <w:t> </w:t>
      </w:r>
      <w:r w:rsidRPr="008F7565">
        <w:rPr>
          <w:rFonts w:ascii="Palatino Linotype" w:hAnsi="Palatino Linotype"/>
          <w:color w:val="000000"/>
          <w:sz w:val="22"/>
          <w:szCs w:val="22"/>
        </w:rPr>
        <w:t xml:space="preserve">İsnat edilen fiillerin (yurtlarda/dershanede çalışma, banka hesabı) şiddet eylemleriyle doğrudan hiçbir bağlantısı bulunmadığında, yargılamada "özel bir özen" gösterilmesi gerekir. Başvurucunun tüm faaliyetlerinin yapının yasal olarak faaliyet gösterdiği eğitim kanadıyla ilgili olması, bu incelemeyi daha önemli hale getirmektedir. Zira bu yapının </w:t>
      </w:r>
      <w:r w:rsidRPr="008F7565">
        <w:rPr>
          <w:rFonts w:ascii="Palatino Linotype" w:hAnsi="Palatino Linotype"/>
          <w:color w:val="000000"/>
          <w:sz w:val="22"/>
          <w:szCs w:val="22"/>
        </w:rPr>
        <w:lastRenderedPageBreak/>
        <w:t xml:space="preserve">kendisini uzun yıllar "ahlaki ve eğitimsel bir hareket" olarak </w:t>
      </w:r>
      <w:r w:rsidR="008E4342">
        <w:rPr>
          <w:rFonts w:ascii="Palatino Linotype" w:hAnsi="Palatino Linotype"/>
          <w:color w:val="000000"/>
          <w:sz w:val="22"/>
          <w:szCs w:val="22"/>
        </w:rPr>
        <w:t>takdimi</w:t>
      </w:r>
      <w:r w:rsidRPr="008F7565">
        <w:rPr>
          <w:rFonts w:ascii="Palatino Linotype" w:hAnsi="Palatino Linotype"/>
          <w:color w:val="000000"/>
          <w:sz w:val="22"/>
          <w:szCs w:val="22"/>
        </w:rPr>
        <w:t xml:space="preserve">, pek çok kişinin yapının iddia edilen gizli ve şiddet içeren hedeflerinin farkında olmaksızın bu yapılarla bağlarını sürdürmelerine yol açmış olabilir. Bu durum, suçun sübutu için mutlak bir şart olan kast unsurunun; genel kabullerle değil, eylemlerin gerçekleştiği koşullar titizlikle incelenerek tespit edilmesini </w:t>
      </w:r>
      <w:r w:rsidR="008E4342">
        <w:rPr>
          <w:rFonts w:ascii="Palatino Linotype" w:hAnsi="Palatino Linotype"/>
          <w:color w:val="000000"/>
          <w:sz w:val="22"/>
          <w:szCs w:val="22"/>
        </w:rPr>
        <w:t>gerektirir</w:t>
      </w:r>
      <w:r w:rsidRPr="008F7565">
        <w:rPr>
          <w:rFonts w:ascii="Palatino Linotype" w:hAnsi="Palatino Linotype"/>
          <w:color w:val="000000"/>
          <w:sz w:val="22"/>
          <w:szCs w:val="22"/>
        </w:rPr>
        <w:t xml:space="preserve"> (§ 207, § 208).</w:t>
      </w:r>
    </w:p>
    <w:p w:rsidR="008F7565" w:rsidRPr="008F7565" w:rsidRDefault="008F7565" w:rsidP="008F7565">
      <w:pPr>
        <w:pStyle w:val="NormalWeb"/>
        <w:numPr>
          <w:ilvl w:val="0"/>
          <w:numId w:val="2"/>
        </w:numPr>
        <w:ind w:hanging="436"/>
        <w:jc w:val="both"/>
        <w:rPr>
          <w:rFonts w:ascii="Palatino Linotype" w:hAnsi="Palatino Linotype"/>
          <w:color w:val="000000"/>
          <w:sz w:val="22"/>
          <w:szCs w:val="22"/>
        </w:rPr>
      </w:pPr>
      <w:r w:rsidRPr="008F7565">
        <w:rPr>
          <w:rFonts w:ascii="Palatino Linotype" w:hAnsi="Palatino Linotype"/>
          <w:b/>
          <w:bCs/>
          <w:color w:val="000000"/>
          <w:sz w:val="22"/>
          <w:szCs w:val="22"/>
        </w:rPr>
        <w:t>Varsayımla Değil Somut Delille Hüküm Kurulmalıdır:</w:t>
      </w:r>
      <w:r w:rsidRPr="008F7565">
        <w:rPr>
          <w:rStyle w:val="apple-converted-space"/>
          <w:rFonts w:ascii="Palatino Linotype" w:eastAsiaTheme="majorEastAsia" w:hAnsi="Palatino Linotype"/>
          <w:color w:val="000000"/>
          <w:sz w:val="22"/>
          <w:szCs w:val="22"/>
        </w:rPr>
        <w:t> </w:t>
      </w:r>
      <w:r w:rsidRPr="008F7565">
        <w:rPr>
          <w:rFonts w:ascii="Palatino Linotype" w:hAnsi="Palatino Linotype"/>
          <w:color w:val="000000"/>
          <w:sz w:val="22"/>
          <w:szCs w:val="22"/>
        </w:rPr>
        <w:t xml:space="preserve">Suçun manevi unsuru varsayımlarla değil, somut delillerle ispat edilmelidir. Ulusal mahkemelerin, başvurucu ile örgütün merkezi veya </w:t>
      </w:r>
      <w:r w:rsidR="008E4342">
        <w:rPr>
          <w:rFonts w:ascii="Palatino Linotype" w:hAnsi="Palatino Linotype"/>
          <w:color w:val="000000"/>
          <w:sz w:val="22"/>
          <w:szCs w:val="22"/>
        </w:rPr>
        <w:t>stratejik</w:t>
      </w:r>
      <w:r w:rsidRPr="008F7565">
        <w:rPr>
          <w:rFonts w:ascii="Palatino Linotype" w:hAnsi="Palatino Linotype"/>
          <w:color w:val="000000"/>
          <w:sz w:val="22"/>
          <w:szCs w:val="22"/>
        </w:rPr>
        <w:t xml:space="preserve"> kanatları arasında fiili, kişisel veya hiyerarşik bir bağ bulunup bulunmadığını ve bu bağın niteliğinin suç kastını ispatlayıp ispatlamadığını </w:t>
      </w:r>
      <w:r w:rsidR="008E4342">
        <w:rPr>
          <w:rFonts w:ascii="Palatino Linotype" w:hAnsi="Palatino Linotype"/>
          <w:color w:val="000000"/>
          <w:sz w:val="22"/>
          <w:szCs w:val="22"/>
        </w:rPr>
        <w:t>tespit etmeleri</w:t>
      </w:r>
      <w:r w:rsidRPr="008F7565">
        <w:rPr>
          <w:rFonts w:ascii="Palatino Linotype" w:hAnsi="Palatino Linotype"/>
          <w:color w:val="000000"/>
          <w:sz w:val="22"/>
          <w:szCs w:val="22"/>
        </w:rPr>
        <w:t xml:space="preserve"> gerekirdi. Oysa yerel mahkemeler, stratejik</w:t>
      </w:r>
      <w:r w:rsidR="00545446">
        <w:rPr>
          <w:rFonts w:ascii="Palatino Linotype" w:hAnsi="Palatino Linotype"/>
          <w:color w:val="000000"/>
          <w:sz w:val="22"/>
          <w:szCs w:val="22"/>
        </w:rPr>
        <w:t xml:space="preserve"> veya merkezi</w:t>
      </w:r>
      <w:r w:rsidRPr="008F7565">
        <w:rPr>
          <w:rFonts w:ascii="Palatino Linotype" w:hAnsi="Palatino Linotype"/>
          <w:color w:val="000000"/>
          <w:sz w:val="22"/>
          <w:szCs w:val="22"/>
        </w:rPr>
        <w:t xml:space="preserve"> kanatlarla bağ kurmak yerine, esasen başvurucunun eğitim alanındaki rolüne dayanmışlardır. </w:t>
      </w:r>
      <w:r w:rsidR="00467901">
        <w:rPr>
          <w:rFonts w:ascii="Palatino Linotype" w:hAnsi="Palatino Linotype"/>
          <w:color w:val="000000"/>
          <w:sz w:val="22"/>
          <w:szCs w:val="22"/>
        </w:rPr>
        <w:t>Söz konsu yapıya</w:t>
      </w:r>
      <w:r w:rsidRPr="008F7565">
        <w:rPr>
          <w:rFonts w:ascii="Palatino Linotype" w:hAnsi="Palatino Linotype"/>
          <w:color w:val="000000"/>
          <w:sz w:val="22"/>
          <w:szCs w:val="22"/>
        </w:rPr>
        <w:t xml:space="preserve"> henüz hiçbir şiddet eyleminin atfedilmediği bir dönemde, başvurucunun iddia edilen </w:t>
      </w:r>
      <w:r w:rsidR="008E4342">
        <w:rPr>
          <w:rFonts w:ascii="Palatino Linotype" w:hAnsi="Palatino Linotype"/>
          <w:color w:val="000000"/>
          <w:sz w:val="22"/>
          <w:szCs w:val="22"/>
        </w:rPr>
        <w:t>nihai amaca</w:t>
      </w:r>
      <w:r w:rsidRPr="008F7565">
        <w:rPr>
          <w:rFonts w:ascii="Palatino Linotype" w:hAnsi="Palatino Linotype"/>
          <w:color w:val="000000"/>
          <w:sz w:val="22"/>
          <w:szCs w:val="22"/>
        </w:rPr>
        <w:t xml:space="preserve"> ilişkin bilgisi</w:t>
      </w:r>
      <w:r w:rsidR="008E4342">
        <w:rPr>
          <w:rFonts w:ascii="Palatino Linotype" w:hAnsi="Palatino Linotype"/>
          <w:color w:val="000000"/>
          <w:sz w:val="22"/>
          <w:szCs w:val="22"/>
        </w:rPr>
        <w:t xml:space="preserve"> </w:t>
      </w:r>
      <w:r w:rsidRPr="008F7565">
        <w:rPr>
          <w:rFonts w:ascii="Palatino Linotype" w:hAnsi="Palatino Linotype"/>
          <w:color w:val="000000"/>
          <w:sz w:val="22"/>
          <w:szCs w:val="22"/>
        </w:rPr>
        <w:t>hiç araştırılmamıştır (§ 209).</w:t>
      </w:r>
    </w:p>
    <w:p w:rsidR="008F7565" w:rsidRPr="008F7565" w:rsidRDefault="008F7565" w:rsidP="008F7565">
      <w:pPr>
        <w:pStyle w:val="NormalWeb"/>
        <w:numPr>
          <w:ilvl w:val="0"/>
          <w:numId w:val="2"/>
        </w:numPr>
        <w:ind w:hanging="436"/>
        <w:jc w:val="both"/>
        <w:rPr>
          <w:rFonts w:ascii="Palatino Linotype" w:hAnsi="Palatino Linotype"/>
          <w:color w:val="000000"/>
          <w:sz w:val="22"/>
          <w:szCs w:val="22"/>
        </w:rPr>
      </w:pPr>
      <w:r w:rsidRPr="008F7565">
        <w:rPr>
          <w:rFonts w:ascii="Palatino Linotype" w:hAnsi="Palatino Linotype"/>
          <w:b/>
          <w:bCs/>
          <w:color w:val="000000"/>
          <w:sz w:val="22"/>
          <w:szCs w:val="22"/>
        </w:rPr>
        <w:t>Hiyerarşik Konum Belirlenmeden Kusur Tayini Yapılamaz:</w:t>
      </w:r>
      <w:r w:rsidRPr="008F7565">
        <w:rPr>
          <w:rStyle w:val="apple-converted-space"/>
          <w:rFonts w:ascii="Palatino Linotype" w:eastAsiaTheme="majorEastAsia" w:hAnsi="Palatino Linotype"/>
          <w:color w:val="000000"/>
          <w:sz w:val="22"/>
          <w:szCs w:val="22"/>
        </w:rPr>
        <w:t> </w:t>
      </w:r>
      <w:r w:rsidRPr="008F7565">
        <w:rPr>
          <w:rFonts w:ascii="Palatino Linotype" w:hAnsi="Palatino Linotype"/>
          <w:color w:val="000000"/>
          <w:sz w:val="22"/>
          <w:szCs w:val="22"/>
        </w:rPr>
        <w:t xml:space="preserve">Ulusal mahkemeler başvurucuyu yapı içinde "sorumluluk gerektiren bir düzeyde" tanımlamıştır. Ancak, Yargıtay içtihatlarında bu yapı mensuplarının kusurluluk derecelerini belirleyen "yedi katmanlı bir hiyerarşi" kabul edilmiş olmasına rağmen, yerel mahkemeler bu konuya hiç değinmemiştir. Başvurucunun BBTM görevini yürütürken bu hiyerarşik yapının tam olarak hangi katmanında kabul edildiği yargılama sürecinde açıklığa kavuşturulmamıştır. Bu belirsizlik, kişinin yapı içindeki gerçek konumunun ve şiddeti öngörebilme kusurunun hukuken net </w:t>
      </w:r>
      <w:r w:rsidR="008E4342">
        <w:rPr>
          <w:rFonts w:ascii="Palatino Linotype" w:hAnsi="Palatino Linotype"/>
          <w:color w:val="000000"/>
          <w:sz w:val="22"/>
          <w:szCs w:val="22"/>
        </w:rPr>
        <w:t>olarak tespit edilmediğini</w:t>
      </w:r>
      <w:r w:rsidRPr="008F7565">
        <w:rPr>
          <w:rFonts w:ascii="Palatino Linotype" w:hAnsi="Palatino Linotype"/>
          <w:color w:val="000000"/>
          <w:sz w:val="22"/>
          <w:szCs w:val="22"/>
        </w:rPr>
        <w:t xml:space="preserve"> göstermektedir (§ 210).</w:t>
      </w:r>
    </w:p>
    <w:p w:rsidR="008F7565" w:rsidRPr="008F7565" w:rsidRDefault="008F7565" w:rsidP="008F7565">
      <w:pPr>
        <w:pStyle w:val="NormalWeb"/>
        <w:numPr>
          <w:ilvl w:val="0"/>
          <w:numId w:val="2"/>
        </w:numPr>
        <w:ind w:hanging="436"/>
        <w:jc w:val="both"/>
        <w:rPr>
          <w:rFonts w:ascii="Palatino Linotype" w:hAnsi="Palatino Linotype"/>
          <w:color w:val="000000"/>
          <w:sz w:val="22"/>
          <w:szCs w:val="22"/>
        </w:rPr>
      </w:pPr>
      <w:r w:rsidRPr="008F7565">
        <w:rPr>
          <w:rFonts w:ascii="Palatino Linotype" w:hAnsi="Palatino Linotype"/>
          <w:b/>
          <w:bCs/>
          <w:color w:val="000000"/>
          <w:sz w:val="22"/>
          <w:szCs w:val="22"/>
        </w:rPr>
        <w:t>Genel Değerlendirmelerle Suç Kastı İspat Edilemez:</w:t>
      </w:r>
      <w:r w:rsidRPr="008F7565">
        <w:rPr>
          <w:rStyle w:val="apple-converted-space"/>
          <w:rFonts w:ascii="Palatino Linotype" w:eastAsiaTheme="majorEastAsia" w:hAnsi="Palatino Linotype"/>
          <w:color w:val="000000"/>
          <w:sz w:val="22"/>
          <w:szCs w:val="22"/>
        </w:rPr>
        <w:t> </w:t>
      </w:r>
      <w:r w:rsidRPr="008F7565">
        <w:rPr>
          <w:rFonts w:ascii="Palatino Linotype" w:hAnsi="Palatino Linotype"/>
          <w:color w:val="000000"/>
          <w:sz w:val="22"/>
          <w:szCs w:val="22"/>
        </w:rPr>
        <w:t xml:space="preserve">Suçun manevi unsuru olan kast, genel varsayımlarla değil, yalnızca somut olgulara sıkı sıkıya bağlı bireyselleştirilmiş bir </w:t>
      </w:r>
      <w:r w:rsidR="00545446">
        <w:rPr>
          <w:rFonts w:ascii="Palatino Linotype" w:hAnsi="Palatino Linotype"/>
          <w:color w:val="000000"/>
          <w:sz w:val="22"/>
          <w:szCs w:val="22"/>
        </w:rPr>
        <w:t xml:space="preserve">değerlendirmeyle </w:t>
      </w:r>
      <w:r w:rsidRPr="008F7565">
        <w:rPr>
          <w:rFonts w:ascii="Palatino Linotype" w:hAnsi="Palatino Linotype"/>
          <w:color w:val="000000"/>
          <w:sz w:val="22"/>
          <w:szCs w:val="22"/>
        </w:rPr>
        <w:t xml:space="preserve">tespit edilebilir. İlgili dönemde dini bir grup olarak algılanan yapıya mensubiyet, tek başına kişinin özel suç kastına sahip olduğu sonucuna varmak için yeterli değildir. Ancak yerel mahkemeler, başvurucunun yapının terör örgütüne dönüştüğünden haberdar olduğunu somut olarak ispatlamak yerine, örgütün gelişimi hakkındaki genel değerlendirmelere dayanmıştır. Kararda deliller sadece alt alta sıralanmış, bu delillerin başvurucunun örgütün nihai amaçlarını bildiğini nasıl kanıtladığına dair "anlamlı bir açıklama" </w:t>
      </w:r>
      <w:r w:rsidR="008E4342">
        <w:rPr>
          <w:rFonts w:ascii="Palatino Linotype" w:hAnsi="Palatino Linotype"/>
          <w:color w:val="000000"/>
          <w:sz w:val="22"/>
          <w:szCs w:val="22"/>
        </w:rPr>
        <w:t>yapıl</w:t>
      </w:r>
      <w:r w:rsidRPr="008F7565">
        <w:rPr>
          <w:rFonts w:ascii="Palatino Linotype" w:hAnsi="Palatino Linotype"/>
          <w:color w:val="000000"/>
          <w:sz w:val="22"/>
          <w:szCs w:val="22"/>
        </w:rPr>
        <w:t>mamıştır (§ 211, § 212).</w:t>
      </w:r>
    </w:p>
    <w:p w:rsidR="008F7565" w:rsidRPr="008F7565" w:rsidRDefault="008F7565" w:rsidP="008F7565">
      <w:pPr>
        <w:pStyle w:val="NormalWeb"/>
        <w:numPr>
          <w:ilvl w:val="0"/>
          <w:numId w:val="2"/>
        </w:numPr>
        <w:ind w:hanging="436"/>
        <w:jc w:val="both"/>
        <w:rPr>
          <w:rFonts w:ascii="Palatino Linotype" w:hAnsi="Palatino Linotype"/>
          <w:color w:val="000000"/>
          <w:sz w:val="22"/>
          <w:szCs w:val="22"/>
        </w:rPr>
      </w:pPr>
      <w:r w:rsidRPr="008F7565">
        <w:rPr>
          <w:rFonts w:ascii="Palatino Linotype" w:hAnsi="Palatino Linotype"/>
          <w:b/>
          <w:bCs/>
          <w:color w:val="000000"/>
          <w:sz w:val="22"/>
          <w:szCs w:val="22"/>
        </w:rPr>
        <w:t>Sonuç (7. Madde İhlali):</w:t>
      </w:r>
      <w:r w:rsidRPr="008F7565">
        <w:rPr>
          <w:rStyle w:val="apple-converted-space"/>
          <w:rFonts w:ascii="Palatino Linotype" w:eastAsiaTheme="majorEastAsia" w:hAnsi="Palatino Linotype"/>
          <w:color w:val="000000"/>
          <w:sz w:val="22"/>
          <w:szCs w:val="22"/>
        </w:rPr>
        <w:t> </w:t>
      </w:r>
      <w:r w:rsidRPr="008F7565">
        <w:rPr>
          <w:rFonts w:ascii="Palatino Linotype" w:hAnsi="Palatino Linotype"/>
          <w:color w:val="000000"/>
          <w:sz w:val="22"/>
          <w:szCs w:val="22"/>
        </w:rPr>
        <w:t xml:space="preserve">Kişisel sorumluluğun </w:t>
      </w:r>
      <w:r w:rsidR="00467901">
        <w:rPr>
          <w:rFonts w:ascii="Palatino Linotype" w:hAnsi="Palatino Linotype"/>
          <w:color w:val="000000"/>
          <w:sz w:val="22"/>
          <w:szCs w:val="22"/>
        </w:rPr>
        <w:t>temeli</w:t>
      </w:r>
      <w:r w:rsidRPr="008F7565">
        <w:rPr>
          <w:rFonts w:ascii="Palatino Linotype" w:hAnsi="Palatino Linotype"/>
          <w:color w:val="000000"/>
          <w:sz w:val="22"/>
          <w:szCs w:val="22"/>
        </w:rPr>
        <w:t xml:space="preserve"> olan "zihinsel bağlantı" (özel suç kastı) açıkça kurulmadan, eksik bir bireyselleştirme, varsayımlar ve "otomatik suçluluk" yaklaşımıyla tesis edilen bu mahkumiyet nedeniyle Mahkeme, kişisel sorumluluk tespit edilmeden cezalandırılmama hakkını güvence altına alan Sözleşme’nin 7. maddesinin ihlal edildiği sonucuna varmıştır (§ 213, § 214).</w:t>
      </w:r>
    </w:p>
    <w:p w:rsidR="008F7565" w:rsidRPr="008F7565" w:rsidRDefault="008F7565" w:rsidP="008F7565">
      <w:pPr>
        <w:pStyle w:val="NormalWeb"/>
        <w:ind w:firstLine="284"/>
        <w:jc w:val="both"/>
        <w:rPr>
          <w:rFonts w:ascii="Palatino Linotype" w:hAnsi="Palatino Linotype"/>
          <w:color w:val="000000"/>
          <w:sz w:val="22"/>
          <w:szCs w:val="22"/>
        </w:rPr>
      </w:pPr>
      <w:r w:rsidRPr="008F7565">
        <w:rPr>
          <w:rFonts w:ascii="Palatino Linotype" w:hAnsi="Palatino Linotype"/>
          <w:b/>
          <w:bCs/>
          <w:color w:val="000000"/>
          <w:sz w:val="22"/>
          <w:szCs w:val="22"/>
        </w:rPr>
        <w:t>AİHM’in Sözleşme’nin 3. Maddesi ile İlgili Tespitleri ve İhlal Gerekçeleri</w:t>
      </w:r>
    </w:p>
    <w:p w:rsidR="008F7565" w:rsidRPr="008F7565" w:rsidRDefault="008F7565" w:rsidP="008F7565">
      <w:pPr>
        <w:pStyle w:val="NormalWeb"/>
        <w:numPr>
          <w:ilvl w:val="0"/>
          <w:numId w:val="3"/>
        </w:numPr>
        <w:ind w:hanging="436"/>
        <w:jc w:val="both"/>
        <w:rPr>
          <w:rFonts w:ascii="Palatino Linotype" w:hAnsi="Palatino Linotype"/>
          <w:color w:val="000000"/>
          <w:sz w:val="22"/>
          <w:szCs w:val="22"/>
        </w:rPr>
      </w:pPr>
      <w:r w:rsidRPr="008F7565">
        <w:rPr>
          <w:rFonts w:ascii="Palatino Linotype" w:hAnsi="Palatino Linotype"/>
          <w:b/>
          <w:bCs/>
          <w:color w:val="000000"/>
          <w:sz w:val="22"/>
          <w:szCs w:val="22"/>
        </w:rPr>
        <w:t>AİHS’nin 3. Maddesi:</w:t>
      </w:r>
      <w:r w:rsidRPr="008F7565">
        <w:rPr>
          <w:rStyle w:val="apple-converted-space"/>
          <w:rFonts w:ascii="Palatino Linotype" w:eastAsiaTheme="majorEastAsia" w:hAnsi="Palatino Linotype"/>
          <w:color w:val="000000"/>
          <w:sz w:val="22"/>
          <w:szCs w:val="22"/>
        </w:rPr>
        <w:t> </w:t>
      </w:r>
      <w:r w:rsidRPr="008F7565">
        <w:rPr>
          <w:rFonts w:ascii="Palatino Linotype" w:hAnsi="Palatino Linotype"/>
          <w:color w:val="000000"/>
          <w:sz w:val="22"/>
          <w:szCs w:val="22"/>
        </w:rPr>
        <w:t>"Hiç kimse işkenceye veya insanlık dışı ya da aşağılayıcı muameleye veya cezaya maruz bırakılamaz" (§ 215).</w:t>
      </w:r>
    </w:p>
    <w:p w:rsidR="008F7565" w:rsidRPr="008F7565" w:rsidRDefault="008F7565" w:rsidP="008F7565">
      <w:pPr>
        <w:pStyle w:val="NormalWeb"/>
        <w:numPr>
          <w:ilvl w:val="0"/>
          <w:numId w:val="3"/>
        </w:numPr>
        <w:ind w:hanging="436"/>
        <w:jc w:val="both"/>
        <w:rPr>
          <w:rFonts w:ascii="Palatino Linotype" w:hAnsi="Palatino Linotype"/>
          <w:color w:val="000000"/>
          <w:sz w:val="22"/>
          <w:szCs w:val="22"/>
        </w:rPr>
      </w:pPr>
      <w:r w:rsidRPr="008F7565">
        <w:rPr>
          <w:rFonts w:ascii="Palatino Linotype" w:hAnsi="Palatino Linotype"/>
          <w:b/>
          <w:bCs/>
          <w:color w:val="000000"/>
          <w:sz w:val="22"/>
          <w:szCs w:val="22"/>
        </w:rPr>
        <w:t>Aşırı Kalabalık</w:t>
      </w:r>
      <w:r w:rsidR="00545446">
        <w:rPr>
          <w:rFonts w:ascii="Palatino Linotype" w:hAnsi="Palatino Linotype"/>
          <w:b/>
          <w:bCs/>
          <w:color w:val="000000"/>
          <w:sz w:val="22"/>
          <w:szCs w:val="22"/>
        </w:rPr>
        <w:t xml:space="preserve"> ve</w:t>
      </w:r>
      <w:r w:rsidRPr="008F7565">
        <w:rPr>
          <w:rFonts w:ascii="Palatino Linotype" w:hAnsi="Palatino Linotype"/>
          <w:b/>
          <w:bCs/>
          <w:color w:val="000000"/>
          <w:sz w:val="22"/>
          <w:szCs w:val="22"/>
        </w:rPr>
        <w:t xml:space="preserve"> Kötü Cezaevi Koşulları:</w:t>
      </w:r>
      <w:r w:rsidRPr="008F7565">
        <w:rPr>
          <w:rStyle w:val="apple-converted-space"/>
          <w:rFonts w:ascii="Palatino Linotype" w:eastAsiaTheme="majorEastAsia" w:hAnsi="Palatino Linotype"/>
          <w:color w:val="000000"/>
          <w:sz w:val="22"/>
          <w:szCs w:val="22"/>
        </w:rPr>
        <w:t> </w:t>
      </w:r>
      <w:r w:rsidRPr="008F7565">
        <w:rPr>
          <w:rFonts w:ascii="Palatino Linotype" w:hAnsi="Palatino Linotype"/>
          <w:color w:val="000000"/>
          <w:sz w:val="22"/>
          <w:szCs w:val="22"/>
        </w:rPr>
        <w:t xml:space="preserve">Başvurucu, 15 Temmuz sonrası mahkum sayısındaki ani artışla kapasitesi fazlasıyla aşılan Çorum L Tipi Cezaevi'nde, başlangıçta 7 kişi için tasarlanan ancak kapasitesi ranzalarla zorlanan F-5 ve F-10 koğuşlarında kalmıştır. F-5 koğuşunda 47 tutukluya kadar çıkan sayılarla başvurucunun kişisel yaşam alanı 3,6 ile 4,6 metrekareye, F-10'da ise 4 ile 6 metrekareye kadar düşmüştür. AİHM, mahkum başına düşen kişisel alanın 3 ile 4 metrekare arasında olduğu durumlarda, bunun diğer uygun olmayan fiziksel koşullarla birleştiğinde 3. madde ihlaline yol </w:t>
      </w:r>
      <w:r w:rsidRPr="008F7565">
        <w:rPr>
          <w:rFonts w:ascii="Palatino Linotype" w:hAnsi="Palatino Linotype"/>
          <w:color w:val="000000"/>
          <w:sz w:val="22"/>
          <w:szCs w:val="22"/>
        </w:rPr>
        <w:lastRenderedPageBreak/>
        <w:t>açabileceğini belirtmiştir (§ 233). Kırktan fazla tutuklu koğuşlardaki yalnızca iki tuvaleti ve iki duşu paylaşmak zorunda kalmış, sıcak suya erişim haftada iki gün ile sınırlandırılmıştır (§ 237-239).</w:t>
      </w:r>
    </w:p>
    <w:p w:rsidR="008F7565" w:rsidRPr="008F7565" w:rsidRDefault="008F7565" w:rsidP="008F7565">
      <w:pPr>
        <w:pStyle w:val="NormalWeb"/>
        <w:numPr>
          <w:ilvl w:val="0"/>
          <w:numId w:val="3"/>
        </w:numPr>
        <w:ind w:hanging="436"/>
        <w:jc w:val="both"/>
        <w:rPr>
          <w:rFonts w:ascii="Palatino Linotype" w:hAnsi="Palatino Linotype"/>
          <w:color w:val="000000"/>
          <w:sz w:val="22"/>
          <w:szCs w:val="22"/>
        </w:rPr>
      </w:pPr>
      <w:r w:rsidRPr="008F7565">
        <w:rPr>
          <w:rFonts w:ascii="Palatino Linotype" w:hAnsi="Palatino Linotype"/>
          <w:b/>
          <w:bCs/>
          <w:color w:val="000000"/>
          <w:sz w:val="22"/>
          <w:szCs w:val="22"/>
        </w:rPr>
        <w:t>"Bir Mahkûm Bir Yatak" İlkesinin İhlali:</w:t>
      </w:r>
      <w:r w:rsidRPr="008F7565">
        <w:rPr>
          <w:rStyle w:val="apple-converted-space"/>
          <w:rFonts w:ascii="Palatino Linotype" w:eastAsiaTheme="majorEastAsia" w:hAnsi="Palatino Linotype"/>
          <w:color w:val="000000"/>
          <w:sz w:val="22"/>
          <w:szCs w:val="22"/>
        </w:rPr>
        <w:t> </w:t>
      </w:r>
      <w:r w:rsidRPr="008F7565">
        <w:rPr>
          <w:rFonts w:ascii="Palatino Linotype" w:hAnsi="Palatino Linotype"/>
          <w:color w:val="000000"/>
          <w:sz w:val="22"/>
          <w:szCs w:val="22"/>
        </w:rPr>
        <w:t xml:space="preserve">Yatak kapasitesinin aşılması nedeniyle başvurucu, diğer mahkumlarla oluşturulan bir dönüşüm (vardiya) sistemi dahilinde, toplamda yaklaşık 14 ay boyunca ranzada değil, dinlenmeye hiç uygun olmayan ortak alan zeminine serili bir yatak üzerinde uyumak zorunda bırakılmıştır (§ 241, § 242). Mahremiyetin sıfıra indiği bu ortak alanda, güvenlik gerekçesiyle gece boyunca sürekli yanan </w:t>
      </w:r>
      <w:r w:rsidR="008E4342">
        <w:rPr>
          <w:rFonts w:ascii="Palatino Linotype" w:hAnsi="Palatino Linotype"/>
          <w:color w:val="000000"/>
          <w:sz w:val="22"/>
          <w:szCs w:val="22"/>
        </w:rPr>
        <w:t xml:space="preserve">bir </w:t>
      </w:r>
      <w:r w:rsidRPr="008F7565">
        <w:rPr>
          <w:rFonts w:ascii="Palatino Linotype" w:hAnsi="Palatino Linotype"/>
          <w:color w:val="000000"/>
          <w:sz w:val="22"/>
          <w:szCs w:val="22"/>
        </w:rPr>
        <w:t>ışığa maruz kalma ve diğer tutukluların hareketliliğinden kaynaklanan ortam gürültüsü uyku kalitesini tamamen bozmuştur. AİHM, zihinsel yorgunluğa yol açan bu durumun, CPT tarafından da vurgulanan "bir mahkum bir yatak" ilkesine açıkça aykırı olduğunu ve başvurucu üzerinde son derece ağır fiziksel ve psikolojik bir yük oluşturduğunu teyit etmiştir (§ 243, § 244).</w:t>
      </w:r>
    </w:p>
    <w:p w:rsidR="008F7565" w:rsidRPr="008F7565" w:rsidRDefault="00467901" w:rsidP="008F7565">
      <w:pPr>
        <w:pStyle w:val="NormalWeb"/>
        <w:numPr>
          <w:ilvl w:val="0"/>
          <w:numId w:val="3"/>
        </w:numPr>
        <w:ind w:hanging="436"/>
        <w:jc w:val="both"/>
        <w:rPr>
          <w:rFonts w:ascii="Palatino Linotype" w:hAnsi="Palatino Linotype"/>
          <w:color w:val="000000"/>
          <w:sz w:val="22"/>
          <w:szCs w:val="22"/>
        </w:rPr>
      </w:pPr>
      <w:r>
        <w:rPr>
          <w:rFonts w:ascii="Palatino Linotype" w:hAnsi="Palatino Linotype"/>
          <w:b/>
          <w:bCs/>
          <w:color w:val="000000"/>
          <w:sz w:val="22"/>
          <w:szCs w:val="22"/>
        </w:rPr>
        <w:t xml:space="preserve">Sonuç (3. Madde </w:t>
      </w:r>
      <w:r w:rsidR="008F7565" w:rsidRPr="008F7565">
        <w:rPr>
          <w:rFonts w:ascii="Palatino Linotype" w:hAnsi="Palatino Linotype"/>
          <w:b/>
          <w:bCs/>
          <w:color w:val="000000"/>
          <w:sz w:val="22"/>
          <w:szCs w:val="22"/>
        </w:rPr>
        <w:t>İhlali</w:t>
      </w:r>
      <w:r>
        <w:rPr>
          <w:rFonts w:ascii="Palatino Linotype" w:hAnsi="Palatino Linotype"/>
          <w:b/>
          <w:bCs/>
          <w:color w:val="000000"/>
          <w:sz w:val="22"/>
          <w:szCs w:val="22"/>
        </w:rPr>
        <w:t>)</w:t>
      </w:r>
      <w:r w:rsidR="008F7565" w:rsidRPr="008F7565">
        <w:rPr>
          <w:rFonts w:ascii="Palatino Linotype" w:hAnsi="Palatino Linotype"/>
          <w:b/>
          <w:bCs/>
          <w:color w:val="000000"/>
          <w:sz w:val="22"/>
          <w:szCs w:val="22"/>
        </w:rPr>
        <w:t>:</w:t>
      </w:r>
      <w:r w:rsidR="008F7565" w:rsidRPr="008F7565">
        <w:rPr>
          <w:rStyle w:val="apple-converted-space"/>
          <w:rFonts w:ascii="Palatino Linotype" w:eastAsiaTheme="majorEastAsia" w:hAnsi="Palatino Linotype"/>
          <w:color w:val="000000"/>
          <w:sz w:val="22"/>
          <w:szCs w:val="22"/>
        </w:rPr>
        <w:t> </w:t>
      </w:r>
      <w:r w:rsidR="008F7565" w:rsidRPr="008F7565">
        <w:rPr>
          <w:rFonts w:ascii="Palatino Linotype" w:hAnsi="Palatino Linotype"/>
          <w:color w:val="000000"/>
          <w:sz w:val="22"/>
          <w:szCs w:val="22"/>
        </w:rPr>
        <w:t>Başvurucunun maruz kaldığı bu ağır kısıtlamalar (sürekli aşırı kalabalık, yetersiz sağlık/hijyen tesisleri ve 14 ay boyunca yerde yatmaya mecbur bırakılma) geçici veya istisnai bir durum olarak değerlendirilemez. Dört yıl gibi uzun bir süreye yayılan bu olumsuz faktörlerin kümülatif etkisi, özgürlükten yoksun bırakılmanın doğasında var olan kaçınılmaz sıkıntıların çok ötesine geçmiş ve Sözleşme'nin 3. maddesinde belirtilen "aşağılayıcı muamele" (asgari şiddet) eşiğini aşmıştır. Bu nedenle AİHM, 3. maddesinin ihlal edildiğine karar vermiştir (§ 246, § 247).</w:t>
      </w:r>
    </w:p>
    <w:p w:rsidR="008F7565" w:rsidRPr="008F7565" w:rsidRDefault="008F7565" w:rsidP="008F7565">
      <w:pPr>
        <w:pStyle w:val="NormalWeb"/>
        <w:ind w:firstLine="284"/>
        <w:jc w:val="both"/>
        <w:rPr>
          <w:rFonts w:ascii="Palatino Linotype" w:hAnsi="Palatino Linotype"/>
          <w:color w:val="000000"/>
          <w:sz w:val="22"/>
          <w:szCs w:val="22"/>
        </w:rPr>
      </w:pPr>
      <w:r w:rsidRPr="008F7565">
        <w:rPr>
          <w:rFonts w:ascii="Palatino Linotype" w:hAnsi="Palatino Linotype"/>
          <w:b/>
          <w:bCs/>
          <w:color w:val="000000"/>
          <w:sz w:val="22"/>
          <w:szCs w:val="22"/>
        </w:rPr>
        <w:t>AİHM’in Sözleşme’nin 41. Maddesini Uygulaması</w:t>
      </w:r>
    </w:p>
    <w:p w:rsidR="008F7565" w:rsidRPr="008F7565" w:rsidRDefault="008F7565" w:rsidP="008F7565">
      <w:pPr>
        <w:pStyle w:val="NormalWeb"/>
        <w:numPr>
          <w:ilvl w:val="0"/>
          <w:numId w:val="4"/>
        </w:numPr>
        <w:ind w:hanging="436"/>
        <w:jc w:val="both"/>
        <w:rPr>
          <w:rFonts w:ascii="Palatino Linotype" w:hAnsi="Palatino Linotype"/>
          <w:color w:val="000000"/>
          <w:sz w:val="22"/>
          <w:szCs w:val="22"/>
        </w:rPr>
      </w:pPr>
      <w:r w:rsidRPr="008F7565">
        <w:rPr>
          <w:rFonts w:ascii="Palatino Linotype" w:hAnsi="Palatino Linotype"/>
          <w:b/>
          <w:bCs/>
          <w:color w:val="000000"/>
          <w:sz w:val="22"/>
          <w:szCs w:val="22"/>
        </w:rPr>
        <w:t>Maddi Tazminat:</w:t>
      </w:r>
      <w:r w:rsidRPr="008F7565">
        <w:rPr>
          <w:rStyle w:val="apple-converted-space"/>
          <w:rFonts w:ascii="Palatino Linotype" w:eastAsiaTheme="majorEastAsia" w:hAnsi="Palatino Linotype"/>
          <w:color w:val="000000"/>
          <w:sz w:val="22"/>
          <w:szCs w:val="22"/>
        </w:rPr>
        <w:t> </w:t>
      </w:r>
      <w:r w:rsidRPr="008F7565">
        <w:rPr>
          <w:rFonts w:ascii="Palatino Linotype" w:hAnsi="Palatino Linotype"/>
          <w:color w:val="000000"/>
          <w:sz w:val="22"/>
          <w:szCs w:val="22"/>
        </w:rPr>
        <w:t>Başvurucunun hapis cezası nedeniyle kariyer ve gelir kaybı iddiaları, ihlal ile zarar arasında doğrudan bir nedensellik bağı kurulamadığı gerekçesiyle reddedilmiştir (§ 253).</w:t>
      </w:r>
    </w:p>
    <w:p w:rsidR="008F7565" w:rsidRPr="008F7565" w:rsidRDefault="008F7565" w:rsidP="008F7565">
      <w:pPr>
        <w:pStyle w:val="NormalWeb"/>
        <w:numPr>
          <w:ilvl w:val="0"/>
          <w:numId w:val="4"/>
        </w:numPr>
        <w:ind w:hanging="436"/>
        <w:jc w:val="both"/>
        <w:rPr>
          <w:rFonts w:ascii="Palatino Linotype" w:hAnsi="Palatino Linotype"/>
          <w:color w:val="000000"/>
          <w:sz w:val="22"/>
          <w:szCs w:val="22"/>
        </w:rPr>
      </w:pPr>
      <w:r w:rsidRPr="008F7565">
        <w:rPr>
          <w:rFonts w:ascii="Palatino Linotype" w:hAnsi="Palatino Linotype"/>
          <w:b/>
          <w:bCs/>
          <w:color w:val="000000"/>
          <w:sz w:val="22"/>
          <w:szCs w:val="22"/>
        </w:rPr>
        <w:t>Manevi Tazminat (7. Madde Yönünden):</w:t>
      </w:r>
      <w:r w:rsidRPr="008F7565">
        <w:rPr>
          <w:rStyle w:val="apple-converted-space"/>
          <w:rFonts w:ascii="Palatino Linotype" w:eastAsiaTheme="majorEastAsia" w:hAnsi="Palatino Linotype"/>
          <w:color w:val="000000"/>
          <w:sz w:val="22"/>
          <w:szCs w:val="22"/>
        </w:rPr>
        <w:t> </w:t>
      </w:r>
      <w:r w:rsidRPr="008F7565">
        <w:rPr>
          <w:rFonts w:ascii="Palatino Linotype" w:hAnsi="Palatino Linotype"/>
          <w:color w:val="000000"/>
          <w:sz w:val="22"/>
          <w:szCs w:val="22"/>
        </w:rPr>
        <w:t>AİHM, 7. madde ihlallerinde, CMK m. 311/1-(f) hükmü uyarınca yargılamanın yenilenmesini talep etme yolunun açık olmasının, başvurucunun uğradığı manevi zararlar için tek başına "yeterli bir adil tazmin" oluşturduğunu belirterek bu maddeye dayalı parasal manevi tazminat talebini reddetmiştir (§ 254).</w:t>
      </w:r>
    </w:p>
    <w:p w:rsidR="008F7565" w:rsidRPr="008F7565" w:rsidRDefault="008F7565" w:rsidP="008F7565">
      <w:pPr>
        <w:pStyle w:val="NormalWeb"/>
        <w:numPr>
          <w:ilvl w:val="0"/>
          <w:numId w:val="4"/>
        </w:numPr>
        <w:ind w:hanging="436"/>
        <w:jc w:val="both"/>
        <w:rPr>
          <w:rFonts w:ascii="Palatino Linotype" w:hAnsi="Palatino Linotype"/>
          <w:color w:val="000000"/>
          <w:sz w:val="22"/>
          <w:szCs w:val="22"/>
        </w:rPr>
      </w:pPr>
      <w:r w:rsidRPr="008F7565">
        <w:rPr>
          <w:rFonts w:ascii="Palatino Linotype" w:hAnsi="Palatino Linotype"/>
          <w:b/>
          <w:bCs/>
          <w:color w:val="000000"/>
          <w:sz w:val="22"/>
          <w:szCs w:val="22"/>
        </w:rPr>
        <w:t>Manevi Tazminat (3. Madde Yönünden):</w:t>
      </w:r>
      <w:r w:rsidRPr="008F7565">
        <w:rPr>
          <w:rStyle w:val="apple-converted-space"/>
          <w:rFonts w:ascii="Palatino Linotype" w:eastAsiaTheme="majorEastAsia" w:hAnsi="Palatino Linotype"/>
          <w:color w:val="000000"/>
          <w:sz w:val="22"/>
          <w:szCs w:val="22"/>
        </w:rPr>
        <w:t> </w:t>
      </w:r>
      <w:r w:rsidRPr="008F7565">
        <w:rPr>
          <w:rFonts w:ascii="Palatino Linotype" w:hAnsi="Palatino Linotype"/>
          <w:color w:val="000000"/>
          <w:sz w:val="22"/>
          <w:szCs w:val="22"/>
        </w:rPr>
        <w:t>Gözaltı koşullarına dair 3. madde ihlalinde salt ihlal tespitinin yeterli telafi sağlamayacağını vurgulayan AİHM, davalı Devletin başvurucuya 2.800 Euro manevi tazminat ödemesine karar vermiştir (§ 255).</w:t>
      </w:r>
    </w:p>
    <w:p w:rsidR="008F7565" w:rsidRPr="008F7565" w:rsidRDefault="008F7565" w:rsidP="008F7565">
      <w:pPr>
        <w:pStyle w:val="NormalWeb"/>
        <w:numPr>
          <w:ilvl w:val="0"/>
          <w:numId w:val="4"/>
        </w:numPr>
        <w:ind w:hanging="436"/>
        <w:jc w:val="both"/>
        <w:rPr>
          <w:rFonts w:ascii="Palatino Linotype" w:hAnsi="Palatino Linotype"/>
          <w:color w:val="000000"/>
          <w:sz w:val="22"/>
          <w:szCs w:val="22"/>
        </w:rPr>
      </w:pPr>
      <w:r w:rsidRPr="008F7565">
        <w:rPr>
          <w:rFonts w:ascii="Palatino Linotype" w:hAnsi="Palatino Linotype"/>
          <w:b/>
          <w:bCs/>
          <w:color w:val="000000"/>
          <w:sz w:val="22"/>
          <w:szCs w:val="22"/>
        </w:rPr>
        <w:t>Masraf ve Harcamalar:</w:t>
      </w:r>
      <w:r w:rsidRPr="008F7565">
        <w:rPr>
          <w:rStyle w:val="apple-converted-space"/>
          <w:rFonts w:ascii="Palatino Linotype" w:eastAsiaTheme="majorEastAsia" w:hAnsi="Palatino Linotype"/>
          <w:color w:val="000000"/>
          <w:sz w:val="22"/>
          <w:szCs w:val="22"/>
        </w:rPr>
        <w:t> </w:t>
      </w:r>
      <w:r w:rsidRPr="008F7565">
        <w:rPr>
          <w:rFonts w:ascii="Palatino Linotype" w:hAnsi="Palatino Linotype"/>
          <w:color w:val="000000"/>
          <w:sz w:val="22"/>
          <w:szCs w:val="22"/>
        </w:rPr>
        <w:t>Mahkeme, başvurucunun yasal masraf ve avukatlık harcamaları karşılığında kendisine toplam 9.050 Euro ödenmesine hükmetmiştir (§ 259, § 260, § 261).</w:t>
      </w:r>
    </w:p>
    <w:p w:rsidR="008F7565" w:rsidRPr="008F7565" w:rsidRDefault="008F7565" w:rsidP="008F7565">
      <w:pPr>
        <w:pStyle w:val="NormalWeb"/>
        <w:ind w:firstLine="284"/>
        <w:jc w:val="both"/>
        <w:rPr>
          <w:rFonts w:ascii="Palatino Linotype" w:hAnsi="Palatino Linotype"/>
          <w:color w:val="000000"/>
          <w:sz w:val="22"/>
          <w:szCs w:val="22"/>
        </w:rPr>
      </w:pPr>
      <w:r w:rsidRPr="008F7565">
        <w:rPr>
          <w:rFonts w:ascii="Palatino Linotype" w:hAnsi="Palatino Linotype"/>
          <w:b/>
          <w:bCs/>
          <w:color w:val="000000"/>
          <w:sz w:val="22"/>
          <w:szCs w:val="22"/>
        </w:rPr>
        <w:t xml:space="preserve">Hüküm </w:t>
      </w:r>
    </w:p>
    <w:p w:rsidR="008F7565" w:rsidRPr="008F7565" w:rsidRDefault="008F7565" w:rsidP="008F7565">
      <w:pPr>
        <w:pStyle w:val="NormalWeb"/>
        <w:numPr>
          <w:ilvl w:val="0"/>
          <w:numId w:val="5"/>
        </w:numPr>
        <w:ind w:hanging="436"/>
        <w:jc w:val="both"/>
        <w:rPr>
          <w:rFonts w:ascii="Palatino Linotype" w:hAnsi="Palatino Linotype"/>
          <w:color w:val="000000"/>
          <w:sz w:val="22"/>
          <w:szCs w:val="22"/>
        </w:rPr>
      </w:pPr>
      <w:r w:rsidRPr="008F7565">
        <w:rPr>
          <w:rFonts w:ascii="Palatino Linotype" w:hAnsi="Palatino Linotype"/>
          <w:color w:val="000000"/>
          <w:sz w:val="22"/>
          <w:szCs w:val="22"/>
        </w:rPr>
        <w:t>AİHM Büyük Daire heyeti;</w:t>
      </w:r>
    </w:p>
    <w:p w:rsidR="008F7565" w:rsidRPr="008F7565" w:rsidRDefault="008F7565" w:rsidP="008F7565">
      <w:pPr>
        <w:pStyle w:val="NormalWeb"/>
        <w:numPr>
          <w:ilvl w:val="1"/>
          <w:numId w:val="5"/>
        </w:numPr>
        <w:ind w:hanging="436"/>
        <w:jc w:val="both"/>
        <w:rPr>
          <w:rFonts w:ascii="Palatino Linotype" w:hAnsi="Palatino Linotype"/>
          <w:color w:val="000000"/>
          <w:sz w:val="22"/>
          <w:szCs w:val="22"/>
        </w:rPr>
      </w:pPr>
      <w:r w:rsidRPr="008F7565">
        <w:rPr>
          <w:rFonts w:ascii="Palatino Linotype" w:hAnsi="Palatino Linotype"/>
          <w:color w:val="000000"/>
          <w:sz w:val="22"/>
          <w:szCs w:val="22"/>
        </w:rPr>
        <w:t>Hükümetin, sevk kararının yeniden incelenmesi ve başvuru hakkının kötüye kullanılması itirazlarını (§ 258, § 259) ile 3. madde yönünden iç hukuk yollarının tüketilmediği itirazlarını</w:t>
      </w:r>
      <w:r w:rsidRPr="008F7565">
        <w:rPr>
          <w:rStyle w:val="apple-converted-space"/>
          <w:rFonts w:ascii="Palatino Linotype" w:eastAsiaTheme="majorEastAsia" w:hAnsi="Palatino Linotype"/>
          <w:color w:val="000000"/>
          <w:sz w:val="22"/>
          <w:szCs w:val="22"/>
        </w:rPr>
        <w:t> </w:t>
      </w:r>
      <w:r w:rsidRPr="008F7565">
        <w:rPr>
          <w:rFonts w:ascii="Palatino Linotype" w:hAnsi="Palatino Linotype"/>
          <w:b/>
          <w:bCs/>
          <w:color w:val="000000"/>
          <w:sz w:val="22"/>
          <w:szCs w:val="22"/>
        </w:rPr>
        <w:t>oybirliğiyle reddetmiştir</w:t>
      </w:r>
      <w:r w:rsidRPr="008F7565">
        <w:rPr>
          <w:rStyle w:val="apple-converted-space"/>
          <w:rFonts w:ascii="Palatino Linotype" w:eastAsiaTheme="majorEastAsia" w:hAnsi="Palatino Linotype"/>
          <w:color w:val="000000"/>
          <w:sz w:val="22"/>
          <w:szCs w:val="22"/>
        </w:rPr>
        <w:t> </w:t>
      </w:r>
      <w:r w:rsidRPr="008F7565">
        <w:rPr>
          <w:rFonts w:ascii="Palatino Linotype" w:hAnsi="Palatino Linotype"/>
          <w:color w:val="000000"/>
          <w:sz w:val="22"/>
          <w:szCs w:val="22"/>
        </w:rPr>
        <w:t>(§ 260).</w:t>
      </w:r>
    </w:p>
    <w:p w:rsidR="008F7565" w:rsidRPr="008F7565" w:rsidRDefault="008F7565" w:rsidP="008F7565">
      <w:pPr>
        <w:pStyle w:val="NormalWeb"/>
        <w:numPr>
          <w:ilvl w:val="1"/>
          <w:numId w:val="5"/>
        </w:numPr>
        <w:ind w:hanging="436"/>
        <w:jc w:val="both"/>
        <w:rPr>
          <w:rFonts w:ascii="Palatino Linotype" w:hAnsi="Palatino Linotype"/>
          <w:color w:val="000000"/>
          <w:sz w:val="22"/>
          <w:szCs w:val="22"/>
        </w:rPr>
      </w:pPr>
      <w:r w:rsidRPr="008F7565">
        <w:rPr>
          <w:rFonts w:ascii="Palatino Linotype" w:hAnsi="Palatino Linotype"/>
          <w:color w:val="000000"/>
          <w:sz w:val="22"/>
          <w:szCs w:val="22"/>
        </w:rPr>
        <w:t>11'e karşı 6 oyla, Sözleşme'nin</w:t>
      </w:r>
      <w:r w:rsidRPr="008F7565">
        <w:rPr>
          <w:rStyle w:val="apple-converted-space"/>
          <w:rFonts w:ascii="Palatino Linotype" w:eastAsiaTheme="majorEastAsia" w:hAnsi="Palatino Linotype"/>
          <w:color w:val="000000"/>
          <w:sz w:val="22"/>
          <w:szCs w:val="22"/>
        </w:rPr>
        <w:t> </w:t>
      </w:r>
      <w:r w:rsidRPr="008F7565">
        <w:rPr>
          <w:rFonts w:ascii="Palatino Linotype" w:hAnsi="Palatino Linotype"/>
          <w:b/>
          <w:bCs/>
          <w:color w:val="000000"/>
          <w:sz w:val="22"/>
          <w:szCs w:val="22"/>
        </w:rPr>
        <w:t>7. maddesinin ihlal edildiğine</w:t>
      </w:r>
      <w:r w:rsidRPr="008F7565">
        <w:rPr>
          <w:rStyle w:val="apple-converted-space"/>
          <w:rFonts w:ascii="Palatino Linotype" w:eastAsiaTheme="majorEastAsia" w:hAnsi="Palatino Linotype"/>
          <w:color w:val="000000"/>
          <w:sz w:val="22"/>
          <w:szCs w:val="22"/>
        </w:rPr>
        <w:t> </w:t>
      </w:r>
      <w:r w:rsidRPr="008F7565">
        <w:rPr>
          <w:rFonts w:ascii="Palatino Linotype" w:hAnsi="Palatino Linotype"/>
          <w:color w:val="000000"/>
          <w:sz w:val="22"/>
          <w:szCs w:val="22"/>
        </w:rPr>
        <w:t>karar vermiştir (§ 261).</w:t>
      </w:r>
    </w:p>
    <w:p w:rsidR="008F7565" w:rsidRPr="008F7565" w:rsidRDefault="008F7565" w:rsidP="008F7565">
      <w:pPr>
        <w:pStyle w:val="NormalWeb"/>
        <w:numPr>
          <w:ilvl w:val="1"/>
          <w:numId w:val="5"/>
        </w:numPr>
        <w:ind w:hanging="436"/>
        <w:jc w:val="both"/>
        <w:rPr>
          <w:rFonts w:ascii="Palatino Linotype" w:hAnsi="Palatino Linotype"/>
          <w:color w:val="000000"/>
          <w:sz w:val="22"/>
          <w:szCs w:val="22"/>
        </w:rPr>
      </w:pPr>
      <w:r w:rsidRPr="008F7565">
        <w:rPr>
          <w:rFonts w:ascii="Palatino Linotype" w:hAnsi="Palatino Linotype"/>
          <w:color w:val="000000"/>
          <w:sz w:val="22"/>
          <w:szCs w:val="22"/>
        </w:rPr>
        <w:t>9'a karşı 8 oyla, Sözleşme'nin</w:t>
      </w:r>
      <w:r w:rsidRPr="008F7565">
        <w:rPr>
          <w:rStyle w:val="apple-converted-space"/>
          <w:rFonts w:ascii="Palatino Linotype" w:eastAsiaTheme="majorEastAsia" w:hAnsi="Palatino Linotype"/>
          <w:color w:val="000000"/>
          <w:sz w:val="22"/>
          <w:szCs w:val="22"/>
        </w:rPr>
        <w:t> </w:t>
      </w:r>
      <w:r w:rsidRPr="008F7565">
        <w:rPr>
          <w:rFonts w:ascii="Palatino Linotype" w:hAnsi="Palatino Linotype"/>
          <w:b/>
          <w:bCs/>
          <w:color w:val="000000"/>
          <w:sz w:val="22"/>
          <w:szCs w:val="22"/>
        </w:rPr>
        <w:t>3. maddesinin ihlal edildiğine</w:t>
      </w:r>
      <w:r w:rsidRPr="008F7565">
        <w:rPr>
          <w:rStyle w:val="apple-converted-space"/>
          <w:rFonts w:ascii="Palatino Linotype" w:eastAsiaTheme="majorEastAsia" w:hAnsi="Palatino Linotype"/>
          <w:color w:val="000000"/>
          <w:sz w:val="22"/>
          <w:szCs w:val="22"/>
        </w:rPr>
        <w:t> </w:t>
      </w:r>
      <w:r w:rsidRPr="008F7565">
        <w:rPr>
          <w:rFonts w:ascii="Palatino Linotype" w:hAnsi="Palatino Linotype"/>
          <w:color w:val="000000"/>
          <w:sz w:val="22"/>
          <w:szCs w:val="22"/>
        </w:rPr>
        <w:t>karar vermiştir (§ 26</w:t>
      </w:r>
      <w:r w:rsidR="00467901">
        <w:rPr>
          <w:rFonts w:ascii="Palatino Linotype" w:hAnsi="Palatino Linotype"/>
          <w:color w:val="000000"/>
          <w:sz w:val="22"/>
          <w:szCs w:val="22"/>
        </w:rPr>
        <w:t>1</w:t>
      </w:r>
      <w:r w:rsidRPr="008F7565">
        <w:rPr>
          <w:rFonts w:ascii="Palatino Linotype" w:hAnsi="Palatino Linotype"/>
          <w:color w:val="000000"/>
          <w:sz w:val="22"/>
          <w:szCs w:val="22"/>
        </w:rPr>
        <w:t>).</w:t>
      </w:r>
    </w:p>
    <w:p w:rsidR="008F7565" w:rsidRPr="008F7565" w:rsidRDefault="008F7565" w:rsidP="008F7565">
      <w:pPr>
        <w:pStyle w:val="NormalWeb"/>
        <w:numPr>
          <w:ilvl w:val="1"/>
          <w:numId w:val="5"/>
        </w:numPr>
        <w:ind w:hanging="436"/>
        <w:jc w:val="both"/>
        <w:rPr>
          <w:rFonts w:ascii="Palatino Linotype" w:hAnsi="Palatino Linotype"/>
          <w:color w:val="000000"/>
          <w:sz w:val="22"/>
          <w:szCs w:val="22"/>
        </w:rPr>
      </w:pPr>
      <w:r w:rsidRPr="008F7565">
        <w:rPr>
          <w:rFonts w:ascii="Palatino Linotype" w:hAnsi="Palatino Linotype"/>
          <w:color w:val="000000"/>
          <w:sz w:val="22"/>
          <w:szCs w:val="22"/>
        </w:rPr>
        <w:lastRenderedPageBreak/>
        <w:t>11'e karşı 6 oyla, 7. madde ihlali için ihlal tespitinin</w:t>
      </w:r>
      <w:r w:rsidRPr="008F7565">
        <w:rPr>
          <w:rStyle w:val="apple-converted-space"/>
          <w:rFonts w:ascii="Palatino Linotype" w:eastAsiaTheme="majorEastAsia" w:hAnsi="Palatino Linotype"/>
          <w:color w:val="000000"/>
          <w:sz w:val="22"/>
          <w:szCs w:val="22"/>
        </w:rPr>
        <w:t> </w:t>
      </w:r>
      <w:r w:rsidRPr="008F7565">
        <w:rPr>
          <w:rFonts w:ascii="Palatino Linotype" w:hAnsi="Palatino Linotype"/>
          <w:b/>
          <w:bCs/>
          <w:color w:val="000000"/>
          <w:sz w:val="22"/>
          <w:szCs w:val="22"/>
        </w:rPr>
        <w:t>yeterli adil tazmin teşkil ettiğine</w:t>
      </w:r>
      <w:r w:rsidRPr="008F7565">
        <w:rPr>
          <w:rStyle w:val="apple-converted-space"/>
          <w:rFonts w:ascii="Palatino Linotype" w:eastAsiaTheme="majorEastAsia" w:hAnsi="Palatino Linotype"/>
          <w:color w:val="000000"/>
          <w:sz w:val="22"/>
          <w:szCs w:val="22"/>
        </w:rPr>
        <w:t> </w:t>
      </w:r>
      <w:r w:rsidRPr="008F7565">
        <w:rPr>
          <w:rFonts w:ascii="Palatino Linotype" w:hAnsi="Palatino Linotype"/>
          <w:color w:val="000000"/>
          <w:sz w:val="22"/>
          <w:szCs w:val="22"/>
        </w:rPr>
        <w:t>karar vermiştir (§ 2</w:t>
      </w:r>
      <w:r w:rsidR="00467901">
        <w:rPr>
          <w:rFonts w:ascii="Palatino Linotype" w:hAnsi="Palatino Linotype"/>
          <w:color w:val="000000"/>
          <w:sz w:val="22"/>
          <w:szCs w:val="22"/>
        </w:rPr>
        <w:t>61</w:t>
      </w:r>
      <w:r w:rsidRPr="008F7565">
        <w:rPr>
          <w:rFonts w:ascii="Palatino Linotype" w:hAnsi="Palatino Linotype"/>
          <w:color w:val="000000"/>
          <w:sz w:val="22"/>
          <w:szCs w:val="22"/>
        </w:rPr>
        <w:t>).</w:t>
      </w:r>
    </w:p>
    <w:p w:rsidR="008F7565" w:rsidRPr="008F7565" w:rsidRDefault="008F7565" w:rsidP="008F7565">
      <w:pPr>
        <w:pStyle w:val="NormalWeb"/>
        <w:numPr>
          <w:ilvl w:val="1"/>
          <w:numId w:val="5"/>
        </w:numPr>
        <w:ind w:hanging="436"/>
        <w:jc w:val="both"/>
        <w:rPr>
          <w:rFonts w:ascii="Palatino Linotype" w:hAnsi="Palatino Linotype"/>
          <w:color w:val="000000"/>
          <w:sz w:val="22"/>
          <w:szCs w:val="22"/>
        </w:rPr>
      </w:pPr>
      <w:r w:rsidRPr="008F7565">
        <w:rPr>
          <w:rFonts w:ascii="Palatino Linotype" w:hAnsi="Palatino Linotype"/>
          <w:color w:val="000000"/>
          <w:sz w:val="22"/>
          <w:szCs w:val="22"/>
        </w:rPr>
        <w:t>11'e karşı 6 oyla, 3. maddenin ihlali nedeniyle davalı Devletin başvurucuya</w:t>
      </w:r>
      <w:r w:rsidRPr="008F7565">
        <w:rPr>
          <w:rStyle w:val="apple-converted-space"/>
          <w:rFonts w:ascii="Palatino Linotype" w:eastAsiaTheme="majorEastAsia" w:hAnsi="Palatino Linotype"/>
          <w:color w:val="000000"/>
          <w:sz w:val="22"/>
          <w:szCs w:val="22"/>
        </w:rPr>
        <w:t> </w:t>
      </w:r>
      <w:r w:rsidRPr="008F7565">
        <w:rPr>
          <w:rFonts w:ascii="Palatino Linotype" w:hAnsi="Palatino Linotype"/>
          <w:b/>
          <w:bCs/>
          <w:color w:val="000000"/>
          <w:sz w:val="22"/>
          <w:szCs w:val="22"/>
        </w:rPr>
        <w:t>2.800 Euro manevi tazminat</w:t>
      </w:r>
      <w:r w:rsidRPr="008F7565">
        <w:rPr>
          <w:rFonts w:ascii="Palatino Linotype" w:hAnsi="Palatino Linotype"/>
          <w:color w:val="000000"/>
          <w:sz w:val="22"/>
          <w:szCs w:val="22"/>
        </w:rPr>
        <w:t>ödemesine karar vermiştir (§ 2</w:t>
      </w:r>
      <w:r w:rsidR="00467901">
        <w:rPr>
          <w:rFonts w:ascii="Palatino Linotype" w:hAnsi="Palatino Linotype"/>
          <w:color w:val="000000"/>
          <w:sz w:val="22"/>
          <w:szCs w:val="22"/>
        </w:rPr>
        <w:t>61</w:t>
      </w:r>
      <w:r w:rsidRPr="008F7565">
        <w:rPr>
          <w:rFonts w:ascii="Palatino Linotype" w:hAnsi="Palatino Linotype"/>
          <w:color w:val="000000"/>
          <w:sz w:val="22"/>
          <w:szCs w:val="22"/>
        </w:rPr>
        <w:t>).</w:t>
      </w:r>
    </w:p>
    <w:p w:rsidR="008F7565" w:rsidRPr="008F7565" w:rsidRDefault="008F7565" w:rsidP="008F7565">
      <w:pPr>
        <w:pStyle w:val="NormalWeb"/>
        <w:numPr>
          <w:ilvl w:val="1"/>
          <w:numId w:val="5"/>
        </w:numPr>
        <w:ind w:hanging="436"/>
        <w:jc w:val="both"/>
        <w:rPr>
          <w:rFonts w:ascii="Palatino Linotype" w:hAnsi="Palatino Linotype"/>
          <w:color w:val="000000"/>
          <w:sz w:val="22"/>
          <w:szCs w:val="22"/>
        </w:rPr>
      </w:pPr>
      <w:r w:rsidRPr="008F7565">
        <w:rPr>
          <w:rFonts w:ascii="Palatino Linotype" w:hAnsi="Palatino Linotype"/>
          <w:color w:val="000000"/>
          <w:sz w:val="22"/>
          <w:szCs w:val="22"/>
        </w:rPr>
        <w:t>15'e karşı 2 oyla, masraf ve harcamalar için</w:t>
      </w:r>
      <w:r w:rsidRPr="008F7565">
        <w:rPr>
          <w:rStyle w:val="apple-converted-space"/>
          <w:rFonts w:ascii="Palatino Linotype" w:eastAsiaTheme="majorEastAsia" w:hAnsi="Palatino Linotype"/>
          <w:color w:val="000000"/>
          <w:sz w:val="22"/>
          <w:szCs w:val="22"/>
        </w:rPr>
        <w:t> </w:t>
      </w:r>
      <w:r w:rsidRPr="008F7565">
        <w:rPr>
          <w:rFonts w:ascii="Palatino Linotype" w:hAnsi="Palatino Linotype"/>
          <w:b/>
          <w:bCs/>
          <w:color w:val="000000"/>
          <w:sz w:val="22"/>
          <w:szCs w:val="22"/>
        </w:rPr>
        <w:t>9.050 Euro</w:t>
      </w:r>
      <w:r w:rsidRPr="008F7565">
        <w:rPr>
          <w:rStyle w:val="apple-converted-space"/>
          <w:rFonts w:ascii="Palatino Linotype" w:eastAsiaTheme="majorEastAsia" w:hAnsi="Palatino Linotype"/>
          <w:color w:val="000000"/>
          <w:sz w:val="22"/>
          <w:szCs w:val="22"/>
        </w:rPr>
        <w:t> </w:t>
      </w:r>
      <w:r w:rsidRPr="008F7565">
        <w:rPr>
          <w:rFonts w:ascii="Palatino Linotype" w:hAnsi="Palatino Linotype"/>
          <w:color w:val="000000"/>
          <w:sz w:val="22"/>
          <w:szCs w:val="22"/>
        </w:rPr>
        <w:t>ödenmesine karar vermiştir (§ 2</w:t>
      </w:r>
      <w:r w:rsidR="00467901">
        <w:rPr>
          <w:rFonts w:ascii="Palatino Linotype" w:hAnsi="Palatino Linotype"/>
          <w:color w:val="000000"/>
          <w:sz w:val="22"/>
          <w:szCs w:val="22"/>
        </w:rPr>
        <w:t>61</w:t>
      </w:r>
      <w:r w:rsidRPr="008F7565">
        <w:rPr>
          <w:rFonts w:ascii="Palatino Linotype" w:hAnsi="Palatino Linotype"/>
          <w:color w:val="000000"/>
          <w:sz w:val="22"/>
          <w:szCs w:val="22"/>
        </w:rPr>
        <w:t>).</w:t>
      </w:r>
    </w:p>
    <w:p w:rsidR="00D6259C" w:rsidRPr="008F7565" w:rsidRDefault="00D6259C" w:rsidP="008F7565">
      <w:pPr>
        <w:ind w:hanging="436"/>
        <w:jc w:val="both"/>
        <w:rPr>
          <w:rFonts w:ascii="Palatino Linotype" w:hAnsi="Palatino Linotype"/>
          <w:sz w:val="22"/>
          <w:szCs w:val="22"/>
        </w:rPr>
      </w:pPr>
    </w:p>
    <w:sectPr w:rsidR="00D6259C" w:rsidRPr="008F7565" w:rsidSect="008F7565">
      <w:pgSz w:w="11906" w:h="16838"/>
      <w:pgMar w:top="1440" w:right="1440" w:bottom="1440" w:left="115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238D2"/>
    <w:multiLevelType w:val="multilevel"/>
    <w:tmpl w:val="1F5C5C9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F6634A"/>
    <w:multiLevelType w:val="multilevel"/>
    <w:tmpl w:val="4FD28512"/>
    <w:lvl w:ilvl="0">
      <w:start w:val="28"/>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070461"/>
    <w:multiLevelType w:val="multilevel"/>
    <w:tmpl w:val="2C9A8166"/>
    <w:lvl w:ilvl="0">
      <w:start w:val="20"/>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D35BA0"/>
    <w:multiLevelType w:val="multilevel"/>
    <w:tmpl w:val="33E439CE"/>
    <w:lvl w:ilvl="0">
      <w:start w:val="9"/>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64466A2"/>
    <w:multiLevelType w:val="multilevel"/>
    <w:tmpl w:val="2CE23910"/>
    <w:lvl w:ilvl="0">
      <w:start w:val="2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0532405">
    <w:abstractNumId w:val="0"/>
  </w:num>
  <w:num w:numId="2" w16cid:durableId="1949313842">
    <w:abstractNumId w:val="3"/>
  </w:num>
  <w:num w:numId="3" w16cid:durableId="211967111">
    <w:abstractNumId w:val="2"/>
  </w:num>
  <w:num w:numId="4" w16cid:durableId="243535333">
    <w:abstractNumId w:val="4"/>
  </w:num>
  <w:num w:numId="5" w16cid:durableId="1200246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565"/>
    <w:rsid w:val="00467901"/>
    <w:rsid w:val="00545446"/>
    <w:rsid w:val="00732FDB"/>
    <w:rsid w:val="008E4342"/>
    <w:rsid w:val="008F7565"/>
    <w:rsid w:val="00916833"/>
    <w:rsid w:val="00BD2DC3"/>
    <w:rsid w:val="00CB4B31"/>
    <w:rsid w:val="00D6259C"/>
    <w:rsid w:val="00F82768"/>
  </w:rsids>
  <m:mathPr>
    <m:mathFont m:val="Cambria Math"/>
    <m:brkBin m:val="before"/>
    <m:brkBinSub m:val="--"/>
    <m:smallFrac m:val="0"/>
    <m:dispDef/>
    <m:lMargin m:val="0"/>
    <m:rMargin m:val="0"/>
    <m:defJc m:val="centerGroup"/>
    <m:wrapIndent m:val="1440"/>
    <m:intLim m:val="subSup"/>
    <m:naryLim m:val="undOvr"/>
  </m:mathPr>
  <w:themeFontLang w:val="tr-NL"/>
  <w:clrSchemeMapping w:bg1="light1" w:t1="dark1" w:bg2="light2" w:t2="dark2" w:accent1="accent1" w:accent2="accent2" w:accent3="accent3" w:accent4="accent4" w:accent5="accent5" w:accent6="accent6" w:hyperlink="hyperlink" w:followedHyperlink="followedHyperlink"/>
  <w:decimalSymbol w:val=","/>
  <w:listSeparator w:val=";"/>
  <w14:docId w14:val="122799A6"/>
  <w15:chartTrackingRefBased/>
  <w15:docId w15:val="{1D56198C-248B-7C48-B3C6-4EF47F41A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F75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F75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F756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F756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F756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F7565"/>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F7565"/>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F7565"/>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F7565"/>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F756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F756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F756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F756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F756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F756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F756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F756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F7565"/>
    <w:rPr>
      <w:rFonts w:eastAsiaTheme="majorEastAsia" w:cstheme="majorBidi"/>
      <w:color w:val="272727" w:themeColor="text1" w:themeTint="D8"/>
    </w:rPr>
  </w:style>
  <w:style w:type="paragraph" w:styleId="KonuBal">
    <w:name w:val="Title"/>
    <w:basedOn w:val="Normal"/>
    <w:next w:val="Normal"/>
    <w:link w:val="KonuBalChar"/>
    <w:uiPriority w:val="10"/>
    <w:qFormat/>
    <w:rsid w:val="008F7565"/>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F756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F7565"/>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F756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F7565"/>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8F7565"/>
    <w:rPr>
      <w:i/>
      <w:iCs/>
      <w:color w:val="404040" w:themeColor="text1" w:themeTint="BF"/>
    </w:rPr>
  </w:style>
  <w:style w:type="paragraph" w:styleId="ListeParagraf">
    <w:name w:val="List Paragraph"/>
    <w:basedOn w:val="Normal"/>
    <w:uiPriority w:val="34"/>
    <w:qFormat/>
    <w:rsid w:val="008F7565"/>
    <w:pPr>
      <w:ind w:left="720"/>
      <w:contextualSpacing/>
    </w:pPr>
  </w:style>
  <w:style w:type="character" w:styleId="GlVurgulama">
    <w:name w:val="Intense Emphasis"/>
    <w:basedOn w:val="VarsaylanParagrafYazTipi"/>
    <w:uiPriority w:val="21"/>
    <w:qFormat/>
    <w:rsid w:val="008F7565"/>
    <w:rPr>
      <w:i/>
      <w:iCs/>
      <w:color w:val="0F4761" w:themeColor="accent1" w:themeShade="BF"/>
    </w:rPr>
  </w:style>
  <w:style w:type="paragraph" w:styleId="GlAlnt">
    <w:name w:val="Intense Quote"/>
    <w:basedOn w:val="Normal"/>
    <w:next w:val="Normal"/>
    <w:link w:val="GlAlntChar"/>
    <w:uiPriority w:val="30"/>
    <w:qFormat/>
    <w:rsid w:val="008F75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F7565"/>
    <w:rPr>
      <w:i/>
      <w:iCs/>
      <w:color w:val="0F4761" w:themeColor="accent1" w:themeShade="BF"/>
    </w:rPr>
  </w:style>
  <w:style w:type="character" w:styleId="GlBavuru">
    <w:name w:val="Intense Reference"/>
    <w:basedOn w:val="VarsaylanParagrafYazTipi"/>
    <w:uiPriority w:val="32"/>
    <w:qFormat/>
    <w:rsid w:val="008F7565"/>
    <w:rPr>
      <w:b/>
      <w:bCs/>
      <w:smallCaps/>
      <w:color w:val="0F4761" w:themeColor="accent1" w:themeShade="BF"/>
      <w:spacing w:val="5"/>
    </w:rPr>
  </w:style>
  <w:style w:type="paragraph" w:styleId="NormalWeb">
    <w:name w:val="Normal (Web)"/>
    <w:basedOn w:val="Normal"/>
    <w:uiPriority w:val="99"/>
    <w:semiHidden/>
    <w:unhideWhenUsed/>
    <w:rsid w:val="008F7565"/>
    <w:pPr>
      <w:spacing w:before="100" w:beforeAutospacing="1" w:after="100" w:afterAutospacing="1"/>
    </w:pPr>
    <w:rPr>
      <w:rFonts w:ascii="Times New Roman" w:eastAsia="Times New Roman" w:hAnsi="Times New Roman" w:cs="Times New Roman"/>
      <w:kern w:val="0"/>
      <w:lang w:eastAsia="tr-TR"/>
      <w14:ligatures w14:val="none"/>
    </w:rPr>
  </w:style>
  <w:style w:type="character" w:customStyle="1" w:styleId="apple-converted-space">
    <w:name w:val="apple-converted-space"/>
    <w:basedOn w:val="VarsaylanParagrafYazTipi"/>
    <w:rsid w:val="008F7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2095</Words>
  <Characters>11948</Characters>
  <Application>Microsoft Office Word</Application>
  <DocSecurity>0</DocSecurity>
  <Lines>99</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 Y</dc:creator>
  <cp:keywords/>
  <dc:description/>
  <cp:lastModifiedBy>U Y</cp:lastModifiedBy>
  <cp:revision>3</cp:revision>
  <dcterms:created xsi:type="dcterms:W3CDTF">2026-05-10T18:15:00Z</dcterms:created>
  <dcterms:modified xsi:type="dcterms:W3CDTF">2026-05-10T20:23:00Z</dcterms:modified>
</cp:coreProperties>
</file>