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E6DD" w14:textId="4E851792" w:rsidR="00B84193" w:rsidRPr="001B614A" w:rsidRDefault="00B84193" w:rsidP="00B84193">
      <w:pPr>
        <w:spacing w:line="360" w:lineRule="auto"/>
        <w:ind w:left="4248"/>
        <w:rPr>
          <w:rFonts w:ascii="Palatino Linotype" w:hAnsi="Palatino Linotype" w:cs="Times New Roman"/>
          <w:b/>
          <w:i/>
          <w:iCs/>
          <w:sz w:val="21"/>
          <w:szCs w:val="21"/>
          <w:u w:val="single"/>
        </w:rPr>
      </w:pPr>
      <w:r w:rsidRPr="001B614A">
        <w:rPr>
          <w:rFonts w:ascii="Palatino Linotype" w:hAnsi="Palatino Linotype" w:cs="Times New Roman"/>
          <w:b/>
          <w:i/>
          <w:iCs/>
          <w:sz w:val="21"/>
          <w:szCs w:val="21"/>
        </w:rPr>
        <w:t xml:space="preserve">     </w:t>
      </w:r>
      <w:r w:rsidR="006C1386" w:rsidRPr="001B614A">
        <w:rPr>
          <w:rFonts w:ascii="Palatino Linotype" w:hAnsi="Palatino Linotype" w:cs="Times New Roman"/>
          <w:b/>
          <w:i/>
          <w:iCs/>
          <w:sz w:val="21"/>
          <w:szCs w:val="21"/>
        </w:rPr>
        <w:tab/>
      </w:r>
      <w:r w:rsidRPr="001B614A">
        <w:rPr>
          <w:rFonts w:ascii="Palatino Linotype" w:hAnsi="Palatino Linotype" w:cs="Times New Roman"/>
          <w:b/>
          <w:i/>
          <w:iCs/>
          <w:sz w:val="21"/>
          <w:szCs w:val="21"/>
        </w:rPr>
        <w:t xml:space="preserve">   </w:t>
      </w:r>
      <w:r w:rsidRPr="001B614A">
        <w:rPr>
          <w:rFonts w:ascii="Palatino Linotype" w:hAnsi="Palatino Linotype" w:cs="Times New Roman"/>
          <w:b/>
          <w:i/>
          <w:iCs/>
          <w:sz w:val="21"/>
          <w:szCs w:val="21"/>
          <w:u w:val="single"/>
        </w:rPr>
        <w:t>İNFAZIN DURDURULMASI TALEPLİDİR</w:t>
      </w:r>
    </w:p>
    <w:p w14:paraId="5A057171" w14:textId="77777777" w:rsidR="00B84193" w:rsidRPr="001B614A" w:rsidRDefault="00B84193" w:rsidP="00B84193">
      <w:pPr>
        <w:spacing w:line="360" w:lineRule="auto"/>
        <w:rPr>
          <w:rFonts w:ascii="Palatino Linotype" w:hAnsi="Palatino Linotype" w:cs="Times New Roman"/>
          <w:b/>
          <w:sz w:val="21"/>
          <w:szCs w:val="21"/>
        </w:rPr>
      </w:pPr>
    </w:p>
    <w:p w14:paraId="1DDDEEFE" w14:textId="77777777" w:rsidR="00B84193" w:rsidRPr="001B614A" w:rsidRDefault="00B84193" w:rsidP="00B84193">
      <w:pPr>
        <w:spacing w:line="360" w:lineRule="auto"/>
        <w:jc w:val="center"/>
        <w:rPr>
          <w:rFonts w:ascii="Palatino Linotype" w:hAnsi="Palatino Linotype" w:cs="Times New Roman"/>
          <w:b/>
          <w:sz w:val="21"/>
          <w:szCs w:val="21"/>
        </w:rPr>
      </w:pPr>
      <w:r w:rsidRPr="001B614A">
        <w:rPr>
          <w:rFonts w:ascii="Palatino Linotype" w:hAnsi="Palatino Linotype" w:cs="Times New Roman"/>
          <w:b/>
          <w:sz w:val="21"/>
          <w:szCs w:val="21"/>
        </w:rPr>
        <w:t>YARGITAY CUMHURİYET BAŞSAVCILIĞI'NA</w:t>
      </w:r>
    </w:p>
    <w:p w14:paraId="6626522C" w14:textId="77777777" w:rsidR="00B84193" w:rsidRPr="001B614A" w:rsidRDefault="00B84193" w:rsidP="00B84193">
      <w:pPr>
        <w:spacing w:line="360" w:lineRule="auto"/>
        <w:jc w:val="center"/>
        <w:rPr>
          <w:rFonts w:ascii="Palatino Linotype" w:hAnsi="Palatino Linotype" w:cs="Times New Roman"/>
          <w:b/>
          <w:sz w:val="21"/>
          <w:szCs w:val="21"/>
        </w:rPr>
      </w:pPr>
      <w:r w:rsidRPr="001B614A">
        <w:rPr>
          <w:rFonts w:ascii="Palatino Linotype" w:hAnsi="Palatino Linotype" w:cs="Times New Roman"/>
          <w:b/>
          <w:sz w:val="21"/>
          <w:szCs w:val="21"/>
        </w:rPr>
        <w:t xml:space="preserve">Gönderilmek </w:t>
      </w:r>
      <w:proofErr w:type="gramStart"/>
      <w:r w:rsidRPr="001B614A">
        <w:rPr>
          <w:rFonts w:ascii="Palatino Linotype" w:hAnsi="Palatino Linotype" w:cs="Times New Roman"/>
          <w:b/>
          <w:sz w:val="21"/>
          <w:szCs w:val="21"/>
        </w:rPr>
        <w:t>Üzere</w:t>
      </w:r>
      <w:proofErr w:type="gramEnd"/>
    </w:p>
    <w:p w14:paraId="392EACEC" w14:textId="0556D242" w:rsidR="00951289" w:rsidRPr="001B614A" w:rsidRDefault="00B84193" w:rsidP="00B84193">
      <w:pPr>
        <w:spacing w:line="360" w:lineRule="auto"/>
        <w:jc w:val="center"/>
        <w:rPr>
          <w:rFonts w:ascii="Palatino Linotype" w:hAnsi="Palatino Linotype" w:cs="Times New Roman"/>
          <w:b/>
          <w:sz w:val="21"/>
          <w:szCs w:val="21"/>
          <w:highlight w:val="yellow"/>
        </w:rPr>
      </w:pPr>
      <w:r w:rsidRPr="001B614A">
        <w:rPr>
          <w:rFonts w:ascii="Palatino Linotype" w:hAnsi="Palatino Linotype" w:cs="Times New Roman"/>
          <w:b/>
          <w:sz w:val="21"/>
          <w:szCs w:val="21"/>
        </w:rPr>
        <w:t>…. . AĞIR CEZA MAHKEMESİ BAŞKANLIĞI'NA</w:t>
      </w:r>
    </w:p>
    <w:p w14:paraId="0C8E17CC" w14:textId="77777777" w:rsidR="00161044" w:rsidRPr="001B614A" w:rsidRDefault="00B76022" w:rsidP="00161044">
      <w:pPr>
        <w:spacing w:line="360" w:lineRule="auto"/>
        <w:jc w:val="center"/>
        <w:rPr>
          <w:rFonts w:ascii="Palatino Linotype" w:hAnsi="Palatino Linotype" w:cs="Times New Roman"/>
          <w:b/>
          <w:sz w:val="21"/>
          <w:szCs w:val="21"/>
        </w:rPr>
      </w:pPr>
      <w:r w:rsidRPr="001B614A">
        <w:rPr>
          <w:rFonts w:ascii="Palatino Linotype" w:hAnsi="Palatino Linotype" w:cs="Times New Roman"/>
          <w:b/>
          <w:sz w:val="21"/>
          <w:szCs w:val="21"/>
        </w:rPr>
        <w:t xml:space="preserve">                                                    </w:t>
      </w:r>
    </w:p>
    <w:p w14:paraId="720F92A6" w14:textId="43BE30B4" w:rsidR="00B76022" w:rsidRPr="001B614A" w:rsidRDefault="00261695" w:rsidP="007941E4">
      <w:pPr>
        <w:spacing w:line="360" w:lineRule="auto"/>
        <w:ind w:left="3828" w:hanging="3828"/>
        <w:rPr>
          <w:rFonts w:ascii="Palatino Linotype" w:hAnsi="Palatino Linotype" w:cs="Times New Roman"/>
          <w:sz w:val="21"/>
          <w:szCs w:val="21"/>
        </w:rPr>
      </w:pPr>
      <w:r w:rsidRPr="001B614A">
        <w:rPr>
          <w:rFonts w:ascii="Palatino Linotype" w:hAnsi="Palatino Linotype" w:cs="Times New Roman"/>
          <w:b/>
          <w:sz w:val="21"/>
          <w:szCs w:val="21"/>
        </w:rPr>
        <w:t xml:space="preserve"> </w:t>
      </w:r>
      <w:r w:rsidR="00B76022" w:rsidRPr="001B614A">
        <w:rPr>
          <w:rFonts w:ascii="Palatino Linotype" w:hAnsi="Palatino Linotype" w:cs="Times New Roman"/>
          <w:b/>
          <w:sz w:val="21"/>
          <w:szCs w:val="21"/>
          <w:u w:val="thick"/>
        </w:rPr>
        <w:t>D</w:t>
      </w:r>
      <w:r w:rsidR="007941E4" w:rsidRPr="001B614A">
        <w:rPr>
          <w:rFonts w:ascii="Palatino Linotype" w:hAnsi="Palatino Linotype" w:cs="Times New Roman"/>
          <w:b/>
          <w:sz w:val="21"/>
          <w:szCs w:val="21"/>
          <w:u w:val="thick"/>
        </w:rPr>
        <w:t>OSYA NO</w:t>
      </w:r>
      <w:proofErr w:type="gramStart"/>
      <w:r w:rsidR="007941E4" w:rsidRPr="001B614A">
        <w:rPr>
          <w:rFonts w:ascii="Palatino Linotype" w:hAnsi="Palatino Linotype" w:cs="Times New Roman"/>
          <w:b/>
          <w:sz w:val="21"/>
          <w:szCs w:val="21"/>
          <w:u w:val="thick"/>
        </w:rPr>
        <w:tab/>
      </w:r>
      <w:r w:rsidR="00B76022" w:rsidRPr="001B614A">
        <w:rPr>
          <w:rFonts w:ascii="Palatino Linotype" w:hAnsi="Palatino Linotype" w:cs="Times New Roman"/>
          <w:b/>
          <w:sz w:val="21"/>
          <w:szCs w:val="21"/>
          <w:u w:val="single"/>
        </w:rPr>
        <w:t>:</w:t>
      </w:r>
      <w:r w:rsidR="007941E4" w:rsidRPr="001B614A">
        <w:rPr>
          <w:rFonts w:ascii="Palatino Linotype" w:hAnsi="Palatino Linotype" w:cs="Times New Roman"/>
          <w:iCs/>
          <w:sz w:val="21"/>
          <w:szCs w:val="21"/>
          <w:lang w:val="tr"/>
        </w:rPr>
        <w:t>Yargıtay</w:t>
      </w:r>
      <w:proofErr w:type="gramEnd"/>
      <w:r w:rsidR="007941E4" w:rsidRPr="001B614A">
        <w:rPr>
          <w:rFonts w:ascii="Palatino Linotype" w:hAnsi="Palatino Linotype" w:cs="Times New Roman"/>
          <w:iCs/>
          <w:sz w:val="21"/>
          <w:szCs w:val="21"/>
          <w:lang w:val="tr"/>
        </w:rPr>
        <w:t xml:space="preserve"> 3. Ceza Dairesinin </w:t>
      </w:r>
      <w:r w:rsidR="007941E4" w:rsidRPr="001B614A">
        <w:rPr>
          <w:rFonts w:ascii="Palatino Linotype" w:hAnsi="Palatino Linotype" w:cs="Times New Roman"/>
          <w:iCs/>
          <w:sz w:val="21"/>
          <w:szCs w:val="21"/>
          <w:highlight w:val="yellow"/>
          <w:lang w:val="tr"/>
        </w:rPr>
        <w:t xml:space="preserve">.../.../ tarih ve .... </w:t>
      </w:r>
      <w:proofErr w:type="gramStart"/>
      <w:r w:rsidR="007941E4" w:rsidRPr="001B614A">
        <w:rPr>
          <w:rFonts w:ascii="Palatino Linotype" w:hAnsi="Palatino Linotype" w:cs="Times New Roman"/>
          <w:iCs/>
          <w:sz w:val="21"/>
          <w:szCs w:val="21"/>
          <w:highlight w:val="yellow"/>
          <w:lang w:val="tr"/>
        </w:rPr>
        <w:t>Esas -</w:t>
      </w:r>
      <w:proofErr w:type="gramEnd"/>
      <w:r w:rsidR="007941E4" w:rsidRPr="001B614A">
        <w:rPr>
          <w:rFonts w:ascii="Palatino Linotype" w:hAnsi="Palatino Linotype" w:cs="Times New Roman"/>
          <w:iCs/>
          <w:sz w:val="21"/>
          <w:szCs w:val="21"/>
          <w:highlight w:val="yellow"/>
          <w:lang w:val="tr"/>
        </w:rPr>
        <w:t xml:space="preserve"> ....</w:t>
      </w:r>
      <w:r w:rsidR="007941E4" w:rsidRPr="001B614A">
        <w:rPr>
          <w:rFonts w:ascii="Palatino Linotype" w:hAnsi="Palatino Linotype" w:cs="Times New Roman"/>
          <w:iCs/>
          <w:sz w:val="21"/>
          <w:szCs w:val="21"/>
          <w:lang w:val="tr"/>
        </w:rPr>
        <w:t xml:space="preserve"> Karar sayılı kararı </w:t>
      </w:r>
      <w:proofErr w:type="gramStart"/>
      <w:r w:rsidR="007941E4" w:rsidRPr="001B614A">
        <w:rPr>
          <w:rFonts w:ascii="Palatino Linotype" w:hAnsi="Palatino Linotype" w:cs="Times New Roman"/>
          <w:iCs/>
          <w:sz w:val="21"/>
          <w:szCs w:val="21"/>
          <w:lang w:val="tr"/>
        </w:rPr>
        <w:t>(</w:t>
      </w:r>
      <w:r w:rsidR="007941E4" w:rsidRPr="001B614A">
        <w:rPr>
          <w:rFonts w:ascii="Palatino Linotype" w:hAnsi="Palatino Linotype" w:cs="Times New Roman"/>
          <w:sz w:val="21"/>
          <w:szCs w:val="21"/>
        </w:rPr>
        <w:t xml:space="preserve"> </w:t>
      </w:r>
      <w:r w:rsidR="007941E4" w:rsidRPr="001B614A">
        <w:rPr>
          <w:rFonts w:ascii="Palatino Linotype" w:hAnsi="Palatino Linotype" w:cs="Times New Roman"/>
          <w:sz w:val="21"/>
          <w:szCs w:val="21"/>
          <w:highlight w:val="yellow"/>
        </w:rPr>
        <w:t>…</w:t>
      </w:r>
      <w:proofErr w:type="gramEnd"/>
      <w:r w:rsidR="007941E4" w:rsidRPr="001B614A">
        <w:rPr>
          <w:rFonts w:ascii="Palatino Linotype" w:hAnsi="Palatino Linotype" w:cs="Times New Roman"/>
          <w:sz w:val="21"/>
          <w:szCs w:val="21"/>
        </w:rPr>
        <w:t xml:space="preserve">Ağır Ceza Mahkemesinin </w:t>
      </w:r>
      <w:r w:rsidR="007941E4" w:rsidRPr="001B614A">
        <w:rPr>
          <w:rFonts w:ascii="Palatino Linotype" w:hAnsi="Palatino Linotype" w:cs="Times New Roman"/>
          <w:sz w:val="21"/>
          <w:szCs w:val="21"/>
          <w:highlight w:val="yellow"/>
        </w:rPr>
        <w:t>..</w:t>
      </w:r>
      <w:r w:rsidR="00B76022" w:rsidRPr="001B614A">
        <w:rPr>
          <w:rFonts w:ascii="Palatino Linotype" w:hAnsi="Palatino Linotype" w:cs="Times New Roman"/>
          <w:sz w:val="21"/>
          <w:szCs w:val="21"/>
          <w:highlight w:val="yellow"/>
        </w:rPr>
        <w:t>.</w:t>
      </w:r>
      <w:proofErr w:type="gramStart"/>
      <w:r w:rsidR="007941E4" w:rsidRPr="001B614A">
        <w:rPr>
          <w:rFonts w:ascii="Palatino Linotype" w:hAnsi="Palatino Linotype" w:cs="Times New Roman"/>
          <w:sz w:val="21"/>
          <w:szCs w:val="21"/>
          <w:highlight w:val="yellow"/>
        </w:rPr>
        <w:t>Tarih, ….</w:t>
      </w:r>
      <w:proofErr w:type="gramEnd"/>
      <w:r w:rsidR="007941E4" w:rsidRPr="001B614A">
        <w:rPr>
          <w:rFonts w:ascii="Palatino Linotype" w:hAnsi="Palatino Linotype" w:cs="Times New Roman"/>
          <w:sz w:val="21"/>
          <w:szCs w:val="21"/>
          <w:highlight w:val="yellow"/>
        </w:rPr>
        <w:t>/</w:t>
      </w:r>
      <w:r w:rsidR="00B76022" w:rsidRPr="001B614A">
        <w:rPr>
          <w:rFonts w:ascii="Palatino Linotype" w:hAnsi="Palatino Linotype" w:cs="Times New Roman"/>
          <w:sz w:val="21"/>
          <w:szCs w:val="21"/>
          <w:highlight w:val="yellow"/>
        </w:rPr>
        <w:t>E</w:t>
      </w:r>
      <w:r w:rsidR="007941E4" w:rsidRPr="001B614A">
        <w:rPr>
          <w:rFonts w:ascii="Palatino Linotype" w:hAnsi="Palatino Linotype" w:cs="Times New Roman"/>
          <w:sz w:val="21"/>
          <w:szCs w:val="21"/>
          <w:highlight w:val="yellow"/>
        </w:rPr>
        <w:t>.</w:t>
      </w:r>
      <w:r w:rsidR="00B76022" w:rsidRPr="001B614A">
        <w:rPr>
          <w:rFonts w:ascii="Palatino Linotype" w:hAnsi="Palatino Linotype" w:cs="Times New Roman"/>
          <w:sz w:val="21"/>
          <w:szCs w:val="21"/>
          <w:highlight w:val="yellow"/>
        </w:rPr>
        <w:t>, …K</w:t>
      </w:r>
      <w:r w:rsidR="007941E4" w:rsidRPr="001B614A">
        <w:rPr>
          <w:rFonts w:ascii="Palatino Linotype" w:hAnsi="Palatino Linotype" w:cs="Times New Roman"/>
          <w:sz w:val="21"/>
          <w:szCs w:val="21"/>
          <w:highlight w:val="yellow"/>
        </w:rPr>
        <w:t>.</w:t>
      </w:r>
      <w:r w:rsidR="007941E4" w:rsidRPr="001B614A">
        <w:rPr>
          <w:rFonts w:ascii="Palatino Linotype" w:hAnsi="Palatino Linotype" w:cs="Times New Roman"/>
          <w:sz w:val="21"/>
          <w:szCs w:val="21"/>
        </w:rPr>
        <w:t xml:space="preserve"> sayılı kararına ilişkin)</w:t>
      </w:r>
    </w:p>
    <w:p w14:paraId="67E876F3" w14:textId="77777777" w:rsidR="00B84193" w:rsidRPr="001B614A" w:rsidRDefault="00B84193" w:rsidP="00926DF6">
      <w:pPr>
        <w:spacing w:line="360" w:lineRule="auto"/>
        <w:jc w:val="both"/>
        <w:rPr>
          <w:rFonts w:ascii="Palatino Linotype" w:hAnsi="Palatino Linotype" w:cs="Times New Roman"/>
          <w:b/>
          <w:sz w:val="21"/>
          <w:szCs w:val="21"/>
          <w:highlight w:val="yellow"/>
        </w:rPr>
      </w:pPr>
    </w:p>
    <w:p w14:paraId="12F82576" w14:textId="4B571C60" w:rsidR="00B76022" w:rsidRPr="001B614A" w:rsidRDefault="00926DF6" w:rsidP="00926DF6">
      <w:pPr>
        <w:spacing w:line="360" w:lineRule="auto"/>
        <w:jc w:val="both"/>
        <w:rPr>
          <w:rFonts w:ascii="Palatino Linotype" w:hAnsi="Palatino Linotype" w:cs="Times New Roman"/>
          <w:b/>
          <w:sz w:val="21"/>
          <w:szCs w:val="21"/>
        </w:rPr>
      </w:pPr>
      <w:r w:rsidRPr="001B614A">
        <w:rPr>
          <w:rFonts w:ascii="Palatino Linotype" w:hAnsi="Palatino Linotype" w:cs="Times New Roman"/>
          <w:b/>
          <w:sz w:val="21"/>
          <w:szCs w:val="21"/>
          <w:highlight w:val="yellow"/>
        </w:rPr>
        <w:t xml:space="preserve">NOT: </w:t>
      </w:r>
      <w:r w:rsidR="00681B83" w:rsidRPr="001B614A">
        <w:rPr>
          <w:rFonts w:ascii="Palatino Linotype" w:hAnsi="Palatino Linotype" w:cs="Times New Roman"/>
          <w:b/>
          <w:sz w:val="21"/>
          <w:szCs w:val="21"/>
          <w:highlight w:val="yellow"/>
        </w:rPr>
        <w:t>Sarıya boyalı kısımlar</w:t>
      </w:r>
      <w:r w:rsidRPr="001B614A">
        <w:rPr>
          <w:rFonts w:ascii="Palatino Linotype" w:hAnsi="Palatino Linotype" w:cs="Times New Roman"/>
          <w:b/>
          <w:sz w:val="21"/>
          <w:szCs w:val="21"/>
          <w:highlight w:val="yellow"/>
        </w:rPr>
        <w:t xml:space="preserve"> herkes</w:t>
      </w:r>
      <w:r w:rsidR="00681B83" w:rsidRPr="001B614A">
        <w:rPr>
          <w:rFonts w:ascii="Palatino Linotype" w:hAnsi="Palatino Linotype" w:cs="Times New Roman"/>
          <w:b/>
          <w:sz w:val="21"/>
          <w:szCs w:val="21"/>
          <w:highlight w:val="yellow"/>
        </w:rPr>
        <w:t>in</w:t>
      </w:r>
      <w:r w:rsidRPr="001B614A">
        <w:rPr>
          <w:rFonts w:ascii="Palatino Linotype" w:hAnsi="Palatino Linotype" w:cs="Times New Roman"/>
          <w:b/>
          <w:sz w:val="21"/>
          <w:szCs w:val="21"/>
          <w:highlight w:val="yellow"/>
        </w:rPr>
        <w:t xml:space="preserve"> kendi durumuna </w:t>
      </w:r>
      <w:r w:rsidR="00681B83" w:rsidRPr="001B614A">
        <w:rPr>
          <w:rFonts w:ascii="Palatino Linotype" w:hAnsi="Palatino Linotype" w:cs="Times New Roman"/>
          <w:b/>
          <w:sz w:val="21"/>
          <w:szCs w:val="21"/>
          <w:highlight w:val="yellow"/>
        </w:rPr>
        <w:t xml:space="preserve">göre </w:t>
      </w:r>
      <w:r w:rsidRPr="001B614A">
        <w:rPr>
          <w:rFonts w:ascii="Palatino Linotype" w:hAnsi="Palatino Linotype" w:cs="Times New Roman"/>
          <w:b/>
          <w:sz w:val="21"/>
          <w:szCs w:val="21"/>
          <w:highlight w:val="yellow"/>
        </w:rPr>
        <w:t>uyarla</w:t>
      </w:r>
      <w:r w:rsidR="00681B83" w:rsidRPr="001B614A">
        <w:rPr>
          <w:rFonts w:ascii="Palatino Linotype" w:hAnsi="Palatino Linotype" w:cs="Times New Roman"/>
          <w:b/>
          <w:sz w:val="21"/>
          <w:szCs w:val="21"/>
          <w:highlight w:val="yellow"/>
        </w:rPr>
        <w:t>nmalıdır.</w:t>
      </w:r>
    </w:p>
    <w:p w14:paraId="54C1D8F6" w14:textId="08BB2EF6" w:rsidR="00B76022" w:rsidRPr="001B614A" w:rsidRDefault="00854D9B" w:rsidP="00261695">
      <w:pPr>
        <w:tabs>
          <w:tab w:val="left" w:pos="3870"/>
        </w:tabs>
        <w:spacing w:line="360" w:lineRule="auto"/>
        <w:jc w:val="both"/>
        <w:rPr>
          <w:rFonts w:ascii="Palatino Linotype" w:hAnsi="Palatino Linotype" w:cs="Times New Roman"/>
          <w:b/>
          <w:sz w:val="21"/>
          <w:szCs w:val="21"/>
          <w:u w:val="thick"/>
        </w:rPr>
      </w:pPr>
      <w:r w:rsidRPr="001B614A">
        <w:rPr>
          <w:rFonts w:ascii="Palatino Linotype" w:hAnsi="Palatino Linotype" w:cs="Times New Roman"/>
          <w:b/>
          <w:sz w:val="21"/>
          <w:szCs w:val="21"/>
          <w:u w:val="thick"/>
        </w:rPr>
        <w:t>Talepte Bulunan</w:t>
      </w:r>
      <w:r w:rsidR="006D3547" w:rsidRPr="001B614A">
        <w:rPr>
          <w:rFonts w:ascii="Palatino Linotype" w:hAnsi="Palatino Linotype" w:cs="Times New Roman"/>
          <w:b/>
          <w:sz w:val="21"/>
          <w:szCs w:val="21"/>
          <w:u w:val="thick"/>
        </w:rPr>
        <w:tab/>
        <w:t>:</w:t>
      </w:r>
      <w:r w:rsidRPr="001B614A">
        <w:rPr>
          <w:rFonts w:ascii="Palatino Linotype" w:hAnsi="Palatino Linotype" w:cs="Times New Roman"/>
          <w:b/>
          <w:sz w:val="21"/>
          <w:szCs w:val="21"/>
          <w:u w:val="thick"/>
        </w:rPr>
        <w:t xml:space="preserve"> </w:t>
      </w:r>
      <w:r w:rsidR="004E02D8" w:rsidRPr="001B614A">
        <w:rPr>
          <w:rFonts w:ascii="Palatino Linotype" w:hAnsi="Palatino Linotype" w:cs="Times New Roman"/>
          <w:b/>
          <w:sz w:val="21"/>
          <w:szCs w:val="21"/>
          <w:highlight w:val="yellow"/>
          <w:u w:val="thick"/>
        </w:rPr>
        <w:t>Sanık/Hükümlü</w:t>
      </w:r>
      <w:r w:rsidR="00DC5A41" w:rsidRPr="001B614A">
        <w:rPr>
          <w:rFonts w:ascii="Palatino Linotype" w:hAnsi="Palatino Linotype" w:cs="Times New Roman"/>
          <w:b/>
          <w:sz w:val="21"/>
          <w:szCs w:val="21"/>
          <w:highlight w:val="yellow"/>
          <w:u w:val="thick"/>
        </w:rPr>
        <w:t>/</w:t>
      </w:r>
      <w:r w:rsidR="006C1FA0" w:rsidRPr="001B614A">
        <w:rPr>
          <w:rFonts w:ascii="Palatino Linotype" w:hAnsi="Palatino Linotype" w:cs="Times New Roman"/>
          <w:b/>
          <w:sz w:val="21"/>
          <w:szCs w:val="21"/>
          <w:highlight w:val="yellow"/>
          <w:u w:val="thick"/>
        </w:rPr>
        <w:t>Eşi</w:t>
      </w:r>
      <w:r w:rsidR="00B84193" w:rsidRPr="001B614A">
        <w:rPr>
          <w:rFonts w:ascii="Palatino Linotype" w:hAnsi="Palatino Linotype" w:cs="Times New Roman"/>
          <w:b/>
          <w:sz w:val="21"/>
          <w:szCs w:val="21"/>
          <w:highlight w:val="yellow"/>
          <w:u w:val="thick"/>
        </w:rPr>
        <w:t xml:space="preserve">/Yasal </w:t>
      </w:r>
      <w:proofErr w:type="gramStart"/>
      <w:r w:rsidR="00B84193" w:rsidRPr="001B614A">
        <w:rPr>
          <w:rFonts w:ascii="Palatino Linotype" w:hAnsi="Palatino Linotype" w:cs="Times New Roman"/>
          <w:b/>
          <w:sz w:val="21"/>
          <w:szCs w:val="21"/>
          <w:highlight w:val="yellow"/>
          <w:u w:val="thick"/>
        </w:rPr>
        <w:t>Temsilcisi</w:t>
      </w:r>
      <w:r w:rsidR="00D97B5F" w:rsidRPr="001B614A">
        <w:rPr>
          <w:rFonts w:ascii="Palatino Linotype" w:hAnsi="Palatino Linotype" w:cs="Times New Roman"/>
          <w:b/>
          <w:sz w:val="21"/>
          <w:szCs w:val="21"/>
          <w:highlight w:val="yellow"/>
          <w:u w:val="thick"/>
        </w:rPr>
        <w:t xml:space="preserve"> </w:t>
      </w:r>
      <w:r w:rsidR="00B76022" w:rsidRPr="001B614A">
        <w:rPr>
          <w:rFonts w:ascii="Palatino Linotype" w:hAnsi="Palatino Linotype" w:cs="Times New Roman"/>
          <w:b/>
          <w:sz w:val="21"/>
          <w:szCs w:val="21"/>
          <w:highlight w:val="yellow"/>
          <w:u w:val="thick"/>
        </w:rPr>
        <w:t>:</w:t>
      </w:r>
      <w:proofErr w:type="gramEnd"/>
    </w:p>
    <w:p w14:paraId="2BAD3EF1" w14:textId="521B0886" w:rsidR="00B76022" w:rsidRPr="001B614A" w:rsidRDefault="00B76022" w:rsidP="00261695">
      <w:pPr>
        <w:tabs>
          <w:tab w:val="left" w:pos="3870"/>
        </w:tabs>
        <w:spacing w:line="360" w:lineRule="auto"/>
        <w:jc w:val="both"/>
        <w:rPr>
          <w:rFonts w:ascii="Palatino Linotype" w:hAnsi="Palatino Linotype" w:cs="Times New Roman"/>
          <w:b/>
          <w:sz w:val="21"/>
          <w:szCs w:val="21"/>
          <w:u w:val="thick"/>
        </w:rPr>
      </w:pPr>
      <w:r w:rsidRPr="001B614A">
        <w:rPr>
          <w:rFonts w:ascii="Palatino Linotype" w:hAnsi="Palatino Linotype" w:cs="Times New Roman"/>
          <w:b/>
          <w:sz w:val="21"/>
          <w:szCs w:val="21"/>
          <w:u w:val="thick"/>
        </w:rPr>
        <w:t xml:space="preserve">Müdafii                      </w:t>
      </w:r>
      <w:r w:rsidR="00AC5724" w:rsidRPr="001B614A">
        <w:rPr>
          <w:rFonts w:ascii="Palatino Linotype" w:hAnsi="Palatino Linotype" w:cs="Times New Roman"/>
          <w:b/>
          <w:sz w:val="21"/>
          <w:szCs w:val="21"/>
          <w:u w:val="thick"/>
        </w:rPr>
        <w:t xml:space="preserve">                           </w:t>
      </w:r>
      <w:r w:rsidR="00261695" w:rsidRPr="001B614A">
        <w:rPr>
          <w:rFonts w:ascii="Palatino Linotype" w:hAnsi="Palatino Linotype" w:cs="Times New Roman"/>
          <w:b/>
          <w:sz w:val="21"/>
          <w:szCs w:val="21"/>
          <w:u w:val="thick"/>
        </w:rPr>
        <w:t xml:space="preserve"> </w:t>
      </w:r>
      <w:r w:rsidR="007941E4" w:rsidRPr="001B614A">
        <w:rPr>
          <w:rFonts w:ascii="Palatino Linotype" w:hAnsi="Palatino Linotype" w:cs="Times New Roman"/>
          <w:b/>
          <w:sz w:val="21"/>
          <w:szCs w:val="21"/>
          <w:u w:val="thick"/>
        </w:rPr>
        <w:t xml:space="preserve">  </w:t>
      </w:r>
      <w:proofErr w:type="gramStart"/>
      <w:r w:rsidR="007941E4" w:rsidRPr="001B614A">
        <w:rPr>
          <w:rFonts w:ascii="Palatino Linotype" w:hAnsi="Palatino Linotype" w:cs="Times New Roman"/>
          <w:b/>
          <w:sz w:val="21"/>
          <w:szCs w:val="21"/>
          <w:u w:val="thick"/>
        </w:rPr>
        <w:t xml:space="preserve">  </w:t>
      </w:r>
      <w:r w:rsidRPr="001B614A">
        <w:rPr>
          <w:rFonts w:ascii="Palatino Linotype" w:hAnsi="Palatino Linotype" w:cs="Times New Roman"/>
          <w:b/>
          <w:sz w:val="21"/>
          <w:szCs w:val="21"/>
          <w:u w:val="thick"/>
        </w:rPr>
        <w:t>:</w:t>
      </w:r>
      <w:proofErr w:type="gramEnd"/>
    </w:p>
    <w:p w14:paraId="48D626BB" w14:textId="52E4813E" w:rsidR="00A03E39" w:rsidRPr="001B614A" w:rsidRDefault="00D97B5F" w:rsidP="00B84193">
      <w:pPr>
        <w:tabs>
          <w:tab w:val="left" w:pos="3780"/>
        </w:tabs>
        <w:spacing w:line="360" w:lineRule="auto"/>
        <w:ind w:left="3960" w:hanging="3960"/>
        <w:jc w:val="both"/>
        <w:rPr>
          <w:rFonts w:ascii="Palatino Linotype" w:hAnsi="Palatino Linotype" w:cs="Times New Roman"/>
          <w:iCs/>
          <w:sz w:val="21"/>
          <w:szCs w:val="21"/>
          <w:lang w:val="tr"/>
        </w:rPr>
      </w:pPr>
      <w:r w:rsidRPr="001B614A">
        <w:rPr>
          <w:rFonts w:ascii="Palatino Linotype" w:hAnsi="Palatino Linotype" w:cs="Times New Roman"/>
          <w:b/>
          <w:sz w:val="21"/>
          <w:szCs w:val="21"/>
          <w:u w:val="thick"/>
        </w:rPr>
        <w:t>Talep Konusu</w:t>
      </w:r>
      <w:r w:rsidR="00A03E39" w:rsidRPr="001B614A">
        <w:rPr>
          <w:rFonts w:ascii="Palatino Linotype" w:hAnsi="Palatino Linotype" w:cs="Times New Roman"/>
          <w:b/>
          <w:sz w:val="21"/>
          <w:szCs w:val="21"/>
          <w:u w:val="thick"/>
        </w:rPr>
        <w:t xml:space="preserve">                                      </w:t>
      </w:r>
      <w:proofErr w:type="gramStart"/>
      <w:r w:rsidR="00A03E39" w:rsidRPr="001B614A">
        <w:rPr>
          <w:rFonts w:ascii="Palatino Linotype" w:hAnsi="Palatino Linotype" w:cs="Times New Roman"/>
          <w:b/>
          <w:sz w:val="21"/>
          <w:szCs w:val="21"/>
          <w:u w:val="thick"/>
        </w:rPr>
        <w:tab/>
        <w:t xml:space="preserve"> :</w:t>
      </w:r>
      <w:proofErr w:type="gramEnd"/>
      <w:r w:rsidR="00B84193" w:rsidRPr="001B614A">
        <w:rPr>
          <w:rFonts w:ascii="Palatino Linotype" w:hAnsi="Palatino Linotype"/>
          <w:sz w:val="21"/>
          <w:szCs w:val="21"/>
        </w:rPr>
        <w:t xml:space="preserve"> </w:t>
      </w:r>
      <w:r w:rsidR="00B84193" w:rsidRPr="001B614A">
        <w:rPr>
          <w:rFonts w:ascii="Palatino Linotype" w:hAnsi="Palatino Linotype" w:cs="Times New Roman"/>
          <w:iCs/>
          <w:sz w:val="21"/>
          <w:szCs w:val="21"/>
          <w:lang w:val="tr"/>
        </w:rPr>
        <w:t xml:space="preserve">Yargıtay 3. Ceza Dairesinin .../.../ tarih ve .... </w:t>
      </w:r>
      <w:proofErr w:type="gramStart"/>
      <w:r w:rsidR="00B84193" w:rsidRPr="001B614A">
        <w:rPr>
          <w:rFonts w:ascii="Palatino Linotype" w:hAnsi="Palatino Linotype" w:cs="Times New Roman"/>
          <w:iCs/>
          <w:sz w:val="21"/>
          <w:szCs w:val="21"/>
          <w:lang w:val="tr"/>
        </w:rPr>
        <w:t>Esas -</w:t>
      </w:r>
      <w:proofErr w:type="gramEnd"/>
      <w:r w:rsidR="00B84193" w:rsidRPr="001B614A">
        <w:rPr>
          <w:rFonts w:ascii="Palatino Linotype" w:hAnsi="Palatino Linotype" w:cs="Times New Roman"/>
          <w:iCs/>
          <w:sz w:val="21"/>
          <w:szCs w:val="21"/>
          <w:lang w:val="tr"/>
        </w:rPr>
        <w:t xml:space="preserve"> .... Karar sayılı onama kararının düzeltilmesi yoluyla BOZULMASI hakkında dilekçedir. </w:t>
      </w:r>
      <w:r w:rsidR="006D3547" w:rsidRPr="001B614A">
        <w:rPr>
          <w:rFonts w:ascii="Palatino Linotype" w:hAnsi="Palatino Linotype" w:cs="Times New Roman"/>
          <w:iCs/>
          <w:sz w:val="21"/>
          <w:szCs w:val="21"/>
          <w:highlight w:val="yellow"/>
          <w:lang w:val="tr"/>
        </w:rPr>
        <w:t>T</w:t>
      </w:r>
      <w:r w:rsidR="006C1FA0" w:rsidRPr="001B614A">
        <w:rPr>
          <w:rFonts w:ascii="Palatino Linotype" w:hAnsi="Palatino Linotype" w:cs="Times New Roman"/>
          <w:iCs/>
          <w:sz w:val="21"/>
          <w:szCs w:val="21"/>
          <w:highlight w:val="yellow"/>
          <w:lang w:val="tr"/>
        </w:rPr>
        <w:t>utukluluğunun</w:t>
      </w:r>
      <w:r w:rsidR="006D3547" w:rsidRPr="001B614A">
        <w:rPr>
          <w:rFonts w:ascii="Palatino Linotype" w:hAnsi="Palatino Linotype" w:cs="Times New Roman"/>
          <w:iCs/>
          <w:sz w:val="21"/>
          <w:szCs w:val="21"/>
          <w:highlight w:val="yellow"/>
          <w:lang w:val="tr"/>
        </w:rPr>
        <w:t xml:space="preserve"> kaldırılması</w:t>
      </w:r>
      <w:r w:rsidR="006C1FA0" w:rsidRPr="001B614A">
        <w:rPr>
          <w:rFonts w:ascii="Palatino Linotype" w:hAnsi="Palatino Linotype" w:cs="Times New Roman"/>
          <w:iCs/>
          <w:sz w:val="21"/>
          <w:szCs w:val="21"/>
          <w:highlight w:val="yellow"/>
          <w:lang w:val="tr"/>
        </w:rPr>
        <w:t>/infazının</w:t>
      </w:r>
      <w:r w:rsidR="006D3547" w:rsidRPr="001B614A">
        <w:rPr>
          <w:rFonts w:ascii="Palatino Linotype" w:hAnsi="Palatino Linotype" w:cs="Times New Roman"/>
          <w:iCs/>
          <w:sz w:val="21"/>
          <w:szCs w:val="21"/>
          <w:highlight w:val="yellow"/>
          <w:lang w:val="tr"/>
        </w:rPr>
        <w:t xml:space="preserve"> durdurulması</w:t>
      </w:r>
      <w:r w:rsidR="00A03E39" w:rsidRPr="001B614A">
        <w:rPr>
          <w:rFonts w:ascii="Palatino Linotype" w:hAnsi="Palatino Linotype" w:cs="Times New Roman"/>
          <w:iCs/>
          <w:sz w:val="21"/>
          <w:szCs w:val="21"/>
          <w:lang w:val="tr"/>
        </w:rPr>
        <w:t xml:space="preserve"> istemine ilişkindir.</w:t>
      </w:r>
    </w:p>
    <w:p w14:paraId="30547AC5" w14:textId="3650E7EF" w:rsidR="00B76022" w:rsidRPr="001B614A" w:rsidRDefault="00D97B5F" w:rsidP="00B84193">
      <w:pPr>
        <w:tabs>
          <w:tab w:val="left" w:pos="3870"/>
        </w:tabs>
        <w:spacing w:line="360" w:lineRule="auto"/>
        <w:ind w:left="3960" w:hanging="3960"/>
        <w:jc w:val="both"/>
        <w:rPr>
          <w:rFonts w:ascii="Palatino Linotype" w:hAnsi="Palatino Linotype" w:cs="Times New Roman"/>
          <w:bCs/>
          <w:sz w:val="21"/>
          <w:szCs w:val="21"/>
        </w:rPr>
      </w:pPr>
      <w:r w:rsidRPr="001B614A">
        <w:rPr>
          <w:rFonts w:ascii="Palatino Linotype" w:hAnsi="Palatino Linotype" w:cs="Times New Roman"/>
          <w:b/>
          <w:sz w:val="21"/>
          <w:szCs w:val="21"/>
          <w:u w:val="thick"/>
        </w:rPr>
        <w:t xml:space="preserve">Dayanılan Hukuki Kurallar             </w:t>
      </w:r>
      <w:proofErr w:type="gramStart"/>
      <w:r w:rsidRPr="001B614A">
        <w:rPr>
          <w:rFonts w:ascii="Palatino Linotype" w:hAnsi="Palatino Linotype" w:cs="Times New Roman"/>
          <w:b/>
          <w:sz w:val="21"/>
          <w:szCs w:val="21"/>
          <w:u w:val="thick"/>
        </w:rPr>
        <w:t xml:space="preserve">  :</w:t>
      </w:r>
      <w:proofErr w:type="gramEnd"/>
      <w:r w:rsidRPr="001B614A">
        <w:rPr>
          <w:rFonts w:ascii="Palatino Linotype" w:hAnsi="Palatino Linotype" w:cs="Times New Roman"/>
          <w:bCs/>
          <w:sz w:val="21"/>
          <w:szCs w:val="21"/>
        </w:rPr>
        <w:t xml:space="preserve"> </w:t>
      </w:r>
      <w:r w:rsidR="009815B6" w:rsidRPr="001B614A">
        <w:rPr>
          <w:rFonts w:ascii="Palatino Linotype" w:hAnsi="Palatino Linotype" w:cs="Times New Roman"/>
          <w:bCs/>
          <w:sz w:val="21"/>
          <w:szCs w:val="21"/>
        </w:rPr>
        <w:t xml:space="preserve"> </w:t>
      </w:r>
      <w:r w:rsidR="00926DF6" w:rsidRPr="001B614A">
        <w:rPr>
          <w:rFonts w:ascii="Palatino Linotype" w:hAnsi="Palatino Linotype" w:cs="Times New Roman"/>
          <w:bCs/>
          <w:sz w:val="21"/>
          <w:szCs w:val="21"/>
        </w:rPr>
        <w:t xml:space="preserve"> </w:t>
      </w:r>
      <w:r w:rsidR="00B84193" w:rsidRPr="001B614A">
        <w:rPr>
          <w:rFonts w:ascii="Palatino Linotype" w:hAnsi="Palatino Linotype" w:cs="Times New Roman"/>
          <w:bCs/>
          <w:sz w:val="21"/>
          <w:szCs w:val="21"/>
        </w:rPr>
        <w:t xml:space="preserve">Anayasa’nın 33, 34, 36, 38, 51, 90, 138. ve 153. maddeleri, AİHS’nin 6, 7, 11. ve 46. </w:t>
      </w:r>
      <w:proofErr w:type="gramStart"/>
      <w:r w:rsidR="00B84193" w:rsidRPr="001B614A">
        <w:rPr>
          <w:rFonts w:ascii="Palatino Linotype" w:hAnsi="Palatino Linotype" w:cs="Times New Roman"/>
          <w:bCs/>
          <w:sz w:val="21"/>
          <w:szCs w:val="21"/>
        </w:rPr>
        <w:t>maddeleri,  6216</w:t>
      </w:r>
      <w:proofErr w:type="gramEnd"/>
      <w:r w:rsidR="00B84193" w:rsidRPr="001B614A">
        <w:rPr>
          <w:rFonts w:ascii="Palatino Linotype" w:hAnsi="Palatino Linotype" w:cs="Times New Roman"/>
          <w:bCs/>
          <w:sz w:val="21"/>
          <w:szCs w:val="21"/>
        </w:rPr>
        <w:t xml:space="preserve"> sayılı Kanunun 50. </w:t>
      </w:r>
      <w:proofErr w:type="gramStart"/>
      <w:r w:rsidR="00B84193" w:rsidRPr="001B614A">
        <w:rPr>
          <w:rFonts w:ascii="Palatino Linotype" w:hAnsi="Palatino Linotype" w:cs="Times New Roman"/>
          <w:bCs/>
          <w:sz w:val="21"/>
          <w:szCs w:val="21"/>
        </w:rPr>
        <w:t>maddesi,  5271</w:t>
      </w:r>
      <w:proofErr w:type="gramEnd"/>
      <w:r w:rsidR="00B84193" w:rsidRPr="001B614A">
        <w:rPr>
          <w:rFonts w:ascii="Palatino Linotype" w:hAnsi="Palatino Linotype" w:cs="Times New Roman"/>
          <w:bCs/>
          <w:sz w:val="21"/>
          <w:szCs w:val="21"/>
        </w:rPr>
        <w:t xml:space="preserve"> sayılı CMK’nun 308. </w:t>
      </w:r>
      <w:proofErr w:type="spellStart"/>
      <w:r w:rsidR="00B84193" w:rsidRPr="001B614A">
        <w:rPr>
          <w:rFonts w:ascii="Palatino Linotype" w:hAnsi="Palatino Linotype" w:cs="Times New Roman"/>
          <w:bCs/>
          <w:sz w:val="21"/>
          <w:szCs w:val="21"/>
        </w:rPr>
        <w:t>vd</w:t>
      </w:r>
      <w:proofErr w:type="spellEnd"/>
      <w:r w:rsidR="00B84193" w:rsidRPr="001B614A">
        <w:rPr>
          <w:rFonts w:ascii="Palatino Linotype" w:hAnsi="Palatino Linotype" w:cs="Times New Roman"/>
          <w:bCs/>
          <w:sz w:val="21"/>
          <w:szCs w:val="21"/>
        </w:rPr>
        <w:t xml:space="preserve"> maddeleri.</w:t>
      </w:r>
    </w:p>
    <w:p w14:paraId="368261F7" w14:textId="77777777" w:rsidR="003A6719" w:rsidRPr="001B614A" w:rsidRDefault="003A6719" w:rsidP="003A6719">
      <w:pPr>
        <w:tabs>
          <w:tab w:val="left" w:pos="3870"/>
        </w:tabs>
        <w:spacing w:line="360" w:lineRule="auto"/>
        <w:jc w:val="center"/>
        <w:rPr>
          <w:rFonts w:ascii="Palatino Linotype" w:hAnsi="Palatino Linotype" w:cs="Times New Roman"/>
          <w:b/>
          <w:sz w:val="21"/>
          <w:szCs w:val="21"/>
        </w:rPr>
      </w:pPr>
    </w:p>
    <w:p w14:paraId="65BBC1ED" w14:textId="5F96C7F8" w:rsidR="00261695" w:rsidRPr="001B614A" w:rsidRDefault="00261695" w:rsidP="003A6719">
      <w:pPr>
        <w:tabs>
          <w:tab w:val="left" w:pos="3870"/>
        </w:tabs>
        <w:spacing w:line="360" w:lineRule="auto"/>
        <w:jc w:val="center"/>
        <w:rPr>
          <w:rFonts w:ascii="Palatino Linotype" w:hAnsi="Palatino Linotype" w:cs="Times New Roman"/>
          <w:b/>
          <w:sz w:val="21"/>
          <w:szCs w:val="21"/>
        </w:rPr>
      </w:pPr>
      <w:r w:rsidRPr="001B614A">
        <w:rPr>
          <w:rFonts w:ascii="Palatino Linotype" w:hAnsi="Palatino Linotype" w:cs="Times New Roman"/>
          <w:b/>
          <w:sz w:val="21"/>
          <w:szCs w:val="21"/>
        </w:rPr>
        <w:t>AÇIKLAMALAR</w:t>
      </w:r>
    </w:p>
    <w:p w14:paraId="2A9EB87F" w14:textId="2931E1B9" w:rsidR="00261695" w:rsidRPr="001B614A" w:rsidRDefault="00261695" w:rsidP="00261695">
      <w:pPr>
        <w:tabs>
          <w:tab w:val="left" w:pos="3870"/>
        </w:tabs>
        <w:spacing w:line="360" w:lineRule="auto"/>
        <w:jc w:val="both"/>
        <w:rPr>
          <w:rFonts w:ascii="Palatino Linotype" w:hAnsi="Palatino Linotype" w:cs="Times New Roman"/>
          <w:b/>
          <w:sz w:val="21"/>
          <w:szCs w:val="21"/>
        </w:rPr>
      </w:pPr>
      <w:r w:rsidRPr="001B614A">
        <w:rPr>
          <w:rFonts w:ascii="Palatino Linotype" w:hAnsi="Palatino Linotype" w:cs="Times New Roman"/>
          <w:b/>
          <w:sz w:val="21"/>
          <w:szCs w:val="21"/>
        </w:rPr>
        <w:t xml:space="preserve">I. </w:t>
      </w:r>
      <w:r w:rsidR="00B84193" w:rsidRPr="001B614A">
        <w:rPr>
          <w:rFonts w:ascii="Palatino Linotype" w:hAnsi="Palatino Linotype" w:cs="Times New Roman"/>
          <w:b/>
          <w:sz w:val="21"/>
          <w:szCs w:val="21"/>
        </w:rPr>
        <w:t>Başvuru</w:t>
      </w:r>
      <w:r w:rsidRPr="001B614A">
        <w:rPr>
          <w:rFonts w:ascii="Palatino Linotype" w:hAnsi="Palatino Linotype" w:cs="Times New Roman"/>
          <w:b/>
          <w:i/>
          <w:iCs/>
          <w:sz w:val="21"/>
          <w:szCs w:val="21"/>
        </w:rPr>
        <w:t xml:space="preserve"> </w:t>
      </w:r>
      <w:r w:rsidRPr="001B614A">
        <w:rPr>
          <w:rFonts w:ascii="Palatino Linotype" w:hAnsi="Palatino Linotype" w:cs="Times New Roman"/>
          <w:b/>
          <w:sz w:val="21"/>
          <w:szCs w:val="21"/>
        </w:rPr>
        <w:t>Gerekçe</w:t>
      </w:r>
      <w:r w:rsidR="0070131E" w:rsidRPr="001B614A">
        <w:rPr>
          <w:rFonts w:ascii="Palatino Linotype" w:hAnsi="Palatino Linotype" w:cs="Times New Roman"/>
          <w:b/>
          <w:sz w:val="21"/>
          <w:szCs w:val="21"/>
        </w:rPr>
        <w:t>si</w:t>
      </w:r>
    </w:p>
    <w:p w14:paraId="4C8A5BCA" w14:textId="615E91FA" w:rsidR="00B84193" w:rsidRPr="001B614A"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proofErr w:type="gramStart"/>
      <w:r w:rsidRPr="001B614A">
        <w:rPr>
          <w:rFonts w:ascii="Palatino Linotype" w:hAnsi="Palatino Linotype" w:cs="Times New Roman"/>
          <w:bCs/>
          <w:sz w:val="21"/>
          <w:szCs w:val="21"/>
          <w:highlight w:val="yellow"/>
        </w:rPr>
        <w:t>….</w:t>
      </w:r>
      <w:proofErr w:type="gramEnd"/>
      <w:r w:rsidRPr="001B614A">
        <w:rPr>
          <w:rFonts w:ascii="Palatino Linotype" w:hAnsi="Palatino Linotype" w:cs="Times New Roman"/>
          <w:bCs/>
          <w:sz w:val="21"/>
          <w:szCs w:val="21"/>
          <w:highlight w:val="yellow"/>
        </w:rPr>
        <w:t>Ağır Ceza Mahkemesi’nin</w:t>
      </w:r>
      <w:proofErr w:type="gramStart"/>
      <w:r w:rsidRPr="001B614A">
        <w:rPr>
          <w:rFonts w:ascii="Palatino Linotype" w:hAnsi="Palatino Linotype" w:cs="Times New Roman"/>
          <w:bCs/>
          <w:sz w:val="21"/>
          <w:szCs w:val="21"/>
          <w:highlight w:val="yellow"/>
        </w:rPr>
        <w:t xml:space="preserve"> …./….</w:t>
      </w:r>
      <w:proofErr w:type="gramEnd"/>
      <w:r w:rsidRPr="001B614A">
        <w:rPr>
          <w:rFonts w:ascii="Palatino Linotype" w:hAnsi="Palatino Linotype" w:cs="Times New Roman"/>
          <w:bCs/>
          <w:sz w:val="21"/>
          <w:szCs w:val="21"/>
          <w:highlight w:val="yellow"/>
        </w:rPr>
        <w:t xml:space="preserve">/… tarihli ve …/… </w:t>
      </w:r>
      <w:proofErr w:type="gramStart"/>
      <w:r w:rsidRPr="001B614A">
        <w:rPr>
          <w:rFonts w:ascii="Palatino Linotype" w:hAnsi="Palatino Linotype" w:cs="Times New Roman"/>
          <w:bCs/>
          <w:sz w:val="21"/>
          <w:szCs w:val="21"/>
          <w:highlight w:val="yellow"/>
        </w:rPr>
        <w:t>E. -</w:t>
      </w:r>
      <w:proofErr w:type="gramEnd"/>
      <w:r w:rsidRPr="001B614A">
        <w:rPr>
          <w:rFonts w:ascii="Palatino Linotype" w:hAnsi="Palatino Linotype" w:cs="Times New Roman"/>
          <w:bCs/>
          <w:sz w:val="21"/>
          <w:szCs w:val="21"/>
          <w:highlight w:val="yellow"/>
        </w:rPr>
        <w:t xml:space="preserve"> …/… K.</w:t>
      </w:r>
      <w:r w:rsidRPr="001B614A">
        <w:rPr>
          <w:rFonts w:ascii="Palatino Linotype" w:hAnsi="Palatino Linotype" w:cs="Times New Roman"/>
          <w:bCs/>
          <w:sz w:val="21"/>
          <w:szCs w:val="21"/>
        </w:rPr>
        <w:t xml:space="preserve"> sayılı kararı gereğince </w:t>
      </w:r>
      <w:r w:rsidRPr="001B614A">
        <w:rPr>
          <w:rFonts w:ascii="Palatino Linotype" w:hAnsi="Palatino Linotype" w:cs="Times New Roman"/>
          <w:bCs/>
          <w:sz w:val="21"/>
          <w:szCs w:val="21"/>
          <w:highlight w:val="yellow"/>
        </w:rPr>
        <w:t>hakkımda/</w:t>
      </w:r>
      <w:r w:rsidR="00006846">
        <w:rPr>
          <w:rFonts w:ascii="Palatino Linotype" w:hAnsi="Palatino Linotype" w:cs="Times New Roman"/>
          <w:bCs/>
          <w:sz w:val="21"/>
          <w:szCs w:val="21"/>
          <w:highlight w:val="yellow"/>
        </w:rPr>
        <w:t>müvekkil hakkında/</w:t>
      </w:r>
      <w:r w:rsidRPr="001B614A">
        <w:rPr>
          <w:rFonts w:ascii="Palatino Linotype" w:hAnsi="Palatino Linotype" w:cs="Times New Roman"/>
          <w:bCs/>
          <w:sz w:val="21"/>
          <w:szCs w:val="21"/>
          <w:highlight w:val="yellow"/>
        </w:rPr>
        <w:t>eşim hakkında/ vasisi olduğum … hakkında</w:t>
      </w:r>
      <w:r w:rsidRPr="001B614A">
        <w:rPr>
          <w:rFonts w:ascii="Palatino Linotype" w:hAnsi="Palatino Linotype" w:cs="Times New Roman"/>
          <w:bCs/>
          <w:sz w:val="21"/>
          <w:szCs w:val="21"/>
        </w:rPr>
        <w:t xml:space="preserve"> silahlı terör örgütüne </w:t>
      </w:r>
      <w:r w:rsidRPr="001B614A">
        <w:rPr>
          <w:rFonts w:ascii="Palatino Linotype" w:hAnsi="Palatino Linotype" w:cs="Times New Roman"/>
          <w:bCs/>
          <w:sz w:val="21"/>
          <w:szCs w:val="21"/>
          <w:highlight w:val="yellow"/>
        </w:rPr>
        <w:t>üye olma/yardım</w:t>
      </w:r>
      <w:r w:rsidRPr="001B614A">
        <w:rPr>
          <w:rFonts w:ascii="Palatino Linotype" w:hAnsi="Palatino Linotype" w:cs="Times New Roman"/>
          <w:bCs/>
          <w:sz w:val="21"/>
          <w:szCs w:val="21"/>
        </w:rPr>
        <w:t xml:space="preserve"> suçundan mahkûmiyet kararı verilmiştir. Bu hükmün temyizi üzerine </w:t>
      </w:r>
      <w:r w:rsidRPr="001B614A">
        <w:rPr>
          <w:rFonts w:ascii="Palatino Linotype" w:hAnsi="Palatino Linotype" w:cs="Times New Roman"/>
          <w:iCs/>
          <w:sz w:val="21"/>
          <w:szCs w:val="21"/>
          <w:lang w:val="tr"/>
        </w:rPr>
        <w:t xml:space="preserve">Yargıtay 3. Ceza Dairesi .../.../ tarih ve .... </w:t>
      </w:r>
      <w:proofErr w:type="gramStart"/>
      <w:r w:rsidRPr="001B614A">
        <w:rPr>
          <w:rFonts w:ascii="Palatino Linotype" w:hAnsi="Palatino Linotype" w:cs="Times New Roman"/>
          <w:iCs/>
          <w:sz w:val="21"/>
          <w:szCs w:val="21"/>
          <w:lang w:val="tr"/>
        </w:rPr>
        <w:t>Esas -</w:t>
      </w:r>
      <w:proofErr w:type="gramEnd"/>
      <w:r w:rsidRPr="001B614A">
        <w:rPr>
          <w:rFonts w:ascii="Palatino Linotype" w:hAnsi="Palatino Linotype" w:cs="Times New Roman"/>
          <w:iCs/>
          <w:sz w:val="21"/>
          <w:szCs w:val="21"/>
          <w:lang w:val="tr"/>
        </w:rPr>
        <w:t xml:space="preserve"> .... Karar sayılı </w:t>
      </w:r>
      <w:r w:rsidRPr="001B614A">
        <w:rPr>
          <w:rFonts w:ascii="Palatino Linotype" w:hAnsi="Palatino Linotype" w:cs="Times New Roman"/>
          <w:bCs/>
          <w:sz w:val="21"/>
          <w:szCs w:val="21"/>
        </w:rPr>
        <w:t xml:space="preserve">kararı ile temyiz nedenlerimizi yerinde </w:t>
      </w:r>
      <w:r w:rsidRPr="001B614A">
        <w:rPr>
          <w:rFonts w:ascii="Palatino Linotype" w:hAnsi="Palatino Linotype" w:cs="Times New Roman"/>
          <w:bCs/>
          <w:sz w:val="21"/>
          <w:szCs w:val="21"/>
        </w:rPr>
        <w:lastRenderedPageBreak/>
        <w:t xml:space="preserve">görmeyerek, temyiz isteminin reddi ile yerel mahkemenin kararının onanmasına karar vermiştir. Yerel mahkeme kararı ve Yargıtay 3. Ceza Dairesinin bu kararı onaması usul ve yasaya aykırıdır. Zira temyiz dilekçesinde yer verilen bozma nedenlerinin hiç birisi dikkate alınmamıştır. Ayrıca, dosyaya sunulan ve </w:t>
      </w:r>
      <w:r w:rsidRPr="001B614A">
        <w:rPr>
          <w:rFonts w:ascii="Palatino Linotype" w:hAnsi="Palatino Linotype" w:cs="Times New Roman"/>
          <w:bCs/>
          <w:sz w:val="21"/>
          <w:szCs w:val="21"/>
          <w:highlight w:val="yellow"/>
        </w:rPr>
        <w:t>suçsuzluğumu/</w:t>
      </w:r>
      <w:r w:rsidR="00006846">
        <w:rPr>
          <w:rFonts w:ascii="Palatino Linotype" w:hAnsi="Palatino Linotype" w:cs="Times New Roman"/>
          <w:bCs/>
          <w:sz w:val="21"/>
          <w:szCs w:val="21"/>
          <w:highlight w:val="yellow"/>
        </w:rPr>
        <w:t>müvekkilin suçsuzluğunu/</w:t>
      </w:r>
      <w:r w:rsidRPr="001B614A">
        <w:rPr>
          <w:rFonts w:ascii="Palatino Linotype" w:hAnsi="Palatino Linotype" w:cs="Times New Roman"/>
          <w:bCs/>
          <w:sz w:val="21"/>
          <w:szCs w:val="21"/>
          <w:highlight w:val="yellow"/>
        </w:rPr>
        <w:t>eşimin suçsuzluğunu/vasisi olduğum …’</w:t>
      </w:r>
      <w:proofErr w:type="spellStart"/>
      <w:r w:rsidRPr="001B614A">
        <w:rPr>
          <w:rFonts w:ascii="Palatino Linotype" w:hAnsi="Palatino Linotype" w:cs="Times New Roman"/>
          <w:bCs/>
          <w:sz w:val="21"/>
          <w:szCs w:val="21"/>
          <w:highlight w:val="yellow"/>
        </w:rPr>
        <w:t>ın</w:t>
      </w:r>
      <w:proofErr w:type="spellEnd"/>
      <w:r w:rsidRPr="001B614A">
        <w:rPr>
          <w:rFonts w:ascii="Palatino Linotype" w:hAnsi="Palatino Linotype" w:cs="Times New Roman"/>
          <w:bCs/>
          <w:sz w:val="21"/>
          <w:szCs w:val="21"/>
          <w:highlight w:val="yellow"/>
        </w:rPr>
        <w:t xml:space="preserve"> suçsuzluğunu</w:t>
      </w:r>
      <w:r w:rsidRPr="001B614A">
        <w:rPr>
          <w:rFonts w:ascii="Palatino Linotype" w:hAnsi="Palatino Linotype" w:cs="Times New Roman"/>
          <w:bCs/>
          <w:sz w:val="21"/>
          <w:szCs w:val="21"/>
        </w:rPr>
        <w:t xml:space="preserve"> kanıtlayacak belge, bilgi ve talepler gerekçeli kararda karşılanmamıştır.</w:t>
      </w:r>
    </w:p>
    <w:p w14:paraId="1EED25EB" w14:textId="310B2444" w:rsidR="00B84193" w:rsidRPr="001B614A"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1B614A">
        <w:rPr>
          <w:rFonts w:ascii="Palatino Linotype" w:hAnsi="Palatino Linotype" w:cs="Times New Roman"/>
          <w:bCs/>
          <w:sz w:val="21"/>
          <w:szCs w:val="21"/>
        </w:rPr>
        <w:t>Yukarıda arz edilen nedenlerle; maddi ve hukuki delillerin değerlendirilmesinde yanlışlıklar olduğu düşünüldüğünden, onama kararının düzeltilmesi için başvurma zorunluluğu hasıl olmuştur.</w:t>
      </w:r>
    </w:p>
    <w:p w14:paraId="715BB9B0" w14:textId="2D6F381E" w:rsidR="00B84193" w:rsidRPr="001B614A"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1B614A">
        <w:rPr>
          <w:rFonts w:ascii="Palatino Linotype" w:hAnsi="Palatino Linotype" w:cs="Times New Roman"/>
          <w:bCs/>
          <w:sz w:val="21"/>
          <w:szCs w:val="21"/>
        </w:rPr>
        <w:t>Gerek soruşturma ve gerekse de yargılama aşamasında yapılmış olan savunmalar ile istinaf ve temyiz dilekçelerinde yargılamanın esasına ve usulüne yönelik olarak dile getirilen itirazları aynen tekrar eder önceki tüm savunma ve yazılı dilekçelerin iş bu dilekçe ile birlikte dikkate alınmasını talep ederiz.</w:t>
      </w:r>
    </w:p>
    <w:p w14:paraId="14A12F4B" w14:textId="25E9C520" w:rsidR="00B84193" w:rsidRPr="001B614A" w:rsidRDefault="00B84193" w:rsidP="00B84193">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1B614A">
        <w:rPr>
          <w:rFonts w:ascii="Palatino Linotype" w:hAnsi="Palatino Linotype" w:cs="Times New Roman"/>
          <w:bCs/>
          <w:sz w:val="21"/>
          <w:szCs w:val="21"/>
          <w:highlight w:val="yellow"/>
        </w:rPr>
        <w:t>Şahsıma/</w:t>
      </w:r>
      <w:r w:rsidR="00006846">
        <w:rPr>
          <w:rFonts w:ascii="Palatino Linotype" w:hAnsi="Palatino Linotype" w:cs="Times New Roman"/>
          <w:bCs/>
          <w:sz w:val="21"/>
          <w:szCs w:val="21"/>
          <w:highlight w:val="yellow"/>
        </w:rPr>
        <w:t>müvekkile/</w:t>
      </w:r>
      <w:r w:rsidRPr="001B614A">
        <w:rPr>
          <w:rFonts w:ascii="Palatino Linotype" w:hAnsi="Palatino Linotype" w:cs="Times New Roman"/>
          <w:bCs/>
          <w:sz w:val="21"/>
          <w:szCs w:val="21"/>
          <w:highlight w:val="yellow"/>
        </w:rPr>
        <w:t>eşime/vasisi olduğum …’a</w:t>
      </w:r>
      <w:r w:rsidRPr="001B614A">
        <w:rPr>
          <w:rFonts w:ascii="Palatino Linotype" w:hAnsi="Palatino Linotype" w:cs="Times New Roman"/>
          <w:bCs/>
          <w:sz w:val="21"/>
          <w:szCs w:val="21"/>
        </w:rPr>
        <w:t xml:space="preserve"> isnat edilen silahlı terör örgütüne </w:t>
      </w:r>
      <w:r w:rsidRPr="001B614A">
        <w:rPr>
          <w:rFonts w:ascii="Palatino Linotype" w:hAnsi="Palatino Linotype" w:cs="Times New Roman"/>
          <w:bCs/>
          <w:sz w:val="21"/>
          <w:szCs w:val="21"/>
          <w:highlight w:val="yellow"/>
        </w:rPr>
        <w:t>üyelik/yardım</w:t>
      </w:r>
      <w:r w:rsidRPr="001B614A">
        <w:rPr>
          <w:rFonts w:ascii="Palatino Linotype" w:hAnsi="Palatino Linotype" w:cs="Times New Roman"/>
          <w:bCs/>
          <w:sz w:val="21"/>
          <w:szCs w:val="21"/>
        </w:rPr>
        <w:t xml:space="preserve"> suçunun yasal unsurları oluşmamıştır. Zira yerel mahkemenin kendi belirlediği kriterlere göre dahi isnat edilen eylemler yargılama sırasında eksik incelenmiş ve yeterince araştırılmamıştır. İstinaf ve temyiz aşamalarında da üst yargı mercileri tarafından şablon ret ve onama kararları verilmiştir. Yerel mahkemenin mahkumiyete esas aldığı bu kriterlerin suçun unsuru yerine ikame edilerek cezalandırmaya gerekçe yapılmasının </w:t>
      </w:r>
      <w:r w:rsidR="006C1386" w:rsidRPr="001B614A">
        <w:rPr>
          <w:rFonts w:ascii="Palatino Linotype" w:hAnsi="Palatino Linotype" w:cs="Times New Roman"/>
          <w:bCs/>
          <w:i/>
          <w:iCs/>
          <w:sz w:val="21"/>
          <w:szCs w:val="21"/>
        </w:rPr>
        <w:t>"kanunsuz suç ve ceza olmaz</w:t>
      </w:r>
      <w:r w:rsidR="006C1386" w:rsidRPr="001B614A">
        <w:rPr>
          <w:rFonts w:ascii="Palatino Linotype" w:hAnsi="Palatino Linotype" w:cs="Times New Roman"/>
          <w:bCs/>
          <w:sz w:val="21"/>
          <w:szCs w:val="21"/>
        </w:rPr>
        <w:t xml:space="preserve">" ilkesinin ihlali olduğu </w:t>
      </w:r>
      <w:r w:rsidR="006C1386" w:rsidRPr="001B614A">
        <w:rPr>
          <w:rFonts w:ascii="Palatino Linotype" w:hAnsi="Palatino Linotype" w:cs="Times New Roman"/>
          <w:b/>
          <w:sz w:val="21"/>
          <w:szCs w:val="21"/>
        </w:rPr>
        <w:t xml:space="preserve">AİHM'in 26/9/2023 tarihinde açıkladığı Yüksel Yalçınkaya/Türkiye kararında; </w:t>
      </w:r>
      <w:r w:rsidR="006C1386" w:rsidRPr="001B614A">
        <w:rPr>
          <w:rFonts w:ascii="Palatino Linotype" w:hAnsi="Palatino Linotype"/>
          <w:color w:val="000000"/>
          <w:sz w:val="21"/>
          <w:szCs w:val="21"/>
        </w:rPr>
        <w:t xml:space="preserve">kişinin mensubu olduğu iddia edilen yapının şiddet içeren amaçlarını bilip bilmediğinin (manevi unsurun) bireysel olarak ispat edilmemesinin de </w:t>
      </w:r>
      <w:r w:rsidR="004757E9" w:rsidRPr="001B614A">
        <w:rPr>
          <w:rFonts w:ascii="Palatino Linotype" w:hAnsi="Palatino Linotype" w:cs="Times New Roman"/>
          <w:bCs/>
          <w:i/>
          <w:iCs/>
          <w:sz w:val="21"/>
          <w:szCs w:val="21"/>
        </w:rPr>
        <w:t>"kanunsuz suç ve ceza olmaz</w:t>
      </w:r>
      <w:r w:rsidR="004757E9" w:rsidRPr="001B614A">
        <w:rPr>
          <w:rFonts w:ascii="Palatino Linotype" w:hAnsi="Palatino Linotype" w:cs="Times New Roman"/>
          <w:bCs/>
          <w:sz w:val="21"/>
          <w:szCs w:val="21"/>
        </w:rPr>
        <w:t xml:space="preserve">" ilkesinin ihlali olduğu </w:t>
      </w:r>
      <w:r w:rsidR="006C1386" w:rsidRPr="001B614A">
        <w:rPr>
          <w:rFonts w:ascii="Palatino Linotype" w:hAnsi="Palatino Linotype" w:cs="Times New Roman"/>
          <w:b/>
          <w:sz w:val="21"/>
          <w:szCs w:val="21"/>
        </w:rPr>
        <w:t>AİHM'in 05/5/2026 tarihinde açıkladığı Yasak/Türkiye kararında</w:t>
      </w:r>
      <w:r w:rsidR="006C1386" w:rsidRPr="001B614A">
        <w:rPr>
          <w:rFonts w:ascii="Palatino Linotype" w:hAnsi="Palatino Linotype" w:cs="Times New Roman"/>
          <w:bCs/>
          <w:sz w:val="21"/>
          <w:szCs w:val="21"/>
        </w:rPr>
        <w:t xml:space="preserve"> </w:t>
      </w:r>
      <w:r w:rsidRPr="001B614A">
        <w:rPr>
          <w:rFonts w:ascii="Palatino Linotype" w:hAnsi="Palatino Linotype" w:cs="Times New Roman"/>
          <w:bCs/>
          <w:sz w:val="21"/>
          <w:szCs w:val="21"/>
        </w:rPr>
        <w:t>özellikle vurgulanmıştır. Eksik incelemeyle karar verilmesinin yanı sıra, isnat edilen suçlama ve delillerin aynı olduğu AİHM’in Yalçınkaya</w:t>
      </w:r>
      <w:r w:rsidR="004757E9" w:rsidRPr="001B614A">
        <w:rPr>
          <w:rFonts w:ascii="Palatino Linotype" w:hAnsi="Palatino Linotype" w:cs="Times New Roman"/>
          <w:bCs/>
          <w:sz w:val="21"/>
          <w:szCs w:val="21"/>
        </w:rPr>
        <w:t xml:space="preserve"> /Türkiye</w:t>
      </w:r>
      <w:r w:rsidRPr="001B614A">
        <w:rPr>
          <w:rFonts w:ascii="Palatino Linotype" w:hAnsi="Palatino Linotype" w:cs="Times New Roman"/>
          <w:bCs/>
          <w:sz w:val="21"/>
          <w:szCs w:val="21"/>
        </w:rPr>
        <w:t xml:space="preserve"> kararında da belirtildiği üzere, yargılama boyunca yapılan itirazlara tatmin edici hiçbir yanıt verilmemesi çelişmeli yargılama ve özellikle de silahların eşitliği ilkelerinin ve dolayısıyla </w:t>
      </w:r>
      <w:r w:rsidRPr="001B614A">
        <w:rPr>
          <w:rFonts w:ascii="Palatino Linotype" w:hAnsi="Palatino Linotype" w:cs="Times New Roman"/>
          <w:bCs/>
          <w:i/>
          <w:iCs/>
          <w:sz w:val="21"/>
          <w:szCs w:val="21"/>
        </w:rPr>
        <w:t>"adil yargılanma hakkının</w:t>
      </w:r>
      <w:r w:rsidRPr="001B614A">
        <w:rPr>
          <w:rFonts w:ascii="Palatino Linotype" w:hAnsi="Palatino Linotype" w:cs="Times New Roman"/>
          <w:bCs/>
          <w:sz w:val="21"/>
          <w:szCs w:val="21"/>
        </w:rPr>
        <w:t xml:space="preserve">” ihlali sebebidir. </w:t>
      </w:r>
    </w:p>
    <w:p w14:paraId="08FADD26" w14:textId="77777777" w:rsidR="003D1D6A" w:rsidRDefault="00B84193" w:rsidP="00C61BA4">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1B614A">
        <w:rPr>
          <w:rFonts w:ascii="Palatino Linotype" w:hAnsi="Palatino Linotype" w:cs="Times New Roman"/>
          <w:bCs/>
          <w:sz w:val="21"/>
          <w:szCs w:val="21"/>
        </w:rPr>
        <w:t>Karar düzeltme dilekçesinin dayanağını oluşturan Ya</w:t>
      </w:r>
      <w:r w:rsidR="004757E9" w:rsidRPr="001B614A">
        <w:rPr>
          <w:rFonts w:ascii="Palatino Linotype" w:hAnsi="Palatino Linotype" w:cs="Times New Roman"/>
          <w:bCs/>
          <w:sz w:val="21"/>
          <w:szCs w:val="21"/>
        </w:rPr>
        <w:t>sak</w:t>
      </w:r>
      <w:r w:rsidRPr="001B614A">
        <w:rPr>
          <w:rFonts w:ascii="Palatino Linotype" w:hAnsi="Palatino Linotype" w:cs="Times New Roman"/>
          <w:bCs/>
          <w:sz w:val="21"/>
          <w:szCs w:val="21"/>
        </w:rPr>
        <w:t>/Türkiye kararında AİHM’nin önemle vurguladığı ve ihlal tespit ettiği hususlara kısaca değinilmesinde fayda vardır.</w:t>
      </w:r>
    </w:p>
    <w:p w14:paraId="4330BF5C" w14:textId="77777777" w:rsidR="003D1D6A" w:rsidRPr="003D1D6A" w:rsidRDefault="003A6719" w:rsidP="003D1D6A">
      <w:pPr>
        <w:tabs>
          <w:tab w:val="left" w:pos="3870"/>
        </w:tabs>
        <w:spacing w:line="360" w:lineRule="auto"/>
        <w:ind w:right="-378"/>
        <w:jc w:val="both"/>
        <w:rPr>
          <w:rFonts w:ascii="Palatino Linotype" w:hAnsi="Palatino Linotype" w:cs="Times New Roman"/>
          <w:bCs/>
          <w:sz w:val="21"/>
          <w:szCs w:val="21"/>
        </w:rPr>
      </w:pPr>
      <w:r w:rsidRPr="003D1D6A">
        <w:rPr>
          <w:rFonts w:ascii="Palatino Linotype" w:hAnsi="Palatino Linotype" w:cs="Times New Roman"/>
          <w:b/>
          <w:sz w:val="21"/>
          <w:szCs w:val="21"/>
        </w:rPr>
        <w:t xml:space="preserve">II. </w:t>
      </w:r>
      <w:r w:rsidR="00F508CA" w:rsidRPr="003D1D6A">
        <w:rPr>
          <w:rFonts w:ascii="Palatino Linotype" w:hAnsi="Palatino Linotype" w:cs="Times New Roman"/>
          <w:b/>
          <w:sz w:val="21"/>
          <w:szCs w:val="21"/>
        </w:rPr>
        <w:t>Talebimize Konu Olay</w:t>
      </w:r>
      <w:r w:rsidR="00B84193" w:rsidRPr="003D1D6A">
        <w:rPr>
          <w:rFonts w:ascii="Palatino Linotype" w:hAnsi="Palatino Linotype" w:cs="Times New Roman"/>
          <w:b/>
          <w:sz w:val="21"/>
          <w:szCs w:val="21"/>
        </w:rPr>
        <w:t xml:space="preserve"> (Y</w:t>
      </w:r>
      <w:r w:rsidR="004757E9" w:rsidRPr="003D1D6A">
        <w:rPr>
          <w:rFonts w:ascii="Palatino Linotype" w:hAnsi="Palatino Linotype" w:cs="Times New Roman"/>
          <w:b/>
          <w:sz w:val="21"/>
          <w:szCs w:val="21"/>
        </w:rPr>
        <w:t>asak</w:t>
      </w:r>
      <w:r w:rsidR="00B84193" w:rsidRPr="003D1D6A">
        <w:rPr>
          <w:rFonts w:ascii="Palatino Linotype" w:hAnsi="Palatino Linotype" w:cs="Times New Roman"/>
          <w:b/>
          <w:sz w:val="21"/>
          <w:szCs w:val="21"/>
        </w:rPr>
        <w:t>/Türkiye Kararı)</w:t>
      </w:r>
    </w:p>
    <w:p w14:paraId="7EB73BDA" w14:textId="77777777" w:rsidR="003D1D6A" w:rsidRDefault="0000402A" w:rsidP="003D1D6A">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3D1D6A">
        <w:rPr>
          <w:rFonts w:ascii="Palatino Linotype" w:hAnsi="Palatino Linotype" w:cs="Times New Roman"/>
          <w:bCs/>
          <w:sz w:val="21"/>
          <w:szCs w:val="21"/>
        </w:rPr>
        <w:t xml:space="preserve">Avrupa İnsan Hakları Mahkemesi </w:t>
      </w:r>
      <w:r w:rsidR="004757E9" w:rsidRPr="003D1D6A">
        <w:rPr>
          <w:rFonts w:ascii="Palatino Linotype" w:hAnsi="Palatino Linotype" w:cs="Times New Roman"/>
          <w:bCs/>
          <w:sz w:val="21"/>
          <w:szCs w:val="21"/>
        </w:rPr>
        <w:t>05 Mayıs</w:t>
      </w:r>
      <w:r w:rsidRPr="003D1D6A">
        <w:rPr>
          <w:rFonts w:ascii="Palatino Linotype" w:hAnsi="Palatino Linotype" w:cs="Times New Roman"/>
          <w:bCs/>
          <w:sz w:val="21"/>
          <w:szCs w:val="21"/>
        </w:rPr>
        <w:t xml:space="preserve"> </w:t>
      </w:r>
      <w:r w:rsidR="004757E9" w:rsidRPr="003D1D6A">
        <w:rPr>
          <w:rFonts w:ascii="Palatino Linotype" w:hAnsi="Palatino Linotype" w:cs="Times New Roman"/>
          <w:bCs/>
          <w:sz w:val="21"/>
          <w:szCs w:val="21"/>
        </w:rPr>
        <w:t xml:space="preserve">2026 </w:t>
      </w:r>
      <w:r w:rsidRPr="003D1D6A">
        <w:rPr>
          <w:rFonts w:ascii="Palatino Linotype" w:hAnsi="Palatino Linotype" w:cs="Times New Roman"/>
          <w:bCs/>
          <w:sz w:val="21"/>
          <w:szCs w:val="21"/>
        </w:rPr>
        <w:t xml:space="preserve">tarihinde </w:t>
      </w:r>
      <w:r w:rsidR="004757E9" w:rsidRPr="003D1D6A">
        <w:rPr>
          <w:rFonts w:ascii="Palatino Linotype" w:hAnsi="Palatino Linotype" w:cs="Times New Roman"/>
          <w:bCs/>
          <w:sz w:val="21"/>
          <w:szCs w:val="21"/>
          <w:highlight w:val="yellow"/>
        </w:rPr>
        <w:t>müvekkille/</w:t>
      </w:r>
      <w:r w:rsidR="009C6702" w:rsidRPr="003D1D6A">
        <w:rPr>
          <w:rFonts w:ascii="Palatino Linotype" w:hAnsi="Palatino Linotype" w:cs="Times New Roman"/>
          <w:bCs/>
          <w:sz w:val="21"/>
          <w:szCs w:val="21"/>
          <w:highlight w:val="yellow"/>
        </w:rPr>
        <w:t>benimle</w:t>
      </w:r>
      <w:r w:rsidRPr="003D1D6A">
        <w:rPr>
          <w:rFonts w:ascii="Palatino Linotype" w:hAnsi="Palatino Linotype" w:cs="Times New Roman"/>
          <w:bCs/>
          <w:sz w:val="21"/>
          <w:szCs w:val="21"/>
        </w:rPr>
        <w:t xml:space="preserve"> </w:t>
      </w:r>
      <w:r w:rsidR="004757E9" w:rsidRPr="003D1D6A">
        <w:rPr>
          <w:rFonts w:ascii="Palatino Linotype" w:hAnsi="Palatino Linotype" w:cs="Times New Roman"/>
          <w:bCs/>
          <w:sz w:val="21"/>
          <w:szCs w:val="21"/>
        </w:rPr>
        <w:t xml:space="preserve">benzer </w:t>
      </w:r>
      <w:r w:rsidRPr="003D1D6A">
        <w:rPr>
          <w:rFonts w:ascii="Palatino Linotype" w:hAnsi="Palatino Linotype" w:cs="Times New Roman"/>
          <w:bCs/>
          <w:sz w:val="21"/>
          <w:szCs w:val="21"/>
          <w:highlight w:val="yellow"/>
        </w:rPr>
        <w:t>suçlamaya maruz kalmış</w:t>
      </w:r>
      <w:r w:rsidR="004757E9" w:rsidRPr="003D1D6A">
        <w:rPr>
          <w:rFonts w:ascii="Palatino Linotype" w:hAnsi="Palatino Linotype" w:cs="Times New Roman"/>
          <w:bCs/>
          <w:sz w:val="21"/>
          <w:szCs w:val="21"/>
          <w:highlight w:val="yellow"/>
        </w:rPr>
        <w:t>/</w:t>
      </w:r>
      <w:r w:rsidR="00681B83" w:rsidRPr="003D1D6A">
        <w:rPr>
          <w:rFonts w:ascii="Palatino Linotype" w:hAnsi="Palatino Linotype" w:cs="Times New Roman"/>
          <w:bCs/>
          <w:sz w:val="21"/>
          <w:szCs w:val="21"/>
          <w:highlight w:val="yellow"/>
        </w:rPr>
        <w:t xml:space="preserve">benzer </w:t>
      </w:r>
      <w:r w:rsidRPr="003D1D6A">
        <w:rPr>
          <w:rFonts w:ascii="Palatino Linotype" w:hAnsi="Palatino Linotype" w:cs="Times New Roman"/>
          <w:bCs/>
          <w:sz w:val="21"/>
          <w:szCs w:val="21"/>
          <w:highlight w:val="yellow"/>
        </w:rPr>
        <w:t>deliller</w:t>
      </w:r>
      <w:r w:rsidR="00681B83" w:rsidRPr="003D1D6A">
        <w:rPr>
          <w:rFonts w:ascii="Palatino Linotype" w:hAnsi="Palatino Linotype" w:cs="Times New Roman"/>
          <w:bCs/>
          <w:sz w:val="21"/>
          <w:szCs w:val="21"/>
          <w:highlight w:val="yellow"/>
        </w:rPr>
        <w:t>le</w:t>
      </w:r>
      <w:r w:rsidRPr="003D1D6A">
        <w:rPr>
          <w:rFonts w:ascii="Palatino Linotype" w:hAnsi="Palatino Linotype" w:cs="Times New Roman"/>
          <w:bCs/>
          <w:sz w:val="21"/>
          <w:szCs w:val="21"/>
          <w:highlight w:val="yellow"/>
        </w:rPr>
        <w:t xml:space="preserve"> </w:t>
      </w:r>
      <w:proofErr w:type="gramStart"/>
      <w:r w:rsidRPr="003D1D6A">
        <w:rPr>
          <w:rFonts w:ascii="Palatino Linotype" w:hAnsi="Palatino Linotype" w:cs="Times New Roman"/>
          <w:bCs/>
          <w:sz w:val="21"/>
          <w:szCs w:val="21"/>
          <w:highlight w:val="yellow"/>
        </w:rPr>
        <w:t>mahkum</w:t>
      </w:r>
      <w:proofErr w:type="gramEnd"/>
      <w:r w:rsidRPr="003D1D6A">
        <w:rPr>
          <w:rFonts w:ascii="Palatino Linotype" w:hAnsi="Palatino Linotype" w:cs="Times New Roman"/>
          <w:bCs/>
          <w:sz w:val="21"/>
          <w:szCs w:val="21"/>
        </w:rPr>
        <w:t xml:space="preserve"> olmuş ve hakkındaki karar kesinleşmiş olan </w:t>
      </w:r>
      <w:r w:rsidR="004757E9" w:rsidRPr="003D1D6A">
        <w:rPr>
          <w:rFonts w:ascii="Palatino Linotype" w:hAnsi="Palatino Linotype" w:cs="Times New Roman"/>
          <w:bCs/>
          <w:sz w:val="21"/>
          <w:szCs w:val="21"/>
        </w:rPr>
        <w:t>Şaban Yasak</w:t>
      </w:r>
      <w:r w:rsidRPr="003D1D6A">
        <w:rPr>
          <w:rFonts w:ascii="Palatino Linotype" w:hAnsi="Palatino Linotype" w:cs="Times New Roman"/>
          <w:bCs/>
          <w:sz w:val="21"/>
          <w:szCs w:val="21"/>
        </w:rPr>
        <w:t xml:space="preserve"> başvurusunda temel hak ihlali tespiti yapmıştır.</w:t>
      </w:r>
    </w:p>
    <w:p w14:paraId="7A5C2532" w14:textId="77777777" w:rsidR="003D1D6A" w:rsidRDefault="009C3F9F" w:rsidP="003D1D6A">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3D1D6A">
        <w:rPr>
          <w:rFonts w:ascii="Palatino Linotype" w:hAnsi="Palatino Linotype" w:cs="Times New Roman"/>
          <w:bCs/>
          <w:sz w:val="21"/>
          <w:szCs w:val="21"/>
        </w:rPr>
        <w:lastRenderedPageBreak/>
        <w:t>AİHM kararları</w:t>
      </w:r>
      <w:r w:rsidR="00074124" w:rsidRPr="003D1D6A">
        <w:rPr>
          <w:rFonts w:ascii="Palatino Linotype" w:hAnsi="Palatino Linotype" w:cs="Times New Roman"/>
          <w:bCs/>
          <w:sz w:val="21"/>
          <w:szCs w:val="21"/>
        </w:rPr>
        <w:t xml:space="preserve"> AİHS 46 ve AY 90. </w:t>
      </w:r>
      <w:r w:rsidR="00681B83" w:rsidRPr="003D1D6A">
        <w:rPr>
          <w:rFonts w:ascii="Palatino Linotype" w:hAnsi="Palatino Linotype" w:cs="Times New Roman"/>
          <w:bCs/>
          <w:sz w:val="21"/>
          <w:szCs w:val="21"/>
        </w:rPr>
        <w:t>m</w:t>
      </w:r>
      <w:r w:rsidR="00074124" w:rsidRPr="003D1D6A">
        <w:rPr>
          <w:rFonts w:ascii="Palatino Linotype" w:hAnsi="Palatino Linotype" w:cs="Times New Roman"/>
          <w:bCs/>
          <w:sz w:val="21"/>
          <w:szCs w:val="21"/>
        </w:rPr>
        <w:t>addeler uyarınca Türkiye açısından bağlayıcıdır. Bu hükümler gereğince AİHM kararları (Yalçınkaya</w:t>
      </w:r>
      <w:r w:rsidR="004757E9" w:rsidRPr="003D1D6A">
        <w:rPr>
          <w:rFonts w:ascii="Palatino Linotype" w:hAnsi="Palatino Linotype" w:cs="Times New Roman"/>
          <w:bCs/>
          <w:sz w:val="21"/>
          <w:szCs w:val="21"/>
        </w:rPr>
        <w:t xml:space="preserve"> ve Yasak</w:t>
      </w:r>
      <w:r w:rsidR="00074124" w:rsidRPr="003D1D6A">
        <w:rPr>
          <w:rFonts w:ascii="Palatino Linotype" w:hAnsi="Palatino Linotype" w:cs="Times New Roman"/>
          <w:bCs/>
          <w:sz w:val="21"/>
          <w:szCs w:val="21"/>
        </w:rPr>
        <w:t xml:space="preserve"> kararı gibi olanlar için) kesinleşen ve derdest olan tüm dosyalara uygulanması gerekmektedir.</w:t>
      </w:r>
    </w:p>
    <w:p w14:paraId="2D15CE13" w14:textId="35042069" w:rsidR="00C61BA4" w:rsidRPr="003D1D6A" w:rsidRDefault="009C6702" w:rsidP="003D1D6A">
      <w:pPr>
        <w:pStyle w:val="ListeParagraf"/>
        <w:numPr>
          <w:ilvl w:val="0"/>
          <w:numId w:val="2"/>
        </w:numPr>
        <w:tabs>
          <w:tab w:val="left" w:pos="3870"/>
        </w:tabs>
        <w:spacing w:line="360" w:lineRule="auto"/>
        <w:ind w:left="567" w:right="-378" w:hanging="567"/>
        <w:jc w:val="both"/>
        <w:rPr>
          <w:rFonts w:ascii="Palatino Linotype" w:hAnsi="Palatino Linotype" w:cs="Times New Roman"/>
          <w:bCs/>
          <w:sz w:val="21"/>
          <w:szCs w:val="21"/>
        </w:rPr>
      </w:pPr>
      <w:r w:rsidRPr="003D1D6A">
        <w:rPr>
          <w:rFonts w:ascii="Palatino Linotype" w:hAnsi="Palatino Linotype" w:cs="Times New Roman"/>
          <w:bCs/>
          <w:sz w:val="21"/>
          <w:szCs w:val="21"/>
          <w:highlight w:val="yellow"/>
        </w:rPr>
        <w:t>D</w:t>
      </w:r>
      <w:r w:rsidR="00D4338F" w:rsidRPr="003D1D6A">
        <w:rPr>
          <w:rFonts w:ascii="Palatino Linotype" w:hAnsi="Palatino Linotype" w:cs="Times New Roman"/>
          <w:bCs/>
          <w:sz w:val="21"/>
          <w:szCs w:val="21"/>
          <w:highlight w:val="yellow"/>
        </w:rPr>
        <w:t>urumu</w:t>
      </w:r>
      <w:r w:rsidRPr="003D1D6A">
        <w:rPr>
          <w:rFonts w:ascii="Palatino Linotype" w:hAnsi="Palatino Linotype" w:cs="Times New Roman"/>
          <w:bCs/>
          <w:sz w:val="21"/>
          <w:szCs w:val="21"/>
          <w:highlight w:val="yellow"/>
        </w:rPr>
        <w:t>m</w:t>
      </w:r>
      <w:r w:rsidR="00B84193" w:rsidRPr="003D1D6A">
        <w:rPr>
          <w:rFonts w:ascii="Palatino Linotype" w:hAnsi="Palatino Linotype" w:cs="Times New Roman"/>
          <w:bCs/>
          <w:sz w:val="21"/>
          <w:szCs w:val="21"/>
          <w:highlight w:val="yellow"/>
        </w:rPr>
        <w:t>/eşimin durumu/vasisi olduğum</w:t>
      </w:r>
      <w:proofErr w:type="gramStart"/>
      <w:r w:rsidR="00B84193" w:rsidRPr="003D1D6A">
        <w:rPr>
          <w:rFonts w:ascii="Palatino Linotype" w:hAnsi="Palatino Linotype" w:cs="Times New Roman"/>
          <w:bCs/>
          <w:sz w:val="21"/>
          <w:szCs w:val="21"/>
          <w:highlight w:val="yellow"/>
        </w:rPr>
        <w:t xml:space="preserve"> ….</w:t>
      </w:r>
      <w:proofErr w:type="gramEnd"/>
      <w:r w:rsidR="00B84193" w:rsidRPr="003D1D6A">
        <w:rPr>
          <w:rFonts w:ascii="Palatino Linotype" w:hAnsi="Palatino Linotype" w:cs="Times New Roman"/>
          <w:bCs/>
          <w:sz w:val="21"/>
          <w:szCs w:val="21"/>
          <w:highlight w:val="yellow"/>
        </w:rPr>
        <w:t>’</w:t>
      </w:r>
      <w:proofErr w:type="spellStart"/>
      <w:r w:rsidR="00B84193" w:rsidRPr="003D1D6A">
        <w:rPr>
          <w:rFonts w:ascii="Palatino Linotype" w:hAnsi="Palatino Linotype" w:cs="Times New Roman"/>
          <w:bCs/>
          <w:sz w:val="21"/>
          <w:szCs w:val="21"/>
          <w:highlight w:val="yellow"/>
        </w:rPr>
        <w:t>ın</w:t>
      </w:r>
      <w:proofErr w:type="spellEnd"/>
      <w:r w:rsidR="00B84193" w:rsidRPr="003D1D6A">
        <w:rPr>
          <w:rFonts w:ascii="Palatino Linotype" w:hAnsi="Palatino Linotype" w:cs="Times New Roman"/>
          <w:bCs/>
          <w:sz w:val="21"/>
          <w:szCs w:val="21"/>
          <w:highlight w:val="yellow"/>
        </w:rPr>
        <w:t xml:space="preserve"> durumu</w:t>
      </w:r>
      <w:r w:rsidR="00D4338F" w:rsidRPr="003D1D6A">
        <w:rPr>
          <w:rFonts w:ascii="Palatino Linotype" w:hAnsi="Palatino Linotype" w:cs="Times New Roman"/>
          <w:bCs/>
          <w:sz w:val="21"/>
          <w:szCs w:val="21"/>
        </w:rPr>
        <w:t xml:space="preserve"> AİHM kararına konu olan suçlama ile </w:t>
      </w:r>
      <w:r w:rsidR="00B84193" w:rsidRPr="003D1D6A">
        <w:rPr>
          <w:rFonts w:ascii="Palatino Linotype" w:hAnsi="Palatino Linotype" w:cs="Times New Roman"/>
          <w:bCs/>
          <w:sz w:val="21"/>
          <w:szCs w:val="21"/>
        </w:rPr>
        <w:t>birebir</w:t>
      </w:r>
      <w:r w:rsidR="00D4338F" w:rsidRPr="003D1D6A">
        <w:rPr>
          <w:rFonts w:ascii="Palatino Linotype" w:hAnsi="Palatino Linotype" w:cs="Times New Roman"/>
          <w:bCs/>
          <w:sz w:val="21"/>
          <w:szCs w:val="21"/>
        </w:rPr>
        <w:t xml:space="preserve"> örtüşmektedir. </w:t>
      </w:r>
      <w:r w:rsidRPr="003D1D6A">
        <w:rPr>
          <w:rFonts w:ascii="Palatino Linotype" w:hAnsi="Palatino Linotype" w:cs="Times New Roman"/>
          <w:bCs/>
          <w:sz w:val="21"/>
          <w:szCs w:val="21"/>
          <w:highlight w:val="yellow"/>
        </w:rPr>
        <w:t>Ben de</w:t>
      </w:r>
      <w:r w:rsidR="00B84193" w:rsidRPr="003D1D6A">
        <w:rPr>
          <w:rFonts w:ascii="Palatino Linotype" w:hAnsi="Palatino Linotype" w:cs="Times New Roman"/>
          <w:bCs/>
          <w:sz w:val="21"/>
          <w:szCs w:val="21"/>
          <w:highlight w:val="yellow"/>
        </w:rPr>
        <w:t xml:space="preserve">/eşim de/vasisi olduğum … </w:t>
      </w:r>
      <w:proofErr w:type="gramStart"/>
      <w:r w:rsidR="00B84193" w:rsidRPr="003D1D6A">
        <w:rPr>
          <w:rFonts w:ascii="Palatino Linotype" w:hAnsi="Palatino Linotype" w:cs="Times New Roman"/>
          <w:bCs/>
          <w:sz w:val="21"/>
          <w:szCs w:val="21"/>
          <w:highlight w:val="yellow"/>
        </w:rPr>
        <w:t>da</w:t>
      </w:r>
      <w:r w:rsidR="00D4338F" w:rsidRPr="003D1D6A">
        <w:rPr>
          <w:rFonts w:ascii="Palatino Linotype" w:hAnsi="Palatino Linotype" w:cs="Times New Roman"/>
          <w:bCs/>
          <w:sz w:val="21"/>
          <w:szCs w:val="21"/>
          <w:highlight w:val="yellow"/>
        </w:rPr>
        <w:t>,</w:t>
      </w:r>
      <w:proofErr w:type="gramEnd"/>
      <w:r w:rsidR="00D4338F" w:rsidRPr="003D1D6A">
        <w:rPr>
          <w:rFonts w:ascii="Palatino Linotype" w:hAnsi="Palatino Linotype" w:cs="Times New Roman"/>
          <w:bCs/>
          <w:sz w:val="21"/>
          <w:szCs w:val="21"/>
        </w:rPr>
        <w:t xml:space="preserve"> AİHM’in kastettiği sistemik sorunun bir </w:t>
      </w:r>
      <w:r w:rsidR="00D4338F" w:rsidRPr="003D1D6A">
        <w:rPr>
          <w:rFonts w:ascii="Palatino Linotype" w:hAnsi="Palatino Linotype" w:cs="Times New Roman"/>
          <w:bCs/>
          <w:sz w:val="21"/>
          <w:szCs w:val="21"/>
          <w:highlight w:val="yellow"/>
        </w:rPr>
        <w:t>parçası</w:t>
      </w:r>
      <w:r w:rsidRPr="003D1D6A">
        <w:rPr>
          <w:rFonts w:ascii="Palatino Linotype" w:hAnsi="Palatino Linotype" w:cs="Times New Roman"/>
          <w:bCs/>
          <w:sz w:val="21"/>
          <w:szCs w:val="21"/>
          <w:highlight w:val="yellow"/>
        </w:rPr>
        <w:t>yım</w:t>
      </w:r>
      <w:r w:rsidR="00B84193" w:rsidRPr="003D1D6A">
        <w:rPr>
          <w:rFonts w:ascii="Palatino Linotype" w:hAnsi="Palatino Linotype" w:cs="Times New Roman"/>
          <w:bCs/>
          <w:sz w:val="21"/>
          <w:szCs w:val="21"/>
          <w:highlight w:val="yellow"/>
        </w:rPr>
        <w:t>/parçasıdır</w:t>
      </w:r>
      <w:r w:rsidR="00D4338F" w:rsidRPr="003D1D6A">
        <w:rPr>
          <w:rFonts w:ascii="Palatino Linotype" w:hAnsi="Palatino Linotype" w:cs="Times New Roman"/>
          <w:bCs/>
          <w:sz w:val="21"/>
          <w:szCs w:val="21"/>
          <w:highlight w:val="yellow"/>
        </w:rPr>
        <w:t>.</w:t>
      </w:r>
      <w:r w:rsidR="00D4338F" w:rsidRPr="003D1D6A">
        <w:rPr>
          <w:rFonts w:ascii="Palatino Linotype" w:hAnsi="Palatino Linotype" w:cs="Times New Roman"/>
          <w:bCs/>
          <w:sz w:val="21"/>
          <w:szCs w:val="21"/>
        </w:rPr>
        <w:t xml:space="preserve"> AİHM, verdiği kararının benzer </w:t>
      </w:r>
      <w:r w:rsidR="004E3A16" w:rsidRPr="003D1D6A">
        <w:rPr>
          <w:rFonts w:ascii="Palatino Linotype" w:hAnsi="Palatino Linotype" w:cs="Times New Roman"/>
          <w:bCs/>
          <w:sz w:val="21"/>
          <w:szCs w:val="21"/>
        </w:rPr>
        <w:t xml:space="preserve">derdest </w:t>
      </w:r>
      <w:r w:rsidR="00D4338F" w:rsidRPr="003D1D6A">
        <w:rPr>
          <w:rFonts w:ascii="Palatino Linotype" w:hAnsi="Palatino Linotype" w:cs="Times New Roman"/>
          <w:bCs/>
          <w:sz w:val="21"/>
          <w:szCs w:val="21"/>
        </w:rPr>
        <w:t>dosyalara</w:t>
      </w:r>
      <w:r w:rsidR="004E3A16" w:rsidRPr="003D1D6A">
        <w:rPr>
          <w:rFonts w:ascii="Palatino Linotype" w:hAnsi="Palatino Linotype" w:cs="Times New Roman"/>
          <w:bCs/>
          <w:sz w:val="21"/>
          <w:szCs w:val="21"/>
        </w:rPr>
        <w:t xml:space="preserve"> ve</w:t>
      </w:r>
      <w:r w:rsidR="00D4338F" w:rsidRPr="003D1D6A">
        <w:rPr>
          <w:rFonts w:ascii="Palatino Linotype" w:hAnsi="Palatino Linotype" w:cs="Times New Roman"/>
          <w:bCs/>
          <w:sz w:val="21"/>
          <w:szCs w:val="21"/>
        </w:rPr>
        <w:t xml:space="preserve"> kesinleşen kararlara da uygulanmasını ve </w:t>
      </w:r>
      <w:r w:rsidR="004E3A16" w:rsidRPr="003D1D6A">
        <w:rPr>
          <w:rFonts w:ascii="Palatino Linotype" w:hAnsi="Palatino Linotype" w:cs="Times New Roman"/>
          <w:bCs/>
          <w:sz w:val="21"/>
          <w:szCs w:val="21"/>
        </w:rPr>
        <w:t>sistemik problemleri</w:t>
      </w:r>
      <w:r w:rsidR="00F508CA" w:rsidRPr="003D1D6A">
        <w:rPr>
          <w:rFonts w:ascii="Palatino Linotype" w:hAnsi="Palatino Linotype" w:cs="Times New Roman"/>
          <w:bCs/>
          <w:sz w:val="21"/>
          <w:szCs w:val="21"/>
        </w:rPr>
        <w:t>n</w:t>
      </w:r>
      <w:r w:rsidR="004E3A16" w:rsidRPr="003D1D6A">
        <w:rPr>
          <w:rFonts w:ascii="Palatino Linotype" w:hAnsi="Palatino Linotype" w:cs="Times New Roman"/>
          <w:bCs/>
          <w:sz w:val="21"/>
          <w:szCs w:val="21"/>
        </w:rPr>
        <w:t xml:space="preserve"> giderilmesini</w:t>
      </w:r>
      <w:r w:rsidR="00D4338F" w:rsidRPr="003D1D6A">
        <w:rPr>
          <w:rFonts w:ascii="Palatino Linotype" w:hAnsi="Palatino Linotype" w:cs="Times New Roman"/>
          <w:bCs/>
          <w:sz w:val="21"/>
          <w:szCs w:val="21"/>
        </w:rPr>
        <w:t xml:space="preserve"> istemiştir. </w:t>
      </w:r>
      <w:r w:rsidR="00CD76E1" w:rsidRPr="003D1D6A">
        <w:rPr>
          <w:rFonts w:ascii="Palatino Linotype" w:hAnsi="Palatino Linotype" w:cs="Times New Roman"/>
          <w:bCs/>
          <w:sz w:val="21"/>
          <w:szCs w:val="21"/>
        </w:rPr>
        <w:t xml:space="preserve">Bu nedenle </w:t>
      </w:r>
      <w:r w:rsidR="00B84193" w:rsidRPr="003D1D6A">
        <w:rPr>
          <w:rFonts w:ascii="Palatino Linotype" w:hAnsi="Palatino Linotype" w:cs="Times New Roman"/>
          <w:bCs/>
          <w:sz w:val="21"/>
          <w:szCs w:val="21"/>
        </w:rPr>
        <w:t>talebimizin kabulüne karar verilmesi</w:t>
      </w:r>
      <w:r w:rsidR="004E3A16" w:rsidRPr="003D1D6A">
        <w:rPr>
          <w:rFonts w:ascii="Palatino Linotype" w:hAnsi="Palatino Linotype" w:cs="Times New Roman"/>
          <w:bCs/>
          <w:sz w:val="21"/>
          <w:szCs w:val="21"/>
        </w:rPr>
        <w:t xml:space="preserve"> </w:t>
      </w:r>
      <w:r w:rsidR="00CD76E1" w:rsidRPr="003D1D6A">
        <w:rPr>
          <w:rFonts w:ascii="Palatino Linotype" w:hAnsi="Palatino Linotype" w:cs="Times New Roman"/>
          <w:bCs/>
          <w:sz w:val="21"/>
          <w:szCs w:val="21"/>
        </w:rPr>
        <w:t>Anayasanın ve Sözleşme hukukunun üstünlüğünün gereğidir.</w:t>
      </w:r>
      <w:r w:rsidR="00D4338F" w:rsidRPr="003D1D6A">
        <w:rPr>
          <w:rFonts w:ascii="Palatino Linotype" w:hAnsi="Palatino Linotype" w:cs="Times New Roman"/>
          <w:bCs/>
          <w:sz w:val="21"/>
          <w:szCs w:val="21"/>
        </w:rPr>
        <w:t xml:space="preserve"> </w:t>
      </w:r>
    </w:p>
    <w:p w14:paraId="4C6E8A9B" w14:textId="4C1C83ED" w:rsidR="00BA1DEA" w:rsidRPr="001B614A" w:rsidRDefault="003B61D4" w:rsidP="003B61D4">
      <w:pPr>
        <w:tabs>
          <w:tab w:val="left" w:pos="3870"/>
        </w:tabs>
        <w:spacing w:line="360" w:lineRule="auto"/>
        <w:ind w:right="-378"/>
        <w:jc w:val="both"/>
        <w:rPr>
          <w:rFonts w:ascii="Palatino Linotype" w:hAnsi="Palatino Linotype" w:cs="Times New Roman"/>
          <w:bCs/>
          <w:sz w:val="21"/>
          <w:szCs w:val="21"/>
        </w:rPr>
      </w:pPr>
      <w:r>
        <w:rPr>
          <w:rFonts w:ascii="Palatino Linotype" w:hAnsi="Palatino Linotype" w:cs="Times New Roman"/>
          <w:b/>
          <w:sz w:val="21"/>
          <w:szCs w:val="21"/>
          <w:lang w:val="tr"/>
        </w:rPr>
        <w:t xml:space="preserve">III. </w:t>
      </w:r>
      <w:r w:rsidR="00BA1DEA" w:rsidRPr="001B614A">
        <w:rPr>
          <w:rFonts w:ascii="Palatino Linotype" w:hAnsi="Palatino Linotype" w:cs="Times New Roman"/>
          <w:b/>
          <w:sz w:val="21"/>
          <w:szCs w:val="21"/>
          <w:lang w:val="tr"/>
        </w:rPr>
        <w:t xml:space="preserve">AİHM’in Yasak / Türkiye Davasının Süreci </w:t>
      </w:r>
      <w:r w:rsidR="00BA1DEA" w:rsidRPr="001B614A">
        <w:rPr>
          <w:rFonts w:ascii="Palatino Linotype" w:hAnsi="Palatino Linotype" w:cs="Times New Roman"/>
          <w:i/>
          <w:sz w:val="21"/>
          <w:szCs w:val="21"/>
          <w:lang w:val="tr"/>
        </w:rPr>
        <w:t xml:space="preserve">(Büyük </w:t>
      </w:r>
      <w:proofErr w:type="gramStart"/>
      <w:r w:rsidR="00BA1DEA" w:rsidRPr="001B614A">
        <w:rPr>
          <w:rFonts w:ascii="Palatino Linotype" w:hAnsi="Palatino Linotype" w:cs="Times New Roman"/>
          <w:i/>
          <w:sz w:val="21"/>
          <w:szCs w:val="21"/>
          <w:lang w:val="tr"/>
        </w:rPr>
        <w:t>Daire -</w:t>
      </w:r>
      <w:proofErr w:type="gramEnd"/>
      <w:r w:rsidR="00BA1DEA" w:rsidRPr="001B614A">
        <w:rPr>
          <w:rFonts w:ascii="Palatino Linotype" w:hAnsi="Palatino Linotype" w:cs="Times New Roman"/>
          <w:i/>
          <w:sz w:val="21"/>
          <w:szCs w:val="21"/>
          <w:lang w:val="tr"/>
        </w:rPr>
        <w:t xml:space="preserve"> Başvuru No.17389/20; 5 Eylül 2026)</w:t>
      </w:r>
    </w:p>
    <w:p w14:paraId="47C84A87" w14:textId="0DF48900"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highlight w:val="yellow"/>
        </w:rPr>
        <w:t>Müvekkil hakkında/</w:t>
      </w:r>
      <w:r w:rsidRPr="00256E5E">
        <w:rPr>
          <w:rFonts w:ascii="Palatino Linotype" w:hAnsi="Palatino Linotype"/>
          <w:color w:val="000000"/>
          <w:sz w:val="21"/>
          <w:szCs w:val="21"/>
          <w:highlight w:val="yellow"/>
        </w:rPr>
        <w:t>hakkımda</w:t>
      </w:r>
      <w:r w:rsidR="00256E5E" w:rsidRPr="00256E5E">
        <w:rPr>
          <w:rFonts w:ascii="Palatino Linotype" w:hAnsi="Palatino Linotype"/>
          <w:color w:val="000000"/>
          <w:sz w:val="21"/>
          <w:szCs w:val="21"/>
          <w:highlight w:val="yellow"/>
        </w:rPr>
        <w:t>/eşim hakkında/vasisi olduğum… hakkında</w:t>
      </w:r>
      <w:r w:rsidRPr="001B614A">
        <w:rPr>
          <w:rFonts w:ascii="Palatino Linotype" w:hAnsi="Palatino Linotype"/>
          <w:color w:val="000000"/>
          <w:sz w:val="21"/>
          <w:szCs w:val="21"/>
        </w:rPr>
        <w:t xml:space="preserve"> "silahlı terör örgütü üyeliği" (TCK </w:t>
      </w:r>
      <w:proofErr w:type="spellStart"/>
      <w:r w:rsidRPr="001B614A">
        <w:rPr>
          <w:rFonts w:ascii="Palatino Linotype" w:hAnsi="Palatino Linotype"/>
          <w:color w:val="000000"/>
          <w:sz w:val="21"/>
          <w:szCs w:val="21"/>
        </w:rPr>
        <w:t>md.</w:t>
      </w:r>
      <w:proofErr w:type="spellEnd"/>
      <w:r w:rsidRPr="001B614A">
        <w:rPr>
          <w:rFonts w:ascii="Palatino Linotype" w:hAnsi="Palatino Linotype"/>
          <w:color w:val="000000"/>
          <w:sz w:val="21"/>
          <w:szCs w:val="21"/>
        </w:rPr>
        <w:t xml:space="preserve"> 314/2) suçlamasıyla verilen mahkumiyete gerekçe yapılan hususlar, esasen 15 Temmuz 2016 tarihi öncesinde gerçekleştirildiği iddia edilen ve o dönem itibarıyla tamamen yasal olan veya yasal bir görünüm arz eden, devletin denetimi altındaki rutin faaliyetlere dayanmaktadır. AİHM Büyük Dairesi'nin 5 Mayıs 2026 tarihinde verdiği</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 v. Türkiye</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bu nitelikteki dosyalarda cezai sorumluluğun tespiti için gerekli olan "manevi unsur" (</w:t>
      </w:r>
      <w:proofErr w:type="spellStart"/>
      <w:r w:rsidRPr="001B614A">
        <w:rPr>
          <w:rFonts w:ascii="Palatino Linotype" w:hAnsi="Palatino Linotype"/>
          <w:color w:val="000000"/>
          <w:sz w:val="21"/>
          <w:szCs w:val="21"/>
        </w:rPr>
        <w:t>mens</w:t>
      </w:r>
      <w:proofErr w:type="spellEnd"/>
      <w:r w:rsidRPr="001B614A">
        <w:rPr>
          <w:rFonts w:ascii="Palatino Linotype" w:hAnsi="Palatino Linotype"/>
          <w:color w:val="000000"/>
          <w:sz w:val="21"/>
          <w:szCs w:val="21"/>
        </w:rPr>
        <w:t xml:space="preserve"> </w:t>
      </w:r>
      <w:proofErr w:type="spellStart"/>
      <w:r w:rsidRPr="001B614A">
        <w:rPr>
          <w:rFonts w:ascii="Palatino Linotype" w:hAnsi="Palatino Linotype"/>
          <w:color w:val="000000"/>
          <w:sz w:val="21"/>
          <w:szCs w:val="21"/>
        </w:rPr>
        <w:t>rea</w:t>
      </w:r>
      <w:proofErr w:type="spellEnd"/>
      <w:r w:rsidRPr="001B614A">
        <w:rPr>
          <w:rFonts w:ascii="Palatino Linotype" w:hAnsi="Palatino Linotype"/>
          <w:color w:val="000000"/>
          <w:sz w:val="21"/>
          <w:szCs w:val="21"/>
        </w:rPr>
        <w:t xml:space="preserve">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w:t>
      </w:r>
      <w:r w:rsidR="004C28E6">
        <w:rPr>
          <w:rFonts w:ascii="Palatino Linotype" w:hAnsi="Palatino Linotype"/>
          <w:color w:val="000000"/>
          <w:sz w:val="21"/>
          <w:szCs w:val="21"/>
        </w:rPr>
        <w:t xml:space="preserve">Başvuruya konu dosyada </w:t>
      </w:r>
      <w:proofErr w:type="gramStart"/>
      <w:r w:rsidR="004C28E6">
        <w:rPr>
          <w:rFonts w:ascii="Palatino Linotype" w:hAnsi="Palatino Linotype"/>
          <w:color w:val="000000"/>
          <w:sz w:val="21"/>
          <w:szCs w:val="21"/>
        </w:rPr>
        <w:t>da</w:t>
      </w:r>
      <w:r w:rsidRPr="001B614A">
        <w:rPr>
          <w:rFonts w:ascii="Palatino Linotype" w:hAnsi="Palatino Linotype"/>
          <w:color w:val="000000"/>
          <w:sz w:val="21"/>
          <w:szCs w:val="21"/>
        </w:rPr>
        <w:t>,</w:t>
      </w:r>
      <w:proofErr w:type="gramEnd"/>
      <w:r w:rsidRPr="001B614A">
        <w:rPr>
          <w:rFonts w:ascii="Palatino Linotype" w:hAnsi="Palatino Linotype"/>
          <w:color w:val="000000"/>
          <w:sz w:val="21"/>
          <w:szCs w:val="21"/>
        </w:rPr>
        <w:t xml:space="preserve"> atılı suçun maddi ve manevi unsurlarının oluşmadığı, bilhassa bu emsal karar ışığında tartışmasız biçimde ortaya çıkmıştır.</w:t>
      </w:r>
    </w:p>
    <w:p w14:paraId="69DFFE4C"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 Büyük Dairesi,</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kararında hem maddi hem de manevi unsurların somut bir biçimde incelenmeksizin ihlal kararı verilen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kararından farklı ve daha spesifik bir inceleme yapmıştır.</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kararında salt ByLock kullanımından otomatik mahkûmiyet verilmesi ihlal sebebi sayılmışken,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dosyasında çok daha geniş bir delil yelpazesi temelinde aynı suçtan mahkûmiyet kurulmuş olmasına rağmen, konunun yine</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Fonts w:ascii="Palatino Linotype" w:hAnsi="Palatino Linotype"/>
          <w:color w:val="000000"/>
          <w:sz w:val="21"/>
          <w:szCs w:val="21"/>
        </w:rPr>
        <w:t>’daki aynı yapısal sorunu gündeme getirdiği belirtilmiştir (§§ 201-202). AİHM, bu kararda ulusal mahkemelerin suçun maddi ve manevi unsurlarını bireyselleştirme yaparak ortaya koyup koymadıklarını inceleyeceğini belirtmiş ve devamında manevi unsur (kasıt) yokluğu bakımından çok kapsamlı bir değerlendirme yaparak ihlal olduğu sonucuna varmıştır (§§ 200-201). Bu durum, eylemleri ne denli çeşitli olursa olsun, kastın yokluğu halinde suçun oluşmayacağının en net göstergesidir.</w:t>
      </w:r>
    </w:p>
    <w:p w14:paraId="512BA0F8"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Mahkeme, söz konusu kararda eylemlerin zamansal yönü (15 Temmuz öncesi olması) ve türü (örneğin eğitim alanında veya yasal zeminde olması) bakımından manevi unsurun titizlikle </w:t>
      </w:r>
      <w:r w:rsidRPr="001B614A">
        <w:rPr>
          <w:rFonts w:ascii="Palatino Linotype" w:hAnsi="Palatino Linotype"/>
          <w:color w:val="000000"/>
          <w:sz w:val="21"/>
          <w:szCs w:val="21"/>
        </w:rPr>
        <w:lastRenderedPageBreak/>
        <w:t>değerlendirilmesini özellikle önemsemiş ve bu unsurun değerlendirmesinin somut delillerle yapılmamış olmasını doğrudan 7. maddenin ihlaline dayanak yapmıştır. Kararda kolektif suçluluk ya da suç ortaklığı (aidiyet/iltisak temelli cezalandırma) yaklaşımı açıkça ve 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14:paraId="11CB317F"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Kararda bilhassa vurgulanan bir diğer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bir ön koşuludur. Yargıtay tarafından geliştirilen kasıt içtihadı 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w:t>
      </w:r>
      <w:proofErr w:type="gramStart"/>
      <w:r w:rsidRPr="001B614A">
        <w:rPr>
          <w:rFonts w:ascii="Palatino Linotype" w:hAnsi="Palatino Linotype"/>
          <w:color w:val="000000"/>
          <w:sz w:val="21"/>
          <w:szCs w:val="21"/>
        </w:rPr>
        <w:t>yegane</w:t>
      </w:r>
      <w:proofErr w:type="gramEnd"/>
      <w:r w:rsidRPr="001B614A">
        <w:rPr>
          <w:rFonts w:ascii="Palatino Linotype" w:hAnsi="Palatino Linotype"/>
          <w:color w:val="000000"/>
          <w:sz w:val="21"/>
          <w:szCs w:val="21"/>
        </w:rPr>
        <w:t xml:space="preserve"> husus budur (§ 203). Yani Mahkeme, salt yapı üyeliğinin değil, ancak amaçları ve şiddet içeren yöntemlerinden haberdar olunduğu kanıtlanabilen kişilerin terör örgütü üyesi olarak cezalandırılabileceğini belirtmektedir.</w:t>
      </w:r>
    </w:p>
    <w:p w14:paraId="3B36A217"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14:paraId="39F514BD"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Büyük Daire, kararında çok önemli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2016 sonrası terör örgütü olarak tanındığı gerçeği karşısında AİHM, ulusal makamların ve mahkemelerin, başvuranın söz konusu yapı içinde bulunmasının </w:t>
      </w:r>
      <w:r w:rsidRPr="001B614A">
        <w:rPr>
          <w:rFonts w:ascii="Palatino Linotype" w:hAnsi="Palatino Linotype"/>
          <w:color w:val="000000"/>
          <w:sz w:val="21"/>
          <w:szCs w:val="21"/>
        </w:rPr>
        <w:lastRenderedPageBreak/>
        <w:t>"masum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14:paraId="0A295BF9"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Mahkeme, kişilerin 17/25 Aralık sürecinden sonra da bağlarını sürdürmesini ulusal mahkemelerin bir faktör olarak ele almasını ikincillik ilkesi gereği ulusal takdir marjında görse </w:t>
      </w:r>
      <w:proofErr w:type="gramStart"/>
      <w:r w:rsidRPr="001B614A">
        <w:rPr>
          <w:rFonts w:ascii="Palatino Linotype" w:hAnsi="Palatino Linotype"/>
          <w:color w:val="000000"/>
          <w:sz w:val="21"/>
          <w:szCs w:val="21"/>
        </w:rPr>
        <w:t>de,</w:t>
      </w:r>
      <w:proofErr w:type="gramEnd"/>
      <w:r w:rsidRPr="001B614A">
        <w:rPr>
          <w:rFonts w:ascii="Palatino Linotype" w:hAnsi="Palatino Linotype"/>
          <w:color w:val="000000"/>
          <w:sz w:val="21"/>
          <w:szCs w:val="21"/>
        </w:rPr>
        <w:t xml:space="preserv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uygun eylemlerdir ve bu eylemlerin sırf belirli bir tarihten sonra yapıldığı varsayımıyla terör kastına yorulması </w:t>
      </w:r>
      <w:proofErr w:type="spellStart"/>
      <w:r w:rsidRPr="001B614A">
        <w:rPr>
          <w:rFonts w:ascii="Palatino Linotype" w:hAnsi="Palatino Linotype"/>
          <w:color w:val="000000"/>
          <w:sz w:val="21"/>
          <w:szCs w:val="21"/>
        </w:rPr>
        <w:t>AİHS’e</w:t>
      </w:r>
      <w:proofErr w:type="spellEnd"/>
      <w:r w:rsidRPr="001B614A">
        <w:rPr>
          <w:rFonts w:ascii="Palatino Linotype" w:hAnsi="Palatino Linotype"/>
          <w:color w:val="000000"/>
          <w:sz w:val="21"/>
          <w:szCs w:val="21"/>
        </w:rPr>
        <w:t xml:space="preserve"> açıkça aykırıdır.</w:t>
      </w:r>
    </w:p>
    <w:p w14:paraId="6FBA139B"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Mahkeme, suç veya terör örgütlerine üyelikle ilgili davalarda kişinin belirli bir süre devam eden davranışlarının bir bütün olarak değerlendirilip kasıt çıkarımı yapılmasını teorik olarak kabul edilebilir bulsa da bunun mutlak surette 7. maddeye uygun yapılması 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14:paraId="508F0B55"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14:paraId="1AB2969F"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AİHM, yargılama makamlarının "kişinin bir görev üstlendiği veya şiddet kullanımını öngörebilecek durumda olduğu" şeklindeki niyet okuyucu yaklaşımını açıkça ve kesin bir dille reddetmiştir. Mahkeme burada çok temel bir ilke ortaya koymuştur: </w:t>
      </w:r>
      <w:r w:rsidRPr="001B614A">
        <w:rPr>
          <w:rFonts w:ascii="Palatino Linotype" w:hAnsi="Palatino Linotype"/>
          <w:b/>
          <w:bCs/>
          <w:color w:val="000000"/>
          <w:sz w:val="21"/>
          <w:szCs w:val="21"/>
        </w:rPr>
        <w:t xml:space="preserve">Ulusal mahkemelerin, kişinin örgütün merkezi veya stratejik bileşenleri arasında fiili bir bağlantısı olduğunu ileri </w:t>
      </w:r>
      <w:r w:rsidRPr="001B614A">
        <w:rPr>
          <w:rFonts w:ascii="Palatino Linotype" w:hAnsi="Palatino Linotype"/>
          <w:b/>
          <w:bCs/>
          <w:color w:val="000000"/>
          <w:sz w:val="21"/>
          <w:szCs w:val="21"/>
        </w:rPr>
        <w:lastRenderedPageBreak/>
        <w:t>sürmeleri veya ortaya koymaları dahi cezalandırma için yeterli değildir.</w:t>
      </w:r>
      <w:r w:rsidRPr="001B614A">
        <w:rPr>
          <w:rFonts w:ascii="Palatino Linotype" w:hAnsi="Palatino Linotype"/>
          <w:color w:val="000000"/>
          <w:sz w:val="21"/>
          <w:szCs w:val="21"/>
        </w:rPr>
        <w:t xml:space="preserve"> Aynı zamanda bu bağlantının niteliğini ortaya koymalı; </w:t>
      </w:r>
      <w:r w:rsidRPr="001B614A">
        <w:rPr>
          <w:rFonts w:ascii="Palatino Linotype" w:hAnsi="Palatino Linotype"/>
          <w:b/>
          <w:bCs/>
          <w:color w:val="000000"/>
          <w:sz w:val="21"/>
          <w:szCs w:val="21"/>
        </w:rPr>
        <w:t>tespit edilen bu niteliğin ise kişinin kasta sahip olduğunun (şiddet amacını bildiğinin ve benimsediğ</w:t>
      </w:r>
      <w:r w:rsidRPr="001B614A">
        <w:rPr>
          <w:rFonts w:ascii="Palatino Linotype" w:hAnsi="Palatino Linotype"/>
          <w:color w:val="000000"/>
          <w:sz w:val="21"/>
          <w:szCs w:val="21"/>
        </w:rPr>
        <w:t>inin) meşru bir biçimde çıkarılmasını sağlayacak ağırlıkta olup olmadığını tespit etmeleri gerekir. Yani kişinin eyleminin bir "terörist projeye" katılma kastı ve bilinciyle olduğu şüpheye mahal bırakmayacak şekilde ispatlanmalıdır.</w:t>
      </w:r>
    </w:p>
    <w:p w14:paraId="504903F7"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AİHM, kararının 209. paragrafında sadece yerel mahkemelerin eksikliğini göstermekle yetinmemiş, ne yapılması gerektiğini de pozitif bir hukuk kuralı olarak tarif etmiştir. Büyük Daire, makamların bu bileşenlerle yalnızca bir bağlantının varlığını değil, </w:t>
      </w:r>
      <w:r w:rsidRPr="001B614A">
        <w:rPr>
          <w:rFonts w:ascii="Palatino Linotype" w:hAnsi="Palatino Linotype"/>
          <w:b/>
          <w:bCs/>
          <w:color w:val="000000"/>
          <w:sz w:val="21"/>
          <w:szCs w:val="21"/>
        </w:rPr>
        <w:t>bu bağlantının somut içeriğini ve suç kastını ortaya koyup koymadığını araştırması gerektiğini açıkça emretmektedir.</w:t>
      </w:r>
      <w:r w:rsidRPr="001B614A">
        <w:rPr>
          <w:rFonts w:ascii="Palatino Linotype" w:hAnsi="Palatino Linotype"/>
          <w:color w:val="000000"/>
          <w:sz w:val="21"/>
          <w:szCs w:val="21"/>
        </w:rPr>
        <w:t xml:space="preserve"> Buna göre yargılama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w:t>
      </w:r>
      <w:r w:rsidRPr="001B614A">
        <w:rPr>
          <w:rFonts w:ascii="Palatino Linotype" w:hAnsi="Palatino Linotype"/>
          <w:b/>
          <w:bCs/>
          <w:color w:val="000000"/>
          <w:sz w:val="21"/>
          <w:szCs w:val="21"/>
        </w:rPr>
        <w:t xml:space="preserve">yalnızca fiillerin işlendiği o dönemdeki bilgi, kast ve bağlam üzerinden değerlendirilebilir. </w:t>
      </w:r>
      <w:r w:rsidRPr="001B614A">
        <w:rPr>
          <w:rFonts w:ascii="Palatino Linotype" w:hAnsi="Palatino Linotype"/>
          <w:color w:val="000000"/>
          <w:sz w:val="21"/>
          <w:szCs w:val="21"/>
        </w:rPr>
        <w:t>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14:paraId="1C29E908"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14:paraId="0EDDAAA1"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w:t>
      </w:r>
      <w:r w:rsidRPr="001B614A">
        <w:rPr>
          <w:rFonts w:ascii="Palatino Linotype" w:hAnsi="Palatino Linotype"/>
          <w:b/>
          <w:bCs/>
          <w:color w:val="000000"/>
          <w:sz w:val="21"/>
          <w:szCs w:val="21"/>
        </w:rPr>
        <w:t xml:space="preserve">Mahkeme, her ne düzeyde olursa olsun veya hangi görevi yaparsa yapsın "Cemaat/Yapı üyesi eşittir terör örgütü üyesi" şeklindeki toptancı anlayışı kökten reddetmiştir. Dosyadaki var olan (ve aslen yasal olan) </w:t>
      </w:r>
      <w:r w:rsidRPr="001B614A">
        <w:rPr>
          <w:rFonts w:ascii="Palatino Linotype" w:hAnsi="Palatino Linotype"/>
          <w:b/>
          <w:bCs/>
          <w:color w:val="000000"/>
          <w:sz w:val="21"/>
          <w:szCs w:val="21"/>
        </w:rPr>
        <w:lastRenderedPageBreak/>
        <w:t>delilleri alt alta sıralayıp, bu delillerin kişinin örgütün (sözde) terörist amaçlarından gerçekten haberdar olduğunu ve bu bilgiyle örgütte katıldığını açıklamaya çalışmaksızın "kastın varlığına" hükmedilmesi</w:t>
      </w:r>
      <w:r w:rsidRPr="001B614A">
        <w:rPr>
          <w:rFonts w:ascii="Palatino Linotype" w:hAnsi="Palatino Linotype"/>
          <w:color w:val="000000"/>
          <w:sz w:val="21"/>
          <w:szCs w:val="21"/>
        </w:rPr>
        <w:t xml:space="preserve"> kabul edilemez (§ 211).</w:t>
      </w:r>
    </w:p>
    <w:p w14:paraId="68E7AA58"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 212-213).</w:t>
      </w:r>
    </w:p>
    <w:p w14:paraId="1A7ED33A"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AİHM'in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14:paraId="0E7A2912"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Artık AİHM'in bağlayıcı standardına göre; 15 Temmuz öncesi döneme ilişkin atılı bir fiilin suça vücut verdiğinin </w:t>
      </w:r>
      <w:proofErr w:type="spellStart"/>
      <w:r w:rsidRPr="001B614A">
        <w:rPr>
          <w:rFonts w:ascii="Palatino Linotype" w:hAnsi="Palatino Linotype"/>
          <w:color w:val="000000"/>
          <w:sz w:val="21"/>
          <w:szCs w:val="21"/>
        </w:rPr>
        <w:t>AİHS’e</w:t>
      </w:r>
      <w:proofErr w:type="spellEnd"/>
      <w:r w:rsidRPr="001B614A">
        <w:rPr>
          <w:rFonts w:ascii="Palatino Linotype" w:hAnsi="Palatino Linotype"/>
          <w:color w:val="000000"/>
          <w:sz w:val="21"/>
          <w:szCs w:val="21"/>
        </w:rPr>
        <w:t xml:space="preserve"> uygun kabul edilebilmesi için, </w:t>
      </w:r>
      <w:r w:rsidRPr="001B614A">
        <w:rPr>
          <w:rFonts w:ascii="Palatino Linotype" w:hAnsi="Palatino Linotype"/>
          <w:b/>
          <w:bCs/>
          <w:color w:val="000000"/>
          <w:sz w:val="21"/>
          <w:szCs w:val="21"/>
        </w:rPr>
        <w:t>kişinin tam da o dönemde söz konusu yapının şiddet içeren iddia edilen amaçlarını "bildiğinin" hiçbir şüpheye yer bırakmayacak şekilde somut delillerle ortaya konulması gerekmektedir.</w:t>
      </w:r>
      <w:r w:rsidRPr="001B614A">
        <w:rPr>
          <w:rFonts w:ascii="Palatino Linotype" w:hAnsi="Palatino Linotype"/>
          <w:color w:val="000000"/>
          <w:sz w:val="21"/>
          <w:szCs w:val="21"/>
        </w:rPr>
        <w:t xml:space="preserve"> Dahası, bu bilgiye rağmen yapıyla bağın "bilerek ve isteyerek" sürdüğü ve bu bağın salt sosyal ya da mesleki bir ilişki olmanın ötesinde, doğrudan bu yapının iddia edilen suç teşkil eden amaçlarına "bilinçli bir bağlılık ve katkı" gösterecek nitelikte olduğu kanıtlanmak zorundadır. Bu unsurlar varsayımla, genellemeyle, aidiyet kavramıyla veya yasal faaliyetlerin birikimiyle değil, </w:t>
      </w:r>
      <w:r w:rsidRPr="001B614A">
        <w:rPr>
          <w:rFonts w:ascii="Palatino Linotype" w:hAnsi="Palatino Linotype"/>
          <w:b/>
          <w:bCs/>
          <w:color w:val="000000"/>
          <w:sz w:val="21"/>
          <w:szCs w:val="21"/>
        </w:rPr>
        <w:t xml:space="preserve">bireyselleştirilmiş somut delillerle </w:t>
      </w:r>
      <w:r w:rsidRPr="001B614A">
        <w:rPr>
          <w:rFonts w:ascii="Palatino Linotype" w:hAnsi="Palatino Linotype"/>
          <w:color w:val="000000"/>
          <w:sz w:val="21"/>
          <w:szCs w:val="21"/>
        </w:rPr>
        <w:t>ortaya konulmadıkça yürütülecek hiçbir cezai süreç Anayasa'nın 90. maddesi delaletiyle AİHS 7. maddeyle bağdaşmayacaktır.</w:t>
      </w:r>
    </w:p>
    <w:p w14:paraId="7F865893"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highlight w:val="yellow"/>
        </w:rPr>
        <w:t>Müvekkil hakkında/hakkımda/eşim/vasisi olduğum … hakkında</w:t>
      </w:r>
      <w:r w:rsidRPr="001B614A">
        <w:rPr>
          <w:rFonts w:ascii="Palatino Linotype" w:hAnsi="Palatino Linotype"/>
          <w:color w:val="000000"/>
          <w:sz w:val="21"/>
          <w:szCs w:val="21"/>
        </w:rPr>
        <w:t xml:space="preserve"> yürütülen yargılamada bu bağlayıcı kararlar ekseninde temel mesele, </w:t>
      </w:r>
      <w:r w:rsidRPr="001B614A">
        <w:rPr>
          <w:rFonts w:ascii="Palatino Linotype" w:hAnsi="Palatino Linotype"/>
          <w:color w:val="000000"/>
          <w:sz w:val="21"/>
          <w:szCs w:val="21"/>
          <w:highlight w:val="yellow"/>
        </w:rPr>
        <w:t>müvekkilin fiillerinin/fiillerimin/eşimin fiillerinin/ vasisi olduğum… fiillerinin</w:t>
      </w:r>
      <w:r w:rsidRPr="001B614A">
        <w:rPr>
          <w:rFonts w:ascii="Palatino Linotype" w:hAnsi="Palatino Linotype"/>
          <w:color w:val="000000"/>
          <w:sz w:val="21"/>
          <w:szCs w:val="21"/>
        </w:rPr>
        <w:t xml:space="preserve"> suç olup olmadığının tartışılmasından ziyade, bu eylemlerin "suç kastını" gösterip göstermediğidir. </w:t>
      </w:r>
      <w:r w:rsidRPr="001B614A">
        <w:rPr>
          <w:rFonts w:ascii="Palatino Linotype" w:hAnsi="Palatino Linotype"/>
          <w:color w:val="000000"/>
          <w:sz w:val="21"/>
          <w:szCs w:val="21"/>
          <w:highlight w:val="yellow"/>
        </w:rPr>
        <w:t xml:space="preserve">Müvekkil/eşim/vasisi </w:t>
      </w:r>
      <w:proofErr w:type="gramStart"/>
      <w:r w:rsidRPr="001B614A">
        <w:rPr>
          <w:rFonts w:ascii="Palatino Linotype" w:hAnsi="Palatino Linotype"/>
          <w:color w:val="000000"/>
          <w:sz w:val="21"/>
          <w:szCs w:val="21"/>
          <w:highlight w:val="yellow"/>
        </w:rPr>
        <w:t>olduğum..</w:t>
      </w:r>
      <w:proofErr w:type="gramEnd"/>
      <w:r w:rsidRPr="001B614A">
        <w:rPr>
          <w:rFonts w:ascii="Palatino Linotype" w:hAnsi="Palatino Linotype"/>
          <w:color w:val="000000"/>
          <w:sz w:val="21"/>
          <w:szCs w:val="21"/>
        </w:rPr>
        <w:t xml:space="preserve"> </w:t>
      </w:r>
      <w:proofErr w:type="gramStart"/>
      <w:r w:rsidRPr="001B614A">
        <w:rPr>
          <w:rFonts w:ascii="Palatino Linotype" w:hAnsi="Palatino Linotype"/>
          <w:color w:val="000000"/>
          <w:sz w:val="21"/>
          <w:szCs w:val="21"/>
        </w:rPr>
        <w:t>söz</w:t>
      </w:r>
      <w:proofErr w:type="gramEnd"/>
      <w:r w:rsidRPr="001B614A">
        <w:rPr>
          <w:rFonts w:ascii="Palatino Linotype" w:hAnsi="Palatino Linotype"/>
          <w:color w:val="000000"/>
          <w:sz w:val="21"/>
          <w:szCs w:val="21"/>
        </w:rPr>
        <w:t xml:space="preserve"> konusu yapının sonradan </w:t>
      </w:r>
      <w:r w:rsidRPr="001B614A">
        <w:rPr>
          <w:rFonts w:ascii="Palatino Linotype" w:hAnsi="Palatino Linotype"/>
          <w:color w:val="000000"/>
          <w:sz w:val="21"/>
          <w:szCs w:val="21"/>
        </w:rPr>
        <w:lastRenderedPageBreak/>
        <w:t xml:space="preserve">ilan edilen şiddet amaçlarını hiçbir zaman bilmemiş, hissetmemiş ve bu amaçlara yönelik en ufak bir suç iradesi taşımamıştır. Fiillerin </w:t>
      </w:r>
      <w:r w:rsidRPr="001B614A">
        <w:rPr>
          <w:rFonts w:ascii="Palatino Linotype" w:hAnsi="Palatino Linotype"/>
          <w:color w:val="000000"/>
          <w:sz w:val="21"/>
          <w:szCs w:val="21"/>
          <w:highlight w:val="yellow"/>
        </w:rPr>
        <w:t>(dernek/sendika üyeliği, banka hesabı kullanımı, eğitim kurumu faaliyetleri, dini sohbetler vb. yasal faaliyetlerin)</w:t>
      </w:r>
      <w:r w:rsidRPr="001B614A">
        <w:rPr>
          <w:rFonts w:ascii="Palatino Linotype" w:hAnsi="Palatino Linotype"/>
          <w:color w:val="000000"/>
          <w:sz w:val="21"/>
          <w:szCs w:val="21"/>
        </w:rPr>
        <w:t xml:space="preserve"> işlendiği o dönemde, yapının bir terör örgütü niteliğinde olduğunun vatandaşlar tarafından öngörülebilmesi imkansızdır. Kurulan temas, hukuki çerçevede işlevsel, hiyerarşik veya şiddet amaçlı stratejik bir nitelik taşımamaktadır.</w:t>
      </w:r>
    </w:p>
    <w:p w14:paraId="6000F2B7" w14:textId="77777777"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ve</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Büyük Daire kararları birbirinden bağımsız kararlar değil, yargı sistemimizdeki aynı yapısal sorunun birbirini tamamlayan iki farklı görünümüne aittir ve birlikte uygulanmak zorundadır.</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otomatik mahkûmiyet, öngörülebilirlik, kanunilik ve delillerin bireyselleştirilmeden kullanılmasının hukuka aykırılığını tespit etmişken;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14:paraId="1F6C454D" w14:textId="4BA5C8B8" w:rsidR="00BA1DEA" w:rsidRPr="001B614A" w:rsidRDefault="00BA1DEA" w:rsidP="00BA1DEA">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Tüm bu hukuki ve fiili gerçekler muvacehesinde; işbu başvuruya konu dosyaya yansıyan, esasen devletin izni ve bilgisi dahilinde gerçekleşen rutin, sosyal, yasal ve sivil nitelikteki eylemlerden hareketle TCK </w:t>
      </w:r>
      <w:proofErr w:type="spellStart"/>
      <w:r w:rsidRPr="001B614A">
        <w:rPr>
          <w:rFonts w:ascii="Palatino Linotype" w:hAnsi="Palatino Linotype"/>
          <w:color w:val="000000"/>
          <w:sz w:val="21"/>
          <w:szCs w:val="21"/>
        </w:rPr>
        <w:t>md.</w:t>
      </w:r>
      <w:proofErr w:type="spellEnd"/>
      <w:r w:rsidRPr="001B614A">
        <w:rPr>
          <w:rFonts w:ascii="Palatino Linotype" w:hAnsi="Palatino Linotype"/>
          <w:color w:val="000000"/>
          <w:sz w:val="21"/>
          <w:szCs w:val="21"/>
        </w:rPr>
        <w:t xml:space="preserve"> 314/2 anlamında "silahlı terör örgütüne üye olma" kastı çıkarılamaz. Failin fiili işlediği sıradaki kastı, sonradan yaşanan olaylara ve yapının sonradan kazandığı terör örgütü statüsüne bakılarak geriye dönük olarak var sayılamaz. </w:t>
      </w:r>
      <w:r w:rsidRPr="001B614A">
        <w:rPr>
          <w:rFonts w:ascii="Palatino Linotype" w:hAnsi="Palatino Linotype"/>
          <w:color w:val="000000"/>
          <w:sz w:val="21"/>
          <w:szCs w:val="21"/>
          <w:highlight w:val="yellow"/>
        </w:rPr>
        <w:t>Müvekkilin/</w:t>
      </w:r>
      <w:r w:rsidR="00256E5E">
        <w:rPr>
          <w:rFonts w:ascii="Palatino Linotype" w:hAnsi="Palatino Linotype"/>
          <w:color w:val="000000"/>
          <w:sz w:val="21"/>
          <w:szCs w:val="21"/>
          <w:highlight w:val="yellow"/>
        </w:rPr>
        <w:t>eşimin</w:t>
      </w:r>
      <w:r w:rsidRPr="001B614A">
        <w:rPr>
          <w:rFonts w:ascii="Palatino Linotype" w:hAnsi="Palatino Linotype"/>
          <w:color w:val="000000"/>
          <w:sz w:val="21"/>
          <w:szCs w:val="21"/>
          <w:highlight w:val="yellow"/>
        </w:rPr>
        <w:t>/benim</w:t>
      </w:r>
      <w:r w:rsidR="00256E5E">
        <w:rPr>
          <w:rFonts w:ascii="Palatino Linotype" w:hAnsi="Palatino Linotype"/>
          <w:color w:val="000000"/>
          <w:sz w:val="21"/>
          <w:szCs w:val="21"/>
          <w:highlight w:val="yellow"/>
        </w:rPr>
        <w:t>/vasisi olduğum</w:t>
      </w:r>
      <w:r w:rsidR="003D1D6A" w:rsidRPr="001B614A">
        <w:rPr>
          <w:rFonts w:ascii="Palatino Linotype" w:hAnsi="Palatino Linotype"/>
          <w:color w:val="000000"/>
          <w:sz w:val="21"/>
          <w:szCs w:val="21"/>
          <w:highlight w:val="yellow"/>
        </w:rPr>
        <w:t xml:space="preserve"> </w:t>
      </w:r>
      <w:r w:rsidRPr="001B614A">
        <w:rPr>
          <w:rFonts w:ascii="Palatino Linotype" w:hAnsi="Palatino Linotype"/>
          <w:color w:val="000000"/>
          <w:sz w:val="21"/>
          <w:szCs w:val="21"/>
          <w:highlight w:val="yellow"/>
        </w:rPr>
        <w:t>…</w:t>
      </w:r>
      <w:r w:rsidRPr="001B614A">
        <w:rPr>
          <w:rFonts w:ascii="Palatino Linotype" w:hAnsi="Palatino Linotype"/>
          <w:color w:val="000000"/>
          <w:sz w:val="21"/>
          <w:szCs w:val="21"/>
        </w:rPr>
        <w:t xml:space="preserve"> hiçbir şiddet eylemine </w:t>
      </w:r>
      <w:r w:rsidRPr="003D1D6A">
        <w:rPr>
          <w:rFonts w:ascii="Palatino Linotype" w:hAnsi="Palatino Linotype"/>
          <w:color w:val="000000"/>
          <w:sz w:val="21"/>
          <w:szCs w:val="21"/>
          <w:highlight w:val="yellow"/>
        </w:rPr>
        <w:t>karışmadığı</w:t>
      </w:r>
      <w:r w:rsidR="003D1D6A" w:rsidRPr="003D1D6A">
        <w:rPr>
          <w:rFonts w:ascii="Palatino Linotype" w:hAnsi="Palatino Linotype"/>
          <w:color w:val="000000"/>
          <w:sz w:val="21"/>
          <w:szCs w:val="21"/>
          <w:highlight w:val="yellow"/>
        </w:rPr>
        <w:t>/karışmadığım</w:t>
      </w:r>
      <w:r w:rsidRPr="001B614A">
        <w:rPr>
          <w:rFonts w:ascii="Palatino Linotype" w:hAnsi="Palatino Linotype"/>
          <w:color w:val="000000"/>
          <w:sz w:val="21"/>
          <w:szCs w:val="21"/>
        </w:rPr>
        <w:t xml:space="preserve">, örgütün stratejik veya merkezi yapısıyla hiyerarşik bir </w:t>
      </w:r>
      <w:r w:rsidRPr="003D1D6A">
        <w:rPr>
          <w:rFonts w:ascii="Palatino Linotype" w:hAnsi="Palatino Linotype"/>
          <w:color w:val="000000"/>
          <w:sz w:val="21"/>
          <w:szCs w:val="21"/>
          <w:highlight w:val="yellow"/>
        </w:rPr>
        <w:t>bağının</w:t>
      </w:r>
      <w:r w:rsidR="003D1D6A" w:rsidRPr="003D1D6A">
        <w:rPr>
          <w:rFonts w:ascii="Palatino Linotype" w:hAnsi="Palatino Linotype"/>
          <w:color w:val="000000"/>
          <w:sz w:val="21"/>
          <w:szCs w:val="21"/>
          <w:highlight w:val="yellow"/>
        </w:rPr>
        <w:t>/bağımın</w:t>
      </w:r>
      <w:r w:rsidRPr="001B614A">
        <w:rPr>
          <w:rFonts w:ascii="Palatino Linotype" w:hAnsi="Palatino Linotype"/>
          <w:color w:val="000000"/>
          <w:sz w:val="21"/>
          <w:szCs w:val="21"/>
        </w:rPr>
        <w:t xml:space="preserve"> bulunmadığı ve suç işleme kastıyla hareket </w:t>
      </w:r>
      <w:r w:rsidRPr="003D1D6A">
        <w:rPr>
          <w:rFonts w:ascii="Palatino Linotype" w:hAnsi="Palatino Linotype"/>
          <w:color w:val="000000"/>
          <w:sz w:val="21"/>
          <w:szCs w:val="21"/>
          <w:highlight w:val="yellow"/>
        </w:rPr>
        <w:t>etmediği</w:t>
      </w:r>
      <w:r w:rsidR="003D1D6A" w:rsidRPr="003D1D6A">
        <w:rPr>
          <w:rFonts w:ascii="Palatino Linotype" w:hAnsi="Palatino Linotype"/>
          <w:color w:val="000000"/>
          <w:sz w:val="21"/>
          <w:szCs w:val="21"/>
          <w:highlight w:val="yellow"/>
        </w:rPr>
        <w:t>/etmediğim</w:t>
      </w:r>
      <w:r w:rsidRPr="001B614A">
        <w:rPr>
          <w:rFonts w:ascii="Palatino Linotype" w:hAnsi="Palatino Linotype"/>
          <w:color w:val="000000"/>
          <w:sz w:val="21"/>
          <w:szCs w:val="21"/>
        </w:rPr>
        <w:t xml:space="preserve"> açıkça ortadadır. </w:t>
      </w:r>
    </w:p>
    <w:p w14:paraId="6CB133CF" w14:textId="09539438" w:rsidR="00F83122" w:rsidRPr="001B614A" w:rsidRDefault="002A5D75" w:rsidP="008A5BF2">
      <w:pPr>
        <w:tabs>
          <w:tab w:val="left" w:pos="3870"/>
        </w:tabs>
        <w:spacing w:line="360" w:lineRule="auto"/>
        <w:ind w:right="-378"/>
        <w:jc w:val="both"/>
        <w:rPr>
          <w:rFonts w:ascii="Palatino Linotype" w:hAnsi="Palatino Linotype" w:cs="Times New Roman"/>
          <w:b/>
          <w:sz w:val="21"/>
          <w:szCs w:val="21"/>
          <w:lang w:val="tr"/>
        </w:rPr>
      </w:pPr>
      <w:r>
        <w:rPr>
          <w:rFonts w:ascii="Palatino Linotype" w:hAnsi="Palatino Linotype" w:cs="Times New Roman"/>
          <w:b/>
          <w:sz w:val="21"/>
          <w:szCs w:val="21"/>
          <w:lang w:val="tr"/>
        </w:rPr>
        <w:t xml:space="preserve">     </w:t>
      </w:r>
      <w:r w:rsidR="00265EA3" w:rsidRPr="001B614A">
        <w:rPr>
          <w:rFonts w:ascii="Palatino Linotype" w:hAnsi="Palatino Linotype" w:cs="Times New Roman"/>
          <w:b/>
          <w:sz w:val="21"/>
          <w:szCs w:val="21"/>
          <w:lang w:val="tr"/>
        </w:rPr>
        <w:t>IV. Sonuç</w:t>
      </w:r>
    </w:p>
    <w:p w14:paraId="37CBFB00" w14:textId="7A534E55" w:rsidR="008D5592" w:rsidRPr="001B614A"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s="Times New Roman"/>
          <w:sz w:val="21"/>
          <w:szCs w:val="21"/>
        </w:rPr>
        <w:t>A</w:t>
      </w:r>
      <w:r w:rsidR="008D5592" w:rsidRPr="001B614A">
        <w:rPr>
          <w:rFonts w:ascii="Palatino Linotype" w:hAnsi="Palatino Linotype" w:cs="Times New Roman"/>
          <w:sz w:val="21"/>
          <w:szCs w:val="21"/>
        </w:rPr>
        <w:t xml:space="preserve">İHM ve </w:t>
      </w:r>
      <w:r w:rsidRPr="001B614A">
        <w:rPr>
          <w:rFonts w:ascii="Palatino Linotype" w:hAnsi="Palatino Linotype" w:cs="Times New Roman"/>
          <w:sz w:val="21"/>
          <w:szCs w:val="21"/>
        </w:rPr>
        <w:t xml:space="preserve">AYM’ye </w:t>
      </w:r>
      <w:r w:rsidR="008D5592" w:rsidRPr="001B614A">
        <w:rPr>
          <w:rFonts w:ascii="Palatino Linotype" w:hAnsi="Palatino Linotype" w:cs="Times New Roman"/>
          <w:sz w:val="21"/>
          <w:szCs w:val="21"/>
        </w:rPr>
        <w:t xml:space="preserve">yapılan </w:t>
      </w:r>
      <w:r w:rsidRPr="001B614A">
        <w:rPr>
          <w:rFonts w:ascii="Palatino Linotype" w:hAnsi="Palatino Linotype" w:cs="Times New Roman"/>
          <w:sz w:val="21"/>
          <w:szCs w:val="21"/>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1B614A">
        <w:rPr>
          <w:rFonts w:ascii="Palatino Linotype" w:hAnsi="Palatino Linotype" w:cs="Times New Roman"/>
          <w:sz w:val="21"/>
          <w:szCs w:val="21"/>
        </w:rPr>
        <w:t>A</w:t>
      </w:r>
      <w:r w:rsidRPr="001B614A">
        <w:rPr>
          <w:rFonts w:ascii="Palatino Linotype" w:hAnsi="Palatino Linotype" w:cs="Times New Roman"/>
          <w:sz w:val="21"/>
          <w:szCs w:val="21"/>
        </w:rPr>
        <w:t>nayasa</w:t>
      </w:r>
      <w:r w:rsidR="00CC1997" w:rsidRPr="001B614A">
        <w:rPr>
          <w:rFonts w:ascii="Palatino Linotype" w:hAnsi="Palatino Linotype" w:cs="Times New Roman"/>
          <w:sz w:val="21"/>
          <w:szCs w:val="21"/>
        </w:rPr>
        <w:t xml:space="preserve"> ve Sö</w:t>
      </w:r>
      <w:r w:rsidRPr="001B614A">
        <w:rPr>
          <w:rFonts w:ascii="Palatino Linotype" w:hAnsi="Palatino Linotype" w:cs="Times New Roman"/>
          <w:sz w:val="21"/>
          <w:szCs w:val="21"/>
        </w:rPr>
        <w:t>zleşmey</w:t>
      </w:r>
      <w:r w:rsidR="00CC1997" w:rsidRPr="001B614A">
        <w:rPr>
          <w:rFonts w:ascii="Palatino Linotype" w:hAnsi="Palatino Linotype" w:cs="Times New Roman"/>
          <w:sz w:val="21"/>
          <w:szCs w:val="21"/>
        </w:rPr>
        <w:t>i</w:t>
      </w:r>
      <w:r w:rsidRPr="001B614A">
        <w:rPr>
          <w:rFonts w:ascii="Palatino Linotype" w:hAnsi="Palatino Linotype" w:cs="Times New Roman"/>
          <w:sz w:val="21"/>
          <w:szCs w:val="21"/>
        </w:rPr>
        <w:t xml:space="preserve"> dikkat</w:t>
      </w:r>
      <w:r w:rsidR="00CC1997" w:rsidRPr="001B614A">
        <w:rPr>
          <w:rFonts w:ascii="Palatino Linotype" w:hAnsi="Palatino Linotype" w:cs="Times New Roman"/>
          <w:sz w:val="21"/>
          <w:szCs w:val="21"/>
        </w:rPr>
        <w:t>e almalıdır</w:t>
      </w:r>
      <w:r w:rsidRPr="001B614A">
        <w:rPr>
          <w:rFonts w:ascii="Palatino Linotype" w:hAnsi="Palatino Linotype" w:cs="Times New Roman"/>
          <w:sz w:val="21"/>
          <w:szCs w:val="21"/>
        </w:rPr>
        <w:t>.</w:t>
      </w:r>
    </w:p>
    <w:p w14:paraId="547AAA1B" w14:textId="0CD2F0A6" w:rsidR="00CC34E0" w:rsidRPr="001B614A"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s="Times New Roman"/>
          <w:sz w:val="21"/>
          <w:szCs w:val="21"/>
        </w:rPr>
        <w:lastRenderedPageBreak/>
        <w:t>Yukarıda izah edildiği üzere hem AYM hem de AİHM</w:t>
      </w:r>
      <w:r w:rsidR="00DD4EB8" w:rsidRPr="001B614A">
        <w:rPr>
          <w:rFonts w:ascii="Palatino Linotype" w:hAnsi="Palatino Linotype" w:cs="Times New Roman"/>
          <w:sz w:val="21"/>
          <w:szCs w:val="21"/>
        </w:rPr>
        <w:t xml:space="preserve"> </w:t>
      </w:r>
      <w:r w:rsidR="00DD4EB8" w:rsidRPr="001B614A">
        <w:rPr>
          <w:rFonts w:ascii="Palatino Linotype" w:hAnsi="Palatino Linotype" w:cs="Times New Roman"/>
          <w:b/>
          <w:bCs/>
          <w:sz w:val="21"/>
          <w:szCs w:val="21"/>
        </w:rPr>
        <w:t>mahkeme kararının objektif etkisi</w:t>
      </w:r>
      <w:r w:rsidRPr="001B614A">
        <w:rPr>
          <w:rFonts w:ascii="Palatino Linotype" w:hAnsi="Palatino Linotype" w:cs="Times New Roman"/>
          <w:b/>
          <w:bCs/>
          <w:sz w:val="21"/>
          <w:szCs w:val="21"/>
        </w:rPr>
        <w:t>nin</w:t>
      </w:r>
      <w:r w:rsidR="00DD4EB8" w:rsidRPr="001B614A">
        <w:rPr>
          <w:rFonts w:ascii="Palatino Linotype" w:hAnsi="Palatino Linotype" w:cs="Times New Roman"/>
          <w:sz w:val="21"/>
          <w:szCs w:val="21"/>
        </w:rPr>
        <w:t xml:space="preserve"> </w:t>
      </w:r>
      <w:r w:rsidRPr="001B614A">
        <w:rPr>
          <w:rFonts w:ascii="Palatino Linotype" w:hAnsi="Palatino Linotype" w:cs="Times New Roman"/>
          <w:sz w:val="21"/>
          <w:szCs w:val="21"/>
        </w:rPr>
        <w:t xml:space="preserve">olduğunu, benzer davalara ve işlemlere uygulanması gerektiğini </w:t>
      </w:r>
      <w:r w:rsidR="00DD4EB8" w:rsidRPr="001B614A">
        <w:rPr>
          <w:rFonts w:ascii="Palatino Linotype" w:hAnsi="Palatino Linotype" w:cs="Times New Roman"/>
          <w:sz w:val="21"/>
          <w:szCs w:val="21"/>
        </w:rPr>
        <w:t xml:space="preserve">açıkça </w:t>
      </w:r>
      <w:r w:rsidRPr="001B614A">
        <w:rPr>
          <w:rFonts w:ascii="Palatino Linotype" w:hAnsi="Palatino Linotype" w:cs="Times New Roman"/>
          <w:sz w:val="21"/>
          <w:szCs w:val="21"/>
        </w:rPr>
        <w:t xml:space="preserve">ortaya koymuşlardır. </w:t>
      </w:r>
      <w:r w:rsidR="00DD4EB8" w:rsidRPr="001B614A">
        <w:rPr>
          <w:rFonts w:ascii="Palatino Linotype" w:hAnsi="Palatino Linotype" w:cs="Times New Roman"/>
          <w:sz w:val="21"/>
          <w:szCs w:val="21"/>
        </w:rPr>
        <w:t xml:space="preserve">Mahkemenin objektif işlevi, Anayasa’nın </w:t>
      </w:r>
      <w:r w:rsidR="00A5622E" w:rsidRPr="001B614A">
        <w:rPr>
          <w:rFonts w:ascii="Palatino Linotype" w:hAnsi="Palatino Linotype" w:cs="Times New Roman"/>
          <w:sz w:val="21"/>
          <w:szCs w:val="21"/>
        </w:rPr>
        <w:t xml:space="preserve">ve Sözleşme’nin </w:t>
      </w:r>
      <w:r w:rsidR="00DD4EB8" w:rsidRPr="001B614A">
        <w:rPr>
          <w:rFonts w:ascii="Palatino Linotype" w:hAnsi="Palatino Linotype" w:cs="Times New Roman"/>
          <w:sz w:val="21"/>
          <w:szCs w:val="21"/>
        </w:rPr>
        <w:t>temel hak ve özgürlükleri düzenleyen hükümlerini yorumlamak ve bunların uygulanmasını gözetmektir.</w:t>
      </w:r>
      <w:r w:rsidR="00A5622E" w:rsidRPr="001B614A">
        <w:rPr>
          <w:rFonts w:ascii="Palatino Linotype" w:hAnsi="Palatino Linotype" w:cs="Times New Roman"/>
          <w:sz w:val="21"/>
          <w:szCs w:val="21"/>
        </w:rPr>
        <w:t xml:space="preserve"> Dolayısıyla </w:t>
      </w:r>
      <w:r w:rsidR="00AE78E5" w:rsidRPr="001B614A">
        <w:rPr>
          <w:rFonts w:ascii="Palatino Linotype" w:hAnsi="Palatino Linotype" w:cs="Times New Roman"/>
          <w:bCs/>
          <w:sz w:val="21"/>
          <w:szCs w:val="21"/>
        </w:rPr>
        <w:t>AYM/AİHM’in bir bireysel başvuruda verdiği ihlâl kararı benzer diğer olaylar açısından da bağlayıcıdır ve kamu otoriteleri ve mahkemelerce dikkate alın</w:t>
      </w:r>
      <w:r w:rsidR="00A5622E" w:rsidRPr="001B614A">
        <w:rPr>
          <w:rFonts w:ascii="Palatino Linotype" w:hAnsi="Palatino Linotype" w:cs="Times New Roman"/>
          <w:bCs/>
          <w:sz w:val="21"/>
          <w:szCs w:val="21"/>
        </w:rPr>
        <w:t>malıdır</w:t>
      </w:r>
      <w:r w:rsidR="00AE78E5" w:rsidRPr="001B614A">
        <w:rPr>
          <w:rFonts w:ascii="Palatino Linotype" w:hAnsi="Palatino Linotype" w:cs="Times New Roman"/>
          <w:bCs/>
          <w:sz w:val="21"/>
          <w:szCs w:val="21"/>
        </w:rPr>
        <w:t>. Bu nedenle bireysel başvurudan beklenen faydanın sağlanabilmesi için bireysel başvurunun objektif işlevi ön plana çıkarılmalı ve bireysel başvuru kararlarının genel (</w:t>
      </w:r>
      <w:proofErr w:type="spellStart"/>
      <w:r w:rsidR="00AE78E5" w:rsidRPr="001B614A">
        <w:rPr>
          <w:rFonts w:ascii="Palatino Linotype" w:hAnsi="Palatino Linotype" w:cs="Times New Roman"/>
          <w:bCs/>
          <w:i/>
          <w:iCs/>
          <w:sz w:val="21"/>
          <w:szCs w:val="21"/>
        </w:rPr>
        <w:t>erga</w:t>
      </w:r>
      <w:proofErr w:type="spellEnd"/>
      <w:r w:rsidR="00AE78E5" w:rsidRPr="001B614A">
        <w:rPr>
          <w:rFonts w:ascii="Palatino Linotype" w:hAnsi="Palatino Linotype" w:cs="Times New Roman"/>
          <w:bCs/>
          <w:i/>
          <w:iCs/>
          <w:sz w:val="21"/>
          <w:szCs w:val="21"/>
        </w:rPr>
        <w:t xml:space="preserve"> </w:t>
      </w:r>
      <w:proofErr w:type="spellStart"/>
      <w:r w:rsidR="00AE78E5" w:rsidRPr="001B614A">
        <w:rPr>
          <w:rFonts w:ascii="Palatino Linotype" w:hAnsi="Palatino Linotype" w:cs="Times New Roman"/>
          <w:bCs/>
          <w:i/>
          <w:iCs/>
          <w:sz w:val="21"/>
          <w:szCs w:val="21"/>
        </w:rPr>
        <w:t>omnes</w:t>
      </w:r>
      <w:proofErr w:type="spellEnd"/>
      <w:r w:rsidR="00AE78E5" w:rsidRPr="001B614A">
        <w:rPr>
          <w:rFonts w:ascii="Palatino Linotype" w:hAnsi="Palatino Linotype" w:cs="Times New Roman"/>
          <w:bCs/>
          <w:sz w:val="21"/>
          <w:szCs w:val="21"/>
        </w:rPr>
        <w:t>) bağlayıcılığı hayata geçiril</w:t>
      </w:r>
      <w:r w:rsidR="00A5622E" w:rsidRPr="001B614A">
        <w:rPr>
          <w:rFonts w:ascii="Palatino Linotype" w:hAnsi="Palatino Linotype" w:cs="Times New Roman"/>
          <w:bCs/>
          <w:sz w:val="21"/>
          <w:szCs w:val="21"/>
        </w:rPr>
        <w:t xml:space="preserve">melidir. </w:t>
      </w:r>
      <w:r w:rsidR="00AE78E5" w:rsidRPr="001B614A">
        <w:rPr>
          <w:rFonts w:ascii="Palatino Linotype" w:hAnsi="Palatino Linotype" w:cs="Times New Roman"/>
          <w:bCs/>
          <w:sz w:val="21"/>
          <w:szCs w:val="21"/>
        </w:rPr>
        <w:t xml:space="preserve">Yani AYM/AİHM bir konuda ihlâl kararı verdikten sonra kamu idareleri uygulamalarını, diğer mahkemeler de kararlarını AYM/AİHM kararı ile uyumlu hale getirmelidir. Esasen bu, </w:t>
      </w:r>
      <w:r w:rsidR="00A5622E" w:rsidRPr="001B614A">
        <w:rPr>
          <w:rFonts w:ascii="Palatino Linotype" w:hAnsi="Palatino Linotype" w:cs="Times New Roman"/>
          <w:bCs/>
          <w:sz w:val="21"/>
          <w:szCs w:val="21"/>
        </w:rPr>
        <w:t>AİHM/</w:t>
      </w:r>
      <w:r w:rsidR="00AE78E5" w:rsidRPr="001B614A">
        <w:rPr>
          <w:rFonts w:ascii="Palatino Linotype" w:hAnsi="Palatino Linotype" w:cs="Times New Roman"/>
          <w:bCs/>
          <w:sz w:val="21"/>
          <w:szCs w:val="21"/>
        </w:rPr>
        <w:t xml:space="preserve">AYM’nin de belirttiği gibi, bireysel başvuru yolunun ve AYM/AİHM’in yetkisinin </w:t>
      </w:r>
      <w:r w:rsidR="00AE78E5" w:rsidRPr="001B614A">
        <w:rPr>
          <w:rFonts w:ascii="Palatino Linotype" w:hAnsi="Palatino Linotype" w:cs="Times New Roman"/>
          <w:bCs/>
          <w:i/>
          <w:iCs/>
          <w:sz w:val="21"/>
          <w:szCs w:val="21"/>
        </w:rPr>
        <w:t>“ikincilliği”</w:t>
      </w:r>
      <w:r w:rsidR="00AE78E5" w:rsidRPr="001B614A">
        <w:rPr>
          <w:rFonts w:ascii="Palatino Linotype" w:hAnsi="Palatino Linotype" w:cs="Times New Roman"/>
          <w:bCs/>
          <w:sz w:val="21"/>
          <w:szCs w:val="21"/>
        </w:rPr>
        <w:t xml:space="preserve"> ilkesinin de gereğidir. Bu nedenle zaten Anayasa Mahkemesine</w:t>
      </w:r>
      <w:r w:rsidR="00A5622E" w:rsidRPr="001B614A">
        <w:rPr>
          <w:rFonts w:ascii="Palatino Linotype" w:hAnsi="Palatino Linotype" w:cs="Times New Roman"/>
          <w:bCs/>
          <w:sz w:val="21"/>
          <w:szCs w:val="21"/>
        </w:rPr>
        <w:t xml:space="preserve"> ve dolayısıyla AİHM’e</w:t>
      </w:r>
      <w:r w:rsidR="00AE78E5" w:rsidRPr="001B614A">
        <w:rPr>
          <w:rFonts w:ascii="Palatino Linotype" w:hAnsi="Palatino Linotype" w:cs="Times New Roman"/>
          <w:bCs/>
          <w:sz w:val="21"/>
          <w:szCs w:val="21"/>
        </w:rPr>
        <w:t xml:space="preserve"> başvurmadan önce diğer hukuk yollarının tüketilmesi koşulu getirilmiştir. Temel hak ve özgürlüklerin öncelikle kamu makamları ve derece mahkemeleri tarafından korunması gerekir.</w:t>
      </w:r>
      <w:r w:rsidR="0098439E" w:rsidRPr="001B614A">
        <w:rPr>
          <w:rFonts w:ascii="Palatino Linotype" w:hAnsi="Palatino Linotype" w:cs="Times New Roman"/>
          <w:sz w:val="21"/>
          <w:szCs w:val="21"/>
        </w:rPr>
        <w:t xml:space="preserve"> </w:t>
      </w:r>
    </w:p>
    <w:p w14:paraId="30756F25" w14:textId="77777777" w:rsidR="00CC34E0" w:rsidRPr="001B614A"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s="Times New Roman"/>
          <w:sz w:val="21"/>
          <w:szCs w:val="21"/>
        </w:rPr>
        <w:t>Anayasa’nın 138. maddesi genel olarak yargı kararlarının, 153. maddesi ise özel olarak Anayasa Mahkemesi kararlarının bağlayıcılığını açık ve kesin bir dille düzenlemektedir. Buna göre, “</w:t>
      </w:r>
      <w:r w:rsidRPr="001B614A">
        <w:rPr>
          <w:rFonts w:ascii="Palatino Linotype" w:hAnsi="Palatino Linotype" w:cs="Times New Roman"/>
          <w:i/>
          <w:iCs/>
          <w:sz w:val="21"/>
          <w:szCs w:val="21"/>
        </w:rPr>
        <w:t>yasama ve yürütme organları ile idare, mahkeme kararlarına uymak zorundadır</w:t>
      </w:r>
      <w:r w:rsidRPr="001B614A">
        <w:rPr>
          <w:rFonts w:ascii="Palatino Linotype" w:hAnsi="Palatino Linotype" w:cs="Times New Roman"/>
          <w:sz w:val="21"/>
          <w:szCs w:val="21"/>
        </w:rPr>
        <w:t>” (m. 138) ve Anayasa Mahkemesinin kararları “</w:t>
      </w:r>
      <w:r w:rsidRPr="001B614A">
        <w:rPr>
          <w:rFonts w:ascii="Palatino Linotype" w:hAnsi="Palatino Linotype" w:cs="Times New Roman"/>
          <w:i/>
          <w:iCs/>
          <w:sz w:val="21"/>
          <w:szCs w:val="21"/>
        </w:rPr>
        <w:t>yasama, yürütme ve yargı organlarını, idare makamlarını, gerçek ve tüzelkişileri bağlar</w:t>
      </w:r>
      <w:r w:rsidRPr="001B614A">
        <w:rPr>
          <w:rFonts w:ascii="Palatino Linotype" w:hAnsi="Palatino Linotype" w:cs="Times New Roman"/>
          <w:sz w:val="21"/>
          <w:szCs w:val="21"/>
        </w:rPr>
        <w:t>” (m.153).</w:t>
      </w:r>
      <w:r w:rsidRPr="001B614A">
        <w:rPr>
          <w:rFonts w:ascii="Palatino Linotype" w:hAnsi="Palatino Linotype" w:cs="Times New Roman"/>
          <w:color w:val="323232"/>
          <w:sz w:val="21"/>
          <w:szCs w:val="21"/>
          <w:shd w:val="clear" w:color="auto" w:fill="FFFFFF"/>
        </w:rPr>
        <w:t xml:space="preserve"> </w:t>
      </w:r>
      <w:r w:rsidRPr="001B614A">
        <w:rPr>
          <w:rFonts w:ascii="Palatino Linotype" w:hAnsi="Palatino Linotype" w:cs="Times New Roman"/>
          <w:sz w:val="21"/>
          <w:szCs w:val="21"/>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1B614A">
        <w:rPr>
          <w:rFonts w:ascii="Palatino Linotype" w:hAnsi="Palatino Linotype" w:cs="Times New Roman"/>
          <w:sz w:val="21"/>
          <w:szCs w:val="21"/>
        </w:rPr>
        <w:t xml:space="preserve"> </w:t>
      </w:r>
      <w:r w:rsidRPr="001B614A">
        <w:rPr>
          <w:rFonts w:ascii="Palatino Linotype" w:hAnsi="Palatino Linotype" w:cs="Times New Roman"/>
          <w:sz w:val="21"/>
          <w:szCs w:val="21"/>
        </w:rPr>
        <w:t>(Aym:</w:t>
      </w:r>
      <w:r w:rsidRPr="001B614A">
        <w:rPr>
          <w:rFonts w:ascii="Palatino Linotype" w:hAnsi="Palatino Linotype" w:cs="Times New Roman"/>
          <w:i/>
          <w:iCs/>
          <w:color w:val="323232"/>
          <w:sz w:val="21"/>
          <w:szCs w:val="21"/>
          <w:shd w:val="clear" w:color="auto" w:fill="FFFFFF"/>
        </w:rPr>
        <w:t xml:space="preserve"> </w:t>
      </w:r>
      <w:r w:rsidRPr="001B614A">
        <w:rPr>
          <w:rFonts w:ascii="Palatino Linotype" w:hAnsi="Palatino Linotype" w:cs="Times New Roman"/>
          <w:i/>
          <w:iCs/>
          <w:sz w:val="21"/>
          <w:szCs w:val="21"/>
        </w:rPr>
        <w:t>Şahin Alpay (2)</w:t>
      </w:r>
      <w:r w:rsidRPr="001B614A">
        <w:rPr>
          <w:rFonts w:ascii="Palatino Linotype" w:hAnsi="Palatino Linotype" w:cs="Times New Roman"/>
          <w:sz w:val="21"/>
          <w:szCs w:val="21"/>
        </w:rPr>
        <w:t> [GK], B. No: 2018/3007, 15/3/2018, § 63; </w:t>
      </w:r>
      <w:r w:rsidRPr="001B614A">
        <w:rPr>
          <w:rFonts w:ascii="Palatino Linotype" w:hAnsi="Palatino Linotype" w:cs="Times New Roman"/>
          <w:i/>
          <w:iCs/>
          <w:sz w:val="21"/>
          <w:szCs w:val="21"/>
        </w:rPr>
        <w:t>Kadri Enis Berberoğlu (3)</w:t>
      </w:r>
      <w:r w:rsidRPr="001B614A">
        <w:rPr>
          <w:rFonts w:ascii="Palatino Linotype" w:hAnsi="Palatino Linotype" w:cs="Times New Roman"/>
          <w:sz w:val="21"/>
          <w:szCs w:val="21"/>
        </w:rPr>
        <w:t>, § 102).</w:t>
      </w:r>
    </w:p>
    <w:p w14:paraId="38871179" w14:textId="0040D66B" w:rsidR="00CC34E0" w:rsidRPr="001B614A" w:rsidRDefault="002A5D75" w:rsidP="00826D44">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Pr>
          <w:rFonts w:ascii="Palatino Linotype" w:hAnsi="Palatino Linotype" w:cs="Times New Roman"/>
          <w:sz w:val="21"/>
          <w:szCs w:val="21"/>
        </w:rPr>
        <w:t>AİHM</w:t>
      </w:r>
      <w:r w:rsidR="00DD4EB8" w:rsidRPr="001B614A">
        <w:rPr>
          <w:rFonts w:ascii="Palatino Linotype" w:hAnsi="Palatino Linotype" w:cs="Times New Roman"/>
          <w:sz w:val="21"/>
          <w:szCs w:val="21"/>
        </w:rPr>
        <w:t xml:space="preserve"> kararları, </w:t>
      </w:r>
      <w:proofErr w:type="spellStart"/>
      <w:r>
        <w:rPr>
          <w:rFonts w:ascii="Palatino Linotype" w:hAnsi="Palatino Linotype" w:cs="Times New Roman"/>
          <w:sz w:val="21"/>
          <w:szCs w:val="21"/>
        </w:rPr>
        <w:t>AİHS’e</w:t>
      </w:r>
      <w:proofErr w:type="spellEnd"/>
      <w:r w:rsidR="00DD4EB8" w:rsidRPr="001B614A">
        <w:rPr>
          <w:rFonts w:ascii="Palatino Linotype" w:hAnsi="Palatino Linotype" w:cs="Times New Roman"/>
          <w:sz w:val="21"/>
          <w:szCs w:val="21"/>
        </w:rPr>
        <w:t xml:space="preserve"> taraf Devletler açısından bağlayıcıdır. Sözleşmesi’nin 46. </w:t>
      </w:r>
      <w:r w:rsidR="00CC1997" w:rsidRPr="001B614A">
        <w:rPr>
          <w:rFonts w:ascii="Palatino Linotype" w:hAnsi="Palatino Linotype" w:cs="Times New Roman"/>
          <w:sz w:val="21"/>
          <w:szCs w:val="21"/>
        </w:rPr>
        <w:t>m</w:t>
      </w:r>
      <w:r w:rsidR="00DD4EB8" w:rsidRPr="001B614A">
        <w:rPr>
          <w:rFonts w:ascii="Palatino Linotype" w:hAnsi="Palatino Linotype" w:cs="Times New Roman"/>
          <w:sz w:val="21"/>
          <w:szCs w:val="21"/>
        </w:rPr>
        <w:t>addesinin 1. fıkrasına göre, Sözleşmeci Taraflar, taraf oldukları davalarda Mahkemenin kesinleşmiş kararlarına uymayı taahhüt ederler</w:t>
      </w:r>
      <w:r w:rsidR="00CC34E0" w:rsidRPr="001B614A">
        <w:rPr>
          <w:rFonts w:ascii="Palatino Linotype" w:hAnsi="Palatino Linotype" w:cs="Times New Roman"/>
          <w:sz w:val="21"/>
          <w:szCs w:val="21"/>
        </w:rPr>
        <w:t>.</w:t>
      </w:r>
      <w:r w:rsidR="0098439E" w:rsidRPr="001B614A">
        <w:rPr>
          <w:rFonts w:ascii="Palatino Linotype" w:hAnsi="Palatino Linotype" w:cs="Times New Roman"/>
          <w:sz w:val="21"/>
          <w:szCs w:val="21"/>
        </w:rPr>
        <w:t xml:space="preserve"> </w:t>
      </w:r>
      <w:r w:rsidR="0098439E" w:rsidRPr="001B614A">
        <w:rPr>
          <w:rFonts w:ascii="Palatino Linotype" w:hAnsi="Palatino Linotype" w:cs="Times New Roman"/>
          <w:b/>
          <w:bCs/>
          <w:sz w:val="21"/>
          <w:szCs w:val="21"/>
        </w:rPr>
        <w:t>AİHS</w:t>
      </w:r>
      <w:r w:rsidR="00CC1997" w:rsidRPr="001B614A">
        <w:rPr>
          <w:rFonts w:ascii="Palatino Linotype" w:hAnsi="Palatino Linotype" w:cs="Times New Roman"/>
          <w:b/>
          <w:bCs/>
          <w:sz w:val="21"/>
          <w:szCs w:val="21"/>
        </w:rPr>
        <w:t>’in</w:t>
      </w:r>
      <w:r w:rsidR="0098439E" w:rsidRPr="001B614A">
        <w:rPr>
          <w:rFonts w:ascii="Palatino Linotype" w:hAnsi="Palatino Linotype" w:cs="Times New Roman"/>
          <w:b/>
          <w:bCs/>
          <w:sz w:val="21"/>
          <w:szCs w:val="21"/>
        </w:rPr>
        <w:t xml:space="preserve"> 46. </w:t>
      </w:r>
      <w:r w:rsidR="00CC1997" w:rsidRPr="001B614A">
        <w:rPr>
          <w:rFonts w:ascii="Palatino Linotype" w:hAnsi="Palatino Linotype" w:cs="Times New Roman"/>
          <w:b/>
          <w:bCs/>
          <w:sz w:val="21"/>
          <w:szCs w:val="21"/>
        </w:rPr>
        <w:t>m</w:t>
      </w:r>
      <w:r w:rsidR="0098439E" w:rsidRPr="001B614A">
        <w:rPr>
          <w:rFonts w:ascii="Palatino Linotype" w:hAnsi="Palatino Linotype" w:cs="Times New Roman"/>
          <w:b/>
          <w:bCs/>
          <w:sz w:val="21"/>
          <w:szCs w:val="21"/>
        </w:rPr>
        <w:t>adde</w:t>
      </w:r>
      <w:r w:rsidR="00CC1997" w:rsidRPr="001B614A">
        <w:rPr>
          <w:rFonts w:ascii="Palatino Linotype" w:hAnsi="Palatino Linotype" w:cs="Times New Roman"/>
          <w:b/>
          <w:bCs/>
          <w:sz w:val="21"/>
          <w:szCs w:val="21"/>
        </w:rPr>
        <w:t>si</w:t>
      </w:r>
      <w:r w:rsidR="0098439E" w:rsidRPr="001B614A">
        <w:rPr>
          <w:rFonts w:ascii="Palatino Linotype" w:hAnsi="Palatino Linotype" w:cs="Times New Roman"/>
          <w:b/>
          <w:bCs/>
          <w:sz w:val="21"/>
          <w:szCs w:val="21"/>
        </w:rPr>
        <w:t xml:space="preserve"> gereği</w:t>
      </w:r>
      <w:r w:rsidR="00CC1997" w:rsidRPr="001B614A">
        <w:rPr>
          <w:rFonts w:ascii="Palatino Linotype" w:hAnsi="Palatino Linotype" w:cs="Times New Roman"/>
          <w:b/>
          <w:bCs/>
          <w:sz w:val="21"/>
          <w:szCs w:val="21"/>
        </w:rPr>
        <w:t>nce</w:t>
      </w:r>
      <w:r w:rsidR="0098439E" w:rsidRPr="001B614A">
        <w:rPr>
          <w:rFonts w:ascii="Palatino Linotype" w:hAnsi="Palatino Linotype" w:cs="Times New Roman"/>
          <w:b/>
          <w:bCs/>
          <w:sz w:val="21"/>
          <w:szCs w:val="21"/>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1B614A"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sz w:val="21"/>
          <w:szCs w:val="21"/>
        </w:rPr>
      </w:pPr>
      <w:r w:rsidRPr="001B614A">
        <w:rPr>
          <w:rFonts w:ascii="Palatino Linotype" w:hAnsi="Palatino Linotype" w:cs="Times New Roman"/>
          <w:sz w:val="21"/>
          <w:szCs w:val="21"/>
        </w:rPr>
        <w:t>İlgili Devlet ihlali sona erdirmek ve mümkün olduğunca ihlal öncesi durumu yeniden sağlayacak şekilde ihlalin sonuçlarını giderme yükümlülüğü altındadır</w:t>
      </w:r>
      <w:r w:rsidR="00CC34E0" w:rsidRPr="001B614A">
        <w:rPr>
          <w:rFonts w:ascii="Palatino Linotype" w:hAnsi="Palatino Linotype" w:cs="Times New Roman"/>
          <w:sz w:val="21"/>
          <w:szCs w:val="21"/>
        </w:rPr>
        <w:t xml:space="preserve">. </w:t>
      </w:r>
      <w:r w:rsidRPr="001B614A">
        <w:rPr>
          <w:rFonts w:ascii="Palatino Linotype" w:hAnsi="Palatino Linotype" w:cs="Times New Roman"/>
          <w:sz w:val="21"/>
          <w:szCs w:val="21"/>
        </w:rPr>
        <w:t xml:space="preserve">Türkiye Cumhuriyeti AİHS’e taraf bir devlettir. AİHS’e taraf devlet olmak, AİHM’in zorunlu yargı yetkisini tanımayı ve bu yargı yetkisinin kullanılması sonucu verilen ihlal kararlarının gerektirdiği ihlal giderici tedbirleri almayı gerektirmektedir. AİHM kararlarının ihlal giderici önlemler gerektirmesi devlet </w:t>
      </w:r>
      <w:r w:rsidRPr="001B614A">
        <w:rPr>
          <w:rFonts w:ascii="Palatino Linotype" w:hAnsi="Palatino Linotype" w:cs="Times New Roman"/>
          <w:sz w:val="21"/>
          <w:szCs w:val="21"/>
        </w:rPr>
        <w:lastRenderedPageBreak/>
        <w:t xml:space="preserve">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1B614A">
        <w:rPr>
          <w:rFonts w:ascii="Palatino Linotype" w:hAnsi="Palatino Linotype" w:cs="Times New Roman"/>
          <w:b/>
          <w:bCs/>
          <w:sz w:val="21"/>
          <w:szCs w:val="21"/>
        </w:rPr>
        <w:t>AİHM’in kararının anlamı, uluslararası hukuka aykırılığın ulusal hukuk tarafından ortadan kaldırılması gerekliliğinin saptanmasıdır. Bu saptamanın ardından ihlali giderme ödevi ulusal mercilerindir.</w:t>
      </w:r>
    </w:p>
    <w:p w14:paraId="478C9EB1" w14:textId="77777777" w:rsidR="001B614A" w:rsidRPr="001B614A" w:rsidRDefault="00060B5D"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s="Times New Roman"/>
          <w:sz w:val="21"/>
          <w:szCs w:val="21"/>
        </w:rPr>
        <w:t>Türkiye</w:t>
      </w:r>
      <w:r w:rsidR="00AE4031" w:rsidRPr="001B614A">
        <w:rPr>
          <w:rFonts w:ascii="Palatino Linotype" w:hAnsi="Palatino Linotype" w:cs="Times New Roman"/>
          <w:sz w:val="21"/>
          <w:szCs w:val="21"/>
        </w:rPr>
        <w:t>’de</w:t>
      </w:r>
      <w:r w:rsidRPr="001B614A">
        <w:rPr>
          <w:rFonts w:ascii="Palatino Linotype" w:hAnsi="Palatino Linotype" w:cs="Times New Roman"/>
          <w:sz w:val="21"/>
          <w:szCs w:val="21"/>
        </w:rPr>
        <w:t xml:space="preserve"> </w:t>
      </w:r>
      <w:proofErr w:type="gramStart"/>
      <w:r w:rsidRPr="001B614A">
        <w:rPr>
          <w:rFonts w:ascii="Palatino Linotype" w:hAnsi="Palatino Linotype" w:cs="Times New Roman"/>
          <w:sz w:val="21"/>
          <w:szCs w:val="21"/>
        </w:rPr>
        <w:t>de,</w:t>
      </w:r>
      <w:proofErr w:type="gramEnd"/>
      <w:r w:rsidRPr="001B614A">
        <w:rPr>
          <w:rFonts w:ascii="Palatino Linotype" w:hAnsi="Palatino Linotype" w:cs="Times New Roman"/>
          <w:sz w:val="21"/>
          <w:szCs w:val="21"/>
        </w:rPr>
        <w:t xml:space="preserve"> </w:t>
      </w:r>
      <w:r w:rsidR="00AE4031" w:rsidRPr="001B614A">
        <w:rPr>
          <w:rFonts w:ascii="Palatino Linotype" w:hAnsi="Palatino Linotype" w:cs="Times New Roman"/>
          <w:sz w:val="21"/>
          <w:szCs w:val="21"/>
        </w:rPr>
        <w:t xml:space="preserve">Yasama, Yürütme ve Yargı </w:t>
      </w:r>
      <w:r w:rsidRPr="001B614A">
        <w:rPr>
          <w:rFonts w:ascii="Palatino Linotype" w:hAnsi="Palatino Linotype" w:cs="Times New Roman"/>
          <w:sz w:val="21"/>
          <w:szCs w:val="21"/>
        </w:rPr>
        <w:t>Anayasanın 90. ve Sözleşme’nin 46</w:t>
      </w:r>
      <w:r w:rsidR="00CC1997" w:rsidRPr="001B614A">
        <w:rPr>
          <w:rFonts w:ascii="Palatino Linotype" w:hAnsi="Palatino Linotype" w:cs="Times New Roman"/>
          <w:sz w:val="21"/>
          <w:szCs w:val="21"/>
        </w:rPr>
        <w:t xml:space="preserve">. </w:t>
      </w:r>
      <w:r w:rsidR="00924F0F" w:rsidRPr="001B614A">
        <w:rPr>
          <w:rFonts w:ascii="Palatino Linotype" w:hAnsi="Palatino Linotype" w:cs="Times New Roman"/>
          <w:sz w:val="21"/>
          <w:szCs w:val="21"/>
        </w:rPr>
        <w:t>m</w:t>
      </w:r>
      <w:r w:rsidR="00CC1997" w:rsidRPr="001B614A">
        <w:rPr>
          <w:rFonts w:ascii="Palatino Linotype" w:hAnsi="Palatino Linotype" w:cs="Times New Roman"/>
          <w:sz w:val="21"/>
          <w:szCs w:val="21"/>
        </w:rPr>
        <w:t>addeleri gereği</w:t>
      </w:r>
      <w:r w:rsidR="00AE4031" w:rsidRPr="001B614A">
        <w:rPr>
          <w:rFonts w:ascii="Palatino Linotype" w:hAnsi="Palatino Linotype" w:cs="Times New Roman"/>
          <w:sz w:val="21"/>
          <w:szCs w:val="21"/>
        </w:rPr>
        <w:t xml:space="preserve"> tespit edilen ihlali gidermekle yükümlüdürler.</w:t>
      </w:r>
    </w:p>
    <w:p w14:paraId="29EDA2CA" w14:textId="77777777" w:rsidR="001B614A" w:rsidRPr="001B614A" w:rsidRDefault="001B614A" w:rsidP="001B614A">
      <w:pPr>
        <w:tabs>
          <w:tab w:val="left" w:pos="3870"/>
        </w:tabs>
        <w:spacing w:line="360" w:lineRule="auto"/>
        <w:ind w:left="270" w:right="-378"/>
        <w:jc w:val="both"/>
        <w:rPr>
          <w:rFonts w:ascii="Palatino Linotype" w:hAnsi="Palatino Linotype" w:cs="Times New Roman"/>
          <w:b/>
          <w:bCs/>
          <w:sz w:val="21"/>
          <w:szCs w:val="21"/>
        </w:rPr>
      </w:pPr>
      <w:r w:rsidRPr="001B614A">
        <w:rPr>
          <w:rFonts w:ascii="Palatino Linotype" w:hAnsi="Palatino Linotype"/>
          <w:b/>
          <w:bCs/>
          <w:color w:val="000000"/>
          <w:sz w:val="21"/>
          <w:szCs w:val="21"/>
        </w:rPr>
        <w:t>V. Talep</w:t>
      </w:r>
    </w:p>
    <w:p w14:paraId="2EF91328" w14:textId="5C45CCFB" w:rsidR="001B614A" w:rsidRPr="001B614A" w:rsidRDefault="001B614A"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olor w:val="000000"/>
          <w:sz w:val="21"/>
          <w:szCs w:val="21"/>
        </w:rPr>
        <w:t xml:space="preserve">AİHM’in </w:t>
      </w:r>
      <w:r w:rsidRPr="00256E5E">
        <w:rPr>
          <w:rFonts w:ascii="Palatino Linotype" w:hAnsi="Palatino Linotype"/>
          <w:b/>
          <w:bCs/>
          <w:color w:val="000000"/>
          <w:sz w:val="21"/>
          <w:szCs w:val="21"/>
        </w:rPr>
        <w:t>Yasak</w:t>
      </w:r>
      <w:r w:rsidR="002A5D75" w:rsidRPr="00256E5E">
        <w:rPr>
          <w:rFonts w:ascii="Palatino Linotype" w:hAnsi="Palatino Linotype"/>
          <w:b/>
          <w:bCs/>
          <w:color w:val="000000"/>
          <w:sz w:val="21"/>
          <w:szCs w:val="21"/>
        </w:rPr>
        <w:t>/</w:t>
      </w:r>
      <w:r w:rsidRPr="00256E5E">
        <w:rPr>
          <w:rFonts w:ascii="Palatino Linotype" w:hAnsi="Palatino Linotype"/>
          <w:b/>
          <w:bCs/>
          <w:color w:val="000000"/>
          <w:sz w:val="21"/>
          <w:szCs w:val="21"/>
        </w:rPr>
        <w:t>Türkiye</w:t>
      </w:r>
      <w:r w:rsidRPr="001B614A">
        <w:rPr>
          <w:rFonts w:ascii="Palatino Linotype" w:hAnsi="Palatino Linotype"/>
          <w:color w:val="000000"/>
          <w:sz w:val="21"/>
          <w:szCs w:val="21"/>
        </w:rPr>
        <w:t xml:space="preserve"> kararında vurgulandığı üzere; belirli verilere ve dolaylı kanıtlara dayanılarak kişilerin otomatik bir suçluluk karinesiyle </w:t>
      </w:r>
      <w:r w:rsidR="002A5D75">
        <w:rPr>
          <w:rFonts w:ascii="Palatino Linotype" w:hAnsi="Palatino Linotype"/>
          <w:color w:val="000000"/>
          <w:sz w:val="21"/>
          <w:szCs w:val="21"/>
        </w:rPr>
        <w:t xml:space="preserve">ve suçun unsurları ve özellikle de manevi unsuru somut delillerle ortaya konulmadan </w:t>
      </w:r>
      <w:r w:rsidRPr="001B614A">
        <w:rPr>
          <w:rFonts w:ascii="Palatino Linotype" w:hAnsi="Palatino Linotype"/>
          <w:color w:val="000000"/>
          <w:sz w:val="21"/>
          <w:szCs w:val="21"/>
        </w:rPr>
        <w:t xml:space="preserve">silahlı terör örgütüne üyelik suçundan </w:t>
      </w:r>
      <w:proofErr w:type="gramStart"/>
      <w:r w:rsidRPr="001B614A">
        <w:rPr>
          <w:rFonts w:ascii="Palatino Linotype" w:hAnsi="Palatino Linotype"/>
          <w:color w:val="000000"/>
          <w:sz w:val="21"/>
          <w:szCs w:val="21"/>
        </w:rPr>
        <w:t>mahk</w:t>
      </w:r>
      <w:r w:rsidR="002A5D75">
        <w:rPr>
          <w:rFonts w:ascii="Palatino Linotype" w:hAnsi="Palatino Linotype"/>
          <w:color w:val="000000"/>
          <w:sz w:val="21"/>
          <w:szCs w:val="21"/>
        </w:rPr>
        <w:t>u</w:t>
      </w:r>
      <w:r w:rsidRPr="001B614A">
        <w:rPr>
          <w:rFonts w:ascii="Palatino Linotype" w:hAnsi="Palatino Linotype"/>
          <w:color w:val="000000"/>
          <w:sz w:val="21"/>
          <w:szCs w:val="21"/>
        </w:rPr>
        <w:t>m</w:t>
      </w:r>
      <w:proofErr w:type="gramEnd"/>
      <w:r w:rsidRPr="001B614A">
        <w:rPr>
          <w:rFonts w:ascii="Palatino Linotype" w:hAnsi="Palatino Linotype"/>
          <w:color w:val="000000"/>
          <w:sz w:val="21"/>
          <w:szCs w:val="21"/>
        </w:rPr>
        <w:t xml:space="preserve"> edilmesi, Sözleşme'nin 7. maddesinde güvence altına alınan kanunilik ve öngörülebilirlik ilkelerini açıkça ihlal etmektedir.</w:t>
      </w:r>
      <w:r w:rsidRPr="001B614A">
        <w:rPr>
          <w:rStyle w:val="apple-converted-space"/>
          <w:rFonts w:ascii="Palatino Linotype" w:hAnsi="Palatino Linotype"/>
          <w:color w:val="000000"/>
          <w:sz w:val="21"/>
          <w:szCs w:val="21"/>
        </w:rPr>
        <w:t> </w:t>
      </w:r>
      <w:r w:rsidRPr="001B614A">
        <w:rPr>
          <w:rStyle w:val="citation-15"/>
          <w:rFonts w:ascii="Palatino Linotype" w:hAnsi="Palatino Linotype"/>
          <w:color w:val="000000"/>
          <w:sz w:val="21"/>
          <w:szCs w:val="21"/>
        </w:rPr>
        <w:t>AİHM, suçun fiil ve kasıt unsurunun her bir sanık özelinde, bireyselleştirilerek ve somut biçimde ispatlanması gerektiğini, aksi takdirde kolektif bir cezalandırma yoluna gidilmiş olacağını kesin bir dille belirtmiştir</w:t>
      </w:r>
      <w:r w:rsidRPr="001B614A">
        <w:rPr>
          <w:rFonts w:ascii="Palatino Linotype" w:hAnsi="Palatino Linotype"/>
          <w:color w:val="000000"/>
          <w:sz w:val="21"/>
          <w:szCs w:val="21"/>
        </w:rPr>
        <w:t>. Bu bağlamda, salt bir yapıyla kurulan irtibat veya yasal faaliyetler, suç işleme kastı somut olarak ispatlanmadığı sürece mahkûmiyete gerekçe yapılamaz.</w:t>
      </w:r>
    </w:p>
    <w:p w14:paraId="1610BA0C" w14:textId="77777777" w:rsidR="001B614A" w:rsidRPr="001B614A" w:rsidRDefault="001B614A"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olor w:val="000000"/>
          <w:sz w:val="21"/>
          <w:szCs w:val="21"/>
        </w:rPr>
        <w:t xml:space="preserve">Aynı şekilde, AİHM’in Yasak kararında ortaya koyduğu kriterler ışığında; şiddet eylemleriyle doğrudan bağlantısı bulunmayan, yapının eğitim veya dini faaliyetleri kapsamındaki eylemlerin </w:t>
      </w:r>
      <w:r w:rsidRPr="002A5D75">
        <w:rPr>
          <w:rFonts w:ascii="Palatino Linotype" w:hAnsi="Palatino Linotype"/>
          <w:color w:val="000000"/>
          <w:sz w:val="21"/>
          <w:szCs w:val="21"/>
          <w:highlight w:val="yellow"/>
        </w:rPr>
        <w:t>(dini sohbetlere katılma, yasal kurumlarda çalışma veya eğitim alma, banka işlemleri gibi)</w:t>
      </w:r>
      <w:r w:rsidRPr="001B614A">
        <w:rPr>
          <w:rFonts w:ascii="Palatino Linotype" w:hAnsi="Palatino Linotype"/>
          <w:color w:val="000000"/>
          <w:sz w:val="21"/>
          <w:szCs w:val="21"/>
        </w:rPr>
        <w:t xml:space="preserve"> Anayasa'nın 38. ve AİHS'nin 7. maddeleri kapsamında otomatik olarak suçun delili sayılamayacağı izahtan varestedir.</w:t>
      </w:r>
      <w:r w:rsidRPr="001B614A">
        <w:rPr>
          <w:rStyle w:val="apple-converted-space"/>
          <w:rFonts w:ascii="Palatino Linotype" w:hAnsi="Palatino Linotype"/>
          <w:color w:val="000000"/>
          <w:sz w:val="21"/>
          <w:szCs w:val="21"/>
        </w:rPr>
        <w:t> </w:t>
      </w:r>
      <w:r w:rsidRPr="001B614A">
        <w:rPr>
          <w:rStyle w:val="citation-14"/>
          <w:rFonts w:ascii="Palatino Linotype" w:hAnsi="Palatino Linotype"/>
          <w:color w:val="000000"/>
          <w:sz w:val="21"/>
          <w:szCs w:val="21"/>
        </w:rPr>
        <w:t>İlgili dönemde büyük ölçüde dini ve eğitimsel bir hareket olarak algılanan bir yapının bünyesindeki bu yasal faaliyetlerin, terör örgütünün şiddet içeren nihai amaçlarını bilerek ve isteyerek (özel kastla) gerçekleştirildiğine dair somut bir zihinsel bağ (kast) kurulmadan, hiyerarşik yapıya dahil olma iradesinin bir bulgusu olarak kabul edilmesi hukuki öngörülebilirlik kriterini karşılamamaktadır</w:t>
      </w:r>
      <w:r w:rsidRPr="001B614A">
        <w:rPr>
          <w:rFonts w:ascii="Palatino Linotype" w:hAnsi="Palatino Linotype"/>
          <w:color w:val="000000"/>
          <w:sz w:val="21"/>
          <w:szCs w:val="21"/>
        </w:rPr>
        <w:t>.</w:t>
      </w:r>
    </w:p>
    <w:p w14:paraId="216B0C87" w14:textId="7609C06A" w:rsidR="001B614A" w:rsidRPr="001B614A" w:rsidRDefault="001B614A"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olor w:val="000000"/>
          <w:sz w:val="21"/>
          <w:szCs w:val="21"/>
        </w:rPr>
        <w:lastRenderedPageBreak/>
        <w:t>AİHM’in Yasak kararında Sözleşme’nin 7. maddesinin ihlal gerekçesinin özü;</w:t>
      </w:r>
      <w:r w:rsidRPr="001B614A">
        <w:rPr>
          <w:rStyle w:val="apple-converted-space"/>
          <w:rFonts w:ascii="Palatino Linotype" w:hAnsi="Palatino Linotype"/>
          <w:color w:val="000000"/>
          <w:sz w:val="21"/>
          <w:szCs w:val="21"/>
        </w:rPr>
        <w:t> </w:t>
      </w:r>
      <w:r w:rsidRPr="001B614A">
        <w:rPr>
          <w:rStyle w:val="citation-13"/>
          <w:rFonts w:ascii="Palatino Linotype" w:hAnsi="Palatino Linotype"/>
          <w:color w:val="000000"/>
          <w:sz w:val="21"/>
          <w:szCs w:val="21"/>
        </w:rPr>
        <w:t>"kusursuz ceza olmaz" ilkesi uyarınca, suçun manevi unsurunun (kastın) sanığın şahsında somut ve bireyselleştirilmiş bir analizle tespit edilmeden, genel değerlendirmelere ve varsayımlara dayanılarak ceza verilmesidir</w:t>
      </w:r>
      <w:r w:rsidRPr="001B614A">
        <w:rPr>
          <w:rFonts w:ascii="Palatino Linotype" w:hAnsi="Palatino Linotype"/>
          <w:color w:val="000000"/>
          <w:sz w:val="21"/>
          <w:szCs w:val="21"/>
        </w:rPr>
        <w:t xml:space="preserve">. Bu durum </w:t>
      </w:r>
      <w:r w:rsidR="00006846" w:rsidRPr="00006846">
        <w:rPr>
          <w:rFonts w:ascii="Palatino Linotype" w:hAnsi="Palatino Linotype"/>
          <w:color w:val="000000"/>
          <w:sz w:val="21"/>
          <w:szCs w:val="21"/>
          <w:highlight w:val="yellow"/>
        </w:rPr>
        <w:t>müvekkil/</w:t>
      </w:r>
      <w:r w:rsidRPr="002A5D75">
        <w:rPr>
          <w:rFonts w:ascii="Palatino Linotype" w:hAnsi="Palatino Linotype"/>
          <w:color w:val="000000"/>
          <w:sz w:val="21"/>
          <w:szCs w:val="21"/>
          <w:highlight w:val="yellow"/>
        </w:rPr>
        <w:t>benim/eşim/vasisi olduğum …</w:t>
      </w:r>
      <w:r w:rsidRPr="001B614A">
        <w:rPr>
          <w:rFonts w:ascii="Palatino Linotype" w:hAnsi="Palatino Linotype"/>
          <w:color w:val="000000"/>
          <w:sz w:val="21"/>
          <w:szCs w:val="21"/>
        </w:rPr>
        <w:t xml:space="preserve"> için de aynen geçerlidir.</w:t>
      </w:r>
      <w:r w:rsidRPr="001B614A">
        <w:rPr>
          <w:rStyle w:val="apple-converted-space"/>
          <w:rFonts w:ascii="Palatino Linotype" w:hAnsi="Palatino Linotype"/>
          <w:color w:val="000000"/>
          <w:sz w:val="21"/>
          <w:szCs w:val="21"/>
        </w:rPr>
        <w:t> </w:t>
      </w:r>
      <w:r w:rsidRPr="001B614A">
        <w:rPr>
          <w:rStyle w:val="citation-12"/>
          <w:rFonts w:ascii="Palatino Linotype" w:hAnsi="Palatino Linotype"/>
          <w:color w:val="000000"/>
          <w:sz w:val="21"/>
          <w:szCs w:val="21"/>
        </w:rPr>
        <w:t>Kararda açıkça belirtildiği üzere, örgütün stratejik veya merkezi kanatlarıyla kişisel, işlevsel veya hiyerarşik bir bağ tespit edilmeden, yalnızca eğitim alanındaki rollere veya rutin faaliyetlere dayanılarak suç kastı ispatlanamaz</w:t>
      </w:r>
      <w:r w:rsidRPr="001B614A">
        <w:rPr>
          <w:rFonts w:ascii="Palatino Linotype" w:hAnsi="Palatino Linotype"/>
          <w:color w:val="000000"/>
          <w:sz w:val="21"/>
          <w:szCs w:val="21"/>
        </w:rPr>
        <w:t xml:space="preserve">. Mevcut dosyada, </w:t>
      </w:r>
      <w:r w:rsidRPr="002A5D75">
        <w:rPr>
          <w:rFonts w:ascii="Palatino Linotype" w:hAnsi="Palatino Linotype"/>
          <w:color w:val="000000"/>
          <w:sz w:val="21"/>
          <w:szCs w:val="21"/>
          <w:highlight w:val="yellow"/>
        </w:rPr>
        <w:t>benim/</w:t>
      </w:r>
      <w:r w:rsidR="00006846" w:rsidRPr="00006846">
        <w:rPr>
          <w:rFonts w:ascii="Palatino Linotype" w:hAnsi="Palatino Linotype"/>
          <w:color w:val="000000"/>
          <w:sz w:val="21"/>
          <w:szCs w:val="21"/>
        </w:rPr>
        <w:t xml:space="preserve"> </w:t>
      </w:r>
      <w:r w:rsidR="00006846" w:rsidRPr="00006846">
        <w:rPr>
          <w:rFonts w:ascii="Palatino Linotype" w:hAnsi="Palatino Linotype"/>
          <w:color w:val="000000"/>
          <w:sz w:val="21"/>
          <w:szCs w:val="21"/>
          <w:highlight w:val="yellow"/>
        </w:rPr>
        <w:t>müvekkilin/</w:t>
      </w:r>
      <w:r w:rsidRPr="002A5D75">
        <w:rPr>
          <w:rFonts w:ascii="Palatino Linotype" w:hAnsi="Palatino Linotype"/>
          <w:color w:val="000000"/>
          <w:sz w:val="21"/>
          <w:szCs w:val="21"/>
          <w:highlight w:val="yellow"/>
        </w:rPr>
        <w:t>eşimin/vasisi olduğum …’</w:t>
      </w:r>
      <w:proofErr w:type="spellStart"/>
      <w:r w:rsidRPr="002A5D75">
        <w:rPr>
          <w:rFonts w:ascii="Palatino Linotype" w:hAnsi="Palatino Linotype"/>
          <w:color w:val="000000"/>
          <w:sz w:val="21"/>
          <w:szCs w:val="21"/>
          <w:highlight w:val="yellow"/>
        </w:rPr>
        <w:t>ın</w:t>
      </w:r>
      <w:proofErr w:type="spellEnd"/>
      <w:r w:rsidR="002A5D75">
        <w:rPr>
          <w:rFonts w:ascii="Palatino Linotype" w:hAnsi="Palatino Linotype"/>
          <w:color w:val="000000"/>
          <w:sz w:val="21"/>
          <w:szCs w:val="21"/>
        </w:rPr>
        <w:t xml:space="preserve"> söz konusu </w:t>
      </w:r>
      <w:r w:rsidRPr="001B614A">
        <w:rPr>
          <w:rFonts w:ascii="Palatino Linotype" w:hAnsi="Palatino Linotype"/>
          <w:color w:val="000000"/>
          <w:sz w:val="21"/>
          <w:szCs w:val="21"/>
        </w:rPr>
        <w:t xml:space="preserve">yapının terör örgütüne dönüştüğünü bildiği, şiddet yöntemlerini ve nihai amaçlarını (darbe teşebbüsü vb.) bilerek ve isteyerek hareket ettiği yönünde hiçbir somut delil ortaya konulmamış; hiyerarşik yapıdaki konumum/konumu netleştirilmeden, isnat edilen yasal faaliyetlerin zamansal bağlamı dikkate alınmaksızın zihinsel bağ kurulmaya çalışılmıştır. Suçun manevi unsuru gerçekleşmemişse ve kast somut olarak ispatlanamıyorsa, ortada işlenmiş bir suçtan söz edilemez. Bu nedenlerle, </w:t>
      </w:r>
      <w:r w:rsidRPr="002A5D75">
        <w:rPr>
          <w:rFonts w:ascii="Palatino Linotype" w:hAnsi="Palatino Linotype"/>
          <w:color w:val="000000"/>
          <w:sz w:val="21"/>
          <w:szCs w:val="21"/>
          <w:highlight w:val="yellow"/>
        </w:rPr>
        <w:t xml:space="preserve">hakkımda/eşim hakkında/vasisi olduğum …. </w:t>
      </w:r>
      <w:proofErr w:type="gramStart"/>
      <w:r w:rsidRPr="002A5D75">
        <w:rPr>
          <w:rFonts w:ascii="Palatino Linotype" w:hAnsi="Palatino Linotype"/>
          <w:color w:val="000000"/>
          <w:sz w:val="21"/>
          <w:szCs w:val="21"/>
          <w:highlight w:val="yellow"/>
        </w:rPr>
        <w:t>hakkında</w:t>
      </w:r>
      <w:proofErr w:type="gramEnd"/>
      <w:r w:rsidRPr="001B614A">
        <w:rPr>
          <w:rFonts w:ascii="Palatino Linotype" w:hAnsi="Palatino Linotype"/>
          <w:color w:val="000000"/>
          <w:sz w:val="21"/>
          <w:szCs w:val="21"/>
        </w:rPr>
        <w:t xml:space="preserve"> CMK’nın 223/2-b maddesinde yer alan “yüklenen suçun sanık tarafından işlenmediğinin sabit olması” hükmü gereğince beraat kararı verilmesi elzemdir.</w:t>
      </w:r>
    </w:p>
    <w:p w14:paraId="60CD92E3" w14:textId="38F47700" w:rsidR="001B614A" w:rsidRPr="001B614A" w:rsidRDefault="001B614A"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olor w:val="000000"/>
          <w:sz w:val="21"/>
          <w:szCs w:val="21"/>
        </w:rPr>
        <w:t xml:space="preserve">AİHM Yasak kararında; daha geniş bir delil yelpazesine dayanılsa dahi, her bir sanığın hukuki durumunun, eylemlerin gerçekleştirildiği zamansal bağlam ve suç kastı yönünden titizlikle ve bireyselleştirilerek incelenmesinin zorunlu olduğunu vurgulamıştır. Gerek yerel </w:t>
      </w:r>
      <w:proofErr w:type="gramStart"/>
      <w:r w:rsidRPr="001B614A">
        <w:rPr>
          <w:rFonts w:ascii="Palatino Linotype" w:hAnsi="Palatino Linotype"/>
          <w:color w:val="000000"/>
          <w:sz w:val="21"/>
          <w:szCs w:val="21"/>
        </w:rPr>
        <w:t>mahkemelerin,</w:t>
      </w:r>
      <w:proofErr w:type="gramEnd"/>
      <w:r w:rsidRPr="001B614A">
        <w:rPr>
          <w:rFonts w:ascii="Palatino Linotype" w:hAnsi="Palatino Linotype"/>
          <w:color w:val="000000"/>
          <w:sz w:val="21"/>
          <w:szCs w:val="21"/>
        </w:rPr>
        <w:t xml:space="preserve"> gerek kanun yolu mercilerinin ve gerekse Anayasa Mahkemesi’nin, AİHS’in 46. ve Anayasa'nın 90/5. maddeleri gereğince, AİHM'in Yasak kararında belirlediği bu ilkelere (otomatik suçluluktan şahsi sorumluluğa geçiş ve kastın somut ispatı ilkelerine) göre yargılama yapmaları bir tercih değil yasal bir zorunluluktur. Atılı suçun maddi ve manevi unsurlarının oluşmaması ve atılı bu suçu işlediğim/işlediği hususunda cezalandırılmaya yeter, her türlü şüpheden uzak, kesin ve inandırıcı somut delil bulunmamaktadır. Bu nedenlerle, </w:t>
      </w:r>
      <w:r w:rsidRPr="002A5D75">
        <w:rPr>
          <w:rFonts w:ascii="Palatino Linotype" w:hAnsi="Palatino Linotype"/>
          <w:color w:val="000000"/>
          <w:sz w:val="21"/>
          <w:szCs w:val="21"/>
          <w:highlight w:val="yellow"/>
        </w:rPr>
        <w:t>durumum/eşimin durumu/vasisi olduğum</w:t>
      </w:r>
      <w:proofErr w:type="gramStart"/>
      <w:r w:rsidRPr="002A5D75">
        <w:rPr>
          <w:rFonts w:ascii="Palatino Linotype" w:hAnsi="Palatino Linotype"/>
          <w:color w:val="000000"/>
          <w:sz w:val="21"/>
          <w:szCs w:val="21"/>
          <w:highlight w:val="yellow"/>
        </w:rPr>
        <w:t xml:space="preserve"> ….</w:t>
      </w:r>
      <w:proofErr w:type="gramEnd"/>
      <w:r w:rsidRPr="002A5D75">
        <w:rPr>
          <w:rFonts w:ascii="Palatino Linotype" w:hAnsi="Palatino Linotype"/>
          <w:color w:val="000000"/>
          <w:sz w:val="21"/>
          <w:szCs w:val="21"/>
          <w:highlight w:val="yellow"/>
        </w:rPr>
        <w:t>’</w:t>
      </w:r>
      <w:proofErr w:type="spellStart"/>
      <w:r w:rsidRPr="002A5D75">
        <w:rPr>
          <w:rFonts w:ascii="Palatino Linotype" w:hAnsi="Palatino Linotype"/>
          <w:color w:val="000000"/>
          <w:sz w:val="21"/>
          <w:szCs w:val="21"/>
          <w:highlight w:val="yellow"/>
        </w:rPr>
        <w:t>ın</w:t>
      </w:r>
      <w:proofErr w:type="spellEnd"/>
      <w:r w:rsidRPr="001B614A">
        <w:rPr>
          <w:rFonts w:ascii="Palatino Linotype" w:hAnsi="Palatino Linotype"/>
          <w:color w:val="000000"/>
          <w:sz w:val="21"/>
          <w:szCs w:val="21"/>
        </w:rPr>
        <w:t xml:space="preserve"> durumu, sunduğumuz karar</w:t>
      </w:r>
      <w:r w:rsidR="002A5D75">
        <w:rPr>
          <w:rFonts w:ascii="Palatino Linotype" w:hAnsi="Palatino Linotype"/>
          <w:color w:val="000000"/>
          <w:sz w:val="21"/>
          <w:szCs w:val="21"/>
        </w:rPr>
        <w:t xml:space="preserve">dan da </w:t>
      </w:r>
      <w:r w:rsidRPr="001B614A">
        <w:rPr>
          <w:rFonts w:ascii="Palatino Linotype" w:hAnsi="Palatino Linotype"/>
          <w:color w:val="000000"/>
          <w:sz w:val="21"/>
          <w:szCs w:val="21"/>
        </w:rPr>
        <w:t xml:space="preserve">anlaşılacağı üzere AİHM’in Yasak kararına konu olay ile temel esaslar yönünden aynıdır. </w:t>
      </w:r>
      <w:r w:rsidRPr="002A5D75">
        <w:rPr>
          <w:rFonts w:ascii="Palatino Linotype" w:hAnsi="Palatino Linotype"/>
          <w:color w:val="000000"/>
          <w:sz w:val="21"/>
          <w:szCs w:val="21"/>
          <w:highlight w:val="yellow"/>
        </w:rPr>
        <w:t>Hakkımdaki/eşim hakkındaki/vasisi olduğum … hakkındaki</w:t>
      </w:r>
      <w:r w:rsidRPr="001B614A">
        <w:rPr>
          <w:rFonts w:ascii="Palatino Linotype" w:hAnsi="Palatino Linotype"/>
          <w:color w:val="000000"/>
          <w:sz w:val="21"/>
          <w:szCs w:val="21"/>
        </w:rPr>
        <w:t xml:space="preserve"> yargılama da aynı hatalı varsayımlara dayandığından; talebimizin kabulüne ve Anayasa’nın 33, 34, 36, 38, 51, 90, 138. ve 153. maddeleri, AİHS’nin 6, 7, 11. ve 46. maddeleri ve 6216 sayılı Kanunun 50. maddesi ile 5271 sayılı </w:t>
      </w:r>
      <w:proofErr w:type="spellStart"/>
      <w:r w:rsidRPr="001B614A">
        <w:rPr>
          <w:rFonts w:ascii="Palatino Linotype" w:hAnsi="Palatino Linotype"/>
          <w:color w:val="000000"/>
          <w:sz w:val="21"/>
          <w:szCs w:val="21"/>
        </w:rPr>
        <w:t>CMK’nun</w:t>
      </w:r>
      <w:proofErr w:type="spellEnd"/>
      <w:r w:rsidRPr="001B614A">
        <w:rPr>
          <w:rFonts w:ascii="Palatino Linotype" w:hAnsi="Palatino Linotype"/>
          <w:color w:val="000000"/>
          <w:sz w:val="21"/>
          <w:szCs w:val="21"/>
        </w:rPr>
        <w:t xml:space="preserve"> 308. vd. maddeleri uyarınca işbu dilekçe ile daha önceki savunmalarımızda belirtilen hususlar ve davanın esas ve usulüne yönelik </w:t>
      </w:r>
      <w:proofErr w:type="spellStart"/>
      <w:r w:rsidRPr="001B614A">
        <w:rPr>
          <w:rFonts w:ascii="Palatino Linotype" w:hAnsi="Palatino Linotype"/>
          <w:color w:val="000000"/>
          <w:sz w:val="21"/>
          <w:szCs w:val="21"/>
        </w:rPr>
        <w:t>re’sen</w:t>
      </w:r>
      <w:proofErr w:type="spellEnd"/>
      <w:r w:rsidRPr="001B614A">
        <w:rPr>
          <w:rFonts w:ascii="Palatino Linotype" w:hAnsi="Palatino Linotype"/>
          <w:color w:val="000000"/>
          <w:sz w:val="21"/>
          <w:szCs w:val="21"/>
        </w:rPr>
        <w:t xml:space="preserve"> tespit edilecek eksiklikler de dikkate alınarak </w:t>
      </w:r>
      <w:r w:rsidRPr="002A5D75">
        <w:rPr>
          <w:rFonts w:ascii="Palatino Linotype" w:hAnsi="Palatino Linotype"/>
          <w:color w:val="000000"/>
          <w:sz w:val="21"/>
          <w:szCs w:val="21"/>
          <w:highlight w:val="yellow"/>
        </w:rPr>
        <w:t>hakkımda/eşim hakkında/vasisi olduğum … hakkında</w:t>
      </w:r>
      <w:r w:rsidRPr="001B614A">
        <w:rPr>
          <w:rFonts w:ascii="Palatino Linotype" w:hAnsi="Palatino Linotype"/>
          <w:color w:val="000000"/>
          <w:sz w:val="21"/>
          <w:szCs w:val="21"/>
        </w:rPr>
        <w:t xml:space="preserve"> verilen ONAMA kararının kaldırılarak yerel mahkeme kararının BOZULMASINA karar verilmesi için dosyanın Yargıtay 3. Ceza Dairesi'ne gönderilmesi,</w:t>
      </w:r>
    </w:p>
    <w:p w14:paraId="46CEBEBB" w14:textId="573D0FCD" w:rsidR="001B614A" w:rsidRPr="001B614A" w:rsidRDefault="001B614A"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olor w:val="000000"/>
          <w:sz w:val="21"/>
          <w:szCs w:val="21"/>
        </w:rPr>
        <w:lastRenderedPageBreak/>
        <w:t>AİHM’in Yasak</w:t>
      </w:r>
      <w:r w:rsidR="002A5D75">
        <w:rPr>
          <w:rFonts w:ascii="Palatino Linotype" w:hAnsi="Palatino Linotype"/>
          <w:color w:val="000000"/>
          <w:sz w:val="21"/>
          <w:szCs w:val="21"/>
        </w:rPr>
        <w:t>/</w:t>
      </w:r>
      <w:r w:rsidRPr="001B614A">
        <w:rPr>
          <w:rFonts w:ascii="Palatino Linotype" w:hAnsi="Palatino Linotype"/>
          <w:color w:val="000000"/>
          <w:sz w:val="21"/>
          <w:szCs w:val="21"/>
        </w:rPr>
        <w:t xml:space="preserve">Türkiye kararında ortaya koyduğu 7. madde ihlali tespit ve değerlendirmeleri ile dosya kapsamındaki tüm savunmalarımız birlikte değerlendirildiğinde; </w:t>
      </w:r>
      <w:r w:rsidRPr="002A5D75">
        <w:rPr>
          <w:rFonts w:ascii="Palatino Linotype" w:hAnsi="Palatino Linotype"/>
          <w:color w:val="000000"/>
          <w:sz w:val="21"/>
          <w:szCs w:val="21"/>
          <w:highlight w:val="yellow"/>
        </w:rPr>
        <w:t>üzerime/eşimin üzerine/vasisi olduğum … üzerine</w:t>
      </w:r>
      <w:r w:rsidRPr="001B614A">
        <w:rPr>
          <w:rFonts w:ascii="Palatino Linotype" w:hAnsi="Palatino Linotype"/>
          <w:color w:val="000000"/>
          <w:sz w:val="21"/>
          <w:szCs w:val="21"/>
        </w:rPr>
        <w:t xml:space="preserve"> atılı suçu işlemediğimin/işlemediğinin sabit olması nedeniyle 5271 sayılı CMK’nın 223/2-b maddesi uyarınca hakkımda/hakkında BERAAT kararı verilmesi gerektiği hususunun da ayrıca belirtilmesi,</w:t>
      </w:r>
    </w:p>
    <w:p w14:paraId="24D9ED88" w14:textId="08913C9B" w:rsidR="001B614A" w:rsidRPr="001B614A" w:rsidRDefault="001B614A" w:rsidP="001B614A">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2A5D75">
        <w:rPr>
          <w:rFonts w:ascii="Palatino Linotype" w:hAnsi="Palatino Linotype"/>
          <w:color w:val="000000"/>
          <w:sz w:val="21"/>
          <w:szCs w:val="21"/>
          <w:highlight w:val="yellow"/>
        </w:rPr>
        <w:t>Hakkımda/eşim hakkında/vasisi olduğum … hakkında</w:t>
      </w:r>
      <w:r w:rsidRPr="001B614A">
        <w:rPr>
          <w:rFonts w:ascii="Palatino Linotype" w:hAnsi="Palatino Linotype"/>
          <w:color w:val="000000"/>
          <w:sz w:val="21"/>
          <w:szCs w:val="21"/>
        </w:rPr>
        <w:t xml:space="preserve"> infazın durdurulmasına ve salıverilmeme/salıverilmesine, Saygılarımla arz ve talep olunur. </w:t>
      </w:r>
      <w:proofErr w:type="gramStart"/>
      <w:r w:rsidRPr="001B614A">
        <w:rPr>
          <w:rFonts w:ascii="Palatino Linotype" w:hAnsi="Palatino Linotype"/>
          <w:color w:val="000000"/>
          <w:sz w:val="21"/>
          <w:szCs w:val="21"/>
        </w:rPr>
        <w:t>…../….</w:t>
      </w:r>
      <w:proofErr w:type="gramEnd"/>
      <w:r w:rsidRPr="001B614A">
        <w:rPr>
          <w:rFonts w:ascii="Palatino Linotype" w:hAnsi="Palatino Linotype"/>
          <w:color w:val="000000"/>
          <w:sz w:val="21"/>
          <w:szCs w:val="21"/>
        </w:rPr>
        <w:t>/202…</w:t>
      </w:r>
    </w:p>
    <w:p w14:paraId="11F41DA9" w14:textId="77777777" w:rsidR="006112FE" w:rsidRPr="001B614A" w:rsidRDefault="006112FE" w:rsidP="006112FE">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p>
    <w:p w14:paraId="6C0E832A" w14:textId="6787CAAC" w:rsidR="00B84193" w:rsidRPr="001B614A" w:rsidRDefault="006112FE" w:rsidP="00B84193">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00446E20" w:rsidRPr="001B614A">
        <w:rPr>
          <w:rFonts w:ascii="Palatino Linotype" w:hAnsi="Palatino Linotype" w:cs="Times New Roman"/>
          <w:color w:val="010000"/>
          <w:sz w:val="21"/>
          <w:szCs w:val="21"/>
          <w:shd w:val="clear" w:color="auto" w:fill="FFFFFF"/>
        </w:rPr>
        <w:t xml:space="preserve">       </w:t>
      </w:r>
      <w:r w:rsidR="00446E20" w:rsidRPr="001B614A">
        <w:rPr>
          <w:rFonts w:ascii="Palatino Linotype" w:hAnsi="Palatino Linotype" w:cs="Times New Roman"/>
          <w:color w:val="010000"/>
          <w:sz w:val="21"/>
          <w:szCs w:val="21"/>
          <w:highlight w:val="yellow"/>
          <w:shd w:val="clear" w:color="auto" w:fill="FFFFFF"/>
        </w:rPr>
        <w:t xml:space="preserve">Şüpheli / Sanık / </w:t>
      </w:r>
      <w:r w:rsidRPr="001B614A">
        <w:rPr>
          <w:rFonts w:ascii="Palatino Linotype" w:hAnsi="Palatino Linotype" w:cs="Times New Roman"/>
          <w:color w:val="010000"/>
          <w:sz w:val="21"/>
          <w:szCs w:val="21"/>
          <w:highlight w:val="yellow"/>
          <w:shd w:val="clear" w:color="auto" w:fill="FFFFFF"/>
        </w:rPr>
        <w:t>Hükümlü</w:t>
      </w:r>
      <w:r w:rsidR="00685A23" w:rsidRPr="001B614A">
        <w:rPr>
          <w:rFonts w:ascii="Palatino Linotype" w:hAnsi="Palatino Linotype" w:cs="Times New Roman"/>
          <w:color w:val="010000"/>
          <w:sz w:val="21"/>
          <w:szCs w:val="21"/>
          <w:highlight w:val="yellow"/>
          <w:shd w:val="clear" w:color="auto" w:fill="FFFFFF"/>
        </w:rPr>
        <w:t>/Eşi</w:t>
      </w:r>
    </w:p>
    <w:p w14:paraId="7504CA22" w14:textId="13932C96" w:rsidR="00B84193" w:rsidRPr="001B614A" w:rsidRDefault="009C6702" w:rsidP="002A5D75">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r>
      <w:r w:rsidRPr="001B614A">
        <w:rPr>
          <w:rFonts w:ascii="Palatino Linotype" w:hAnsi="Palatino Linotype" w:cs="Times New Roman"/>
          <w:color w:val="010000"/>
          <w:sz w:val="21"/>
          <w:szCs w:val="21"/>
          <w:shd w:val="clear" w:color="auto" w:fill="FFFFFF"/>
        </w:rPr>
        <w:tab/>
        <w:t>İmz</w:t>
      </w:r>
      <w:r w:rsidR="002A5D75">
        <w:rPr>
          <w:rFonts w:ascii="Palatino Linotype" w:hAnsi="Palatino Linotype" w:cs="Times New Roman"/>
          <w:color w:val="010000"/>
          <w:sz w:val="21"/>
          <w:szCs w:val="21"/>
          <w:shd w:val="clear" w:color="auto" w:fill="FFFFFF"/>
        </w:rPr>
        <w:t>a</w:t>
      </w:r>
    </w:p>
    <w:p w14:paraId="3F7CF318" w14:textId="77777777" w:rsidR="00B84193" w:rsidRPr="001B614A" w:rsidRDefault="00B84193" w:rsidP="00B84193">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p>
    <w:p w14:paraId="3A2A8DE2" w14:textId="773E7AC7" w:rsidR="00685A23" w:rsidRPr="001B614A" w:rsidRDefault="004063DF" w:rsidP="00685A23">
      <w:pPr>
        <w:pStyle w:val="ListeParagraf"/>
        <w:tabs>
          <w:tab w:val="left" w:pos="3870"/>
        </w:tabs>
        <w:spacing w:line="360" w:lineRule="auto"/>
        <w:ind w:left="630" w:right="-378"/>
        <w:jc w:val="both"/>
        <w:rPr>
          <w:rFonts w:ascii="Palatino Linotype" w:hAnsi="Palatino Linotype" w:cs="Times New Roman"/>
          <w:b/>
          <w:color w:val="010000"/>
          <w:sz w:val="21"/>
          <w:szCs w:val="21"/>
          <w:u w:val="thick"/>
          <w:shd w:val="clear" w:color="auto" w:fill="FFFFFF"/>
        </w:rPr>
      </w:pPr>
      <w:r w:rsidRPr="001B614A">
        <w:rPr>
          <w:rFonts w:ascii="Palatino Linotype" w:hAnsi="Palatino Linotype" w:cs="Times New Roman"/>
          <w:b/>
          <w:color w:val="010000"/>
          <w:sz w:val="21"/>
          <w:szCs w:val="21"/>
          <w:u w:val="thick"/>
          <w:shd w:val="clear" w:color="auto" w:fill="FFFFFF"/>
        </w:rPr>
        <w:t>EK</w:t>
      </w:r>
      <w:r w:rsidR="00685A23" w:rsidRPr="001B614A">
        <w:rPr>
          <w:rFonts w:ascii="Palatino Linotype" w:hAnsi="Palatino Linotype" w:cs="Times New Roman"/>
          <w:b/>
          <w:color w:val="010000"/>
          <w:sz w:val="21"/>
          <w:szCs w:val="21"/>
          <w:u w:val="thick"/>
          <w:shd w:val="clear" w:color="auto" w:fill="FFFFFF"/>
        </w:rPr>
        <w:t>’LER</w:t>
      </w:r>
    </w:p>
    <w:p w14:paraId="1D6F2A96" w14:textId="77777777" w:rsidR="00685A23" w:rsidRPr="001B614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sz w:val="21"/>
          <w:szCs w:val="21"/>
        </w:rPr>
      </w:pPr>
      <w:r w:rsidRPr="001B614A">
        <w:rPr>
          <w:rFonts w:ascii="Palatino Linotype" w:hAnsi="Palatino Linotype"/>
          <w:color w:val="000000"/>
          <w:sz w:val="21"/>
          <w:szCs w:val="21"/>
        </w:rPr>
        <w:t>Nüfus Aile Kayıt Örneği, </w:t>
      </w:r>
    </w:p>
    <w:p w14:paraId="737CC7CD" w14:textId="77777777" w:rsidR="00B84193" w:rsidRPr="001B614A" w:rsidRDefault="00685A23" w:rsidP="00B8419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sz w:val="21"/>
          <w:szCs w:val="21"/>
        </w:rPr>
      </w:pPr>
      <w:r w:rsidRPr="001B614A">
        <w:rPr>
          <w:rFonts w:ascii="Palatino Linotype" w:hAnsi="Palatino Linotype"/>
          <w:color w:val="000000"/>
          <w:sz w:val="21"/>
          <w:szCs w:val="21"/>
        </w:rPr>
        <w:t>T.C. Kimlik Fotokopisi,</w:t>
      </w:r>
    </w:p>
    <w:p w14:paraId="37C197F3" w14:textId="3F10E017" w:rsidR="00B84193" w:rsidRPr="001B614A" w:rsidRDefault="00B84193" w:rsidP="00B8419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sz w:val="21"/>
          <w:szCs w:val="21"/>
        </w:rPr>
      </w:pPr>
      <w:proofErr w:type="gramStart"/>
      <w:r w:rsidRPr="001B614A">
        <w:rPr>
          <w:rFonts w:ascii="Palatino Linotype" w:hAnsi="Palatino Linotype"/>
          <w:color w:val="000000"/>
          <w:sz w:val="21"/>
          <w:szCs w:val="21"/>
        </w:rPr>
        <w:t>….</w:t>
      </w:r>
      <w:proofErr w:type="gramEnd"/>
      <w:r w:rsidRPr="001B614A">
        <w:rPr>
          <w:rFonts w:ascii="Palatino Linotype" w:hAnsi="Palatino Linotype"/>
          <w:color w:val="000000"/>
          <w:sz w:val="21"/>
          <w:szCs w:val="21"/>
        </w:rPr>
        <w:t>Sulh Hukuk Mahkemesi’nin …tarih, … E., … K. sayılı vasi tayini kararı</w:t>
      </w:r>
    </w:p>
    <w:p w14:paraId="106702F8" w14:textId="32630208" w:rsidR="00685A23" w:rsidRPr="001B614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sz w:val="21"/>
          <w:szCs w:val="21"/>
        </w:rPr>
      </w:pPr>
      <w:r w:rsidRPr="001B614A">
        <w:rPr>
          <w:rFonts w:ascii="Palatino Linotype" w:hAnsi="Palatino Linotype"/>
          <w:color w:val="010000"/>
          <w:sz w:val="21"/>
          <w:szCs w:val="21"/>
          <w:shd w:val="clear" w:color="auto" w:fill="FFFFFF"/>
        </w:rPr>
        <w:t>AİHM</w:t>
      </w:r>
      <w:r w:rsidR="002A5D75">
        <w:rPr>
          <w:rFonts w:ascii="Palatino Linotype" w:hAnsi="Palatino Linotype"/>
          <w:color w:val="010000"/>
          <w:sz w:val="21"/>
          <w:szCs w:val="21"/>
          <w:shd w:val="clear" w:color="auto" w:fill="FFFFFF"/>
        </w:rPr>
        <w:t>’in</w:t>
      </w:r>
      <w:r w:rsidRPr="001B614A">
        <w:rPr>
          <w:rFonts w:ascii="Palatino Linotype" w:hAnsi="Palatino Linotype"/>
          <w:color w:val="010000"/>
          <w:sz w:val="21"/>
          <w:szCs w:val="21"/>
          <w:shd w:val="clear" w:color="auto" w:fill="FFFFFF"/>
        </w:rPr>
        <w:t xml:space="preserve"> Y</w:t>
      </w:r>
      <w:r w:rsidR="002A5D75">
        <w:rPr>
          <w:rFonts w:ascii="Palatino Linotype" w:hAnsi="Palatino Linotype"/>
          <w:color w:val="010000"/>
          <w:sz w:val="21"/>
          <w:szCs w:val="21"/>
          <w:shd w:val="clear" w:color="auto" w:fill="FFFFFF"/>
        </w:rPr>
        <w:t>asak</w:t>
      </w:r>
      <w:r w:rsidRPr="001B614A">
        <w:rPr>
          <w:rFonts w:ascii="Palatino Linotype" w:hAnsi="Palatino Linotype"/>
          <w:color w:val="010000"/>
          <w:sz w:val="21"/>
          <w:szCs w:val="21"/>
          <w:shd w:val="clear" w:color="auto" w:fill="FFFFFF"/>
        </w:rPr>
        <w:t>/ Türkiye Kararı Özeti</w:t>
      </w:r>
    </w:p>
    <w:p w14:paraId="5AE9A355" w14:textId="77777777" w:rsidR="00685A23" w:rsidRPr="001B614A" w:rsidRDefault="00685A23" w:rsidP="00685A23">
      <w:pPr>
        <w:pStyle w:val="NormalWeb"/>
        <w:spacing w:before="0" w:beforeAutospacing="0" w:after="0" w:afterAutospacing="0"/>
        <w:jc w:val="both"/>
        <w:textAlignment w:val="baseline"/>
        <w:rPr>
          <w:rFonts w:ascii="Palatino Linotype" w:hAnsi="Palatino Linotype"/>
          <w:color w:val="010000"/>
          <w:sz w:val="21"/>
          <w:szCs w:val="21"/>
          <w:shd w:val="clear" w:color="auto" w:fill="FFFFFF"/>
        </w:rPr>
      </w:pPr>
    </w:p>
    <w:p w14:paraId="1ED84728" w14:textId="62F1D0E0" w:rsidR="004063DF" w:rsidRPr="001B614A" w:rsidRDefault="00685A23" w:rsidP="00B84193">
      <w:pPr>
        <w:pStyle w:val="NormalWeb"/>
        <w:spacing w:before="0" w:beforeAutospacing="0" w:after="0" w:afterAutospacing="0"/>
        <w:ind w:firstLine="708"/>
        <w:jc w:val="both"/>
        <w:textAlignment w:val="baseline"/>
        <w:rPr>
          <w:rFonts w:ascii="Palatino Linotype" w:hAnsi="Palatino Linotype"/>
          <w:b/>
          <w:color w:val="010000"/>
          <w:sz w:val="21"/>
          <w:szCs w:val="21"/>
          <w:u w:val="thick"/>
          <w:shd w:val="clear" w:color="auto" w:fill="FFFFFF"/>
        </w:rPr>
      </w:pPr>
      <w:r w:rsidRPr="001B614A">
        <w:rPr>
          <w:rFonts w:ascii="Palatino Linotype" w:hAnsi="Palatino Linotype"/>
          <w:b/>
          <w:bCs/>
          <w:color w:val="010000"/>
          <w:sz w:val="21"/>
          <w:szCs w:val="21"/>
          <w:shd w:val="clear" w:color="auto" w:fill="FFFFFF"/>
        </w:rPr>
        <w:t>Dikkat:</w:t>
      </w:r>
      <w:r w:rsidRPr="001B614A">
        <w:rPr>
          <w:rFonts w:ascii="Palatino Linotype" w:hAnsi="Palatino Linotype"/>
          <w:color w:val="010000"/>
          <w:sz w:val="21"/>
          <w:szCs w:val="21"/>
          <w:shd w:val="clear" w:color="auto" w:fill="FFFFFF"/>
        </w:rPr>
        <w:t xml:space="preserve"> </w:t>
      </w:r>
      <w:r w:rsidR="00B84193" w:rsidRPr="001B614A">
        <w:rPr>
          <w:rFonts w:ascii="Palatino Linotype" w:hAnsi="Palatino Linotype"/>
          <w:color w:val="010000"/>
          <w:sz w:val="21"/>
          <w:szCs w:val="21"/>
          <w:highlight w:val="yellow"/>
          <w:shd w:val="clear" w:color="auto" w:fill="FFFFFF"/>
        </w:rPr>
        <w:t>Vasilerin 2 ve 3 numaralı, eşlerin 1 ve 2 numaralı belgeleri eklemeleri, başvuru yapan herkesin 4 numaralı karar özetini de eklemesi gerekir.</w:t>
      </w:r>
    </w:p>
    <w:sectPr w:rsidR="004063DF" w:rsidRPr="001B614A" w:rsidSect="003D1D6A">
      <w:pgSz w:w="11906" w:h="16838"/>
      <w:pgMar w:top="1276" w:right="1417" w:bottom="1276" w:left="12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4" w15:restartNumberingAfterBreak="0">
    <w:nsid w:val="7AC36854"/>
    <w:multiLevelType w:val="hybridMultilevel"/>
    <w:tmpl w:val="6F941D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836314">
    <w:abstractNumId w:val="2"/>
  </w:num>
  <w:num w:numId="2" w16cid:durableId="351878185">
    <w:abstractNumId w:val="1"/>
  </w:num>
  <w:num w:numId="3" w16cid:durableId="1557542335">
    <w:abstractNumId w:val="3"/>
  </w:num>
  <w:num w:numId="4" w16cid:durableId="413354384">
    <w:abstractNumId w:val="0"/>
  </w:num>
  <w:num w:numId="5" w16cid:durableId="17463854">
    <w:abstractNumId w:val="4"/>
  </w:num>
  <w:num w:numId="6" w16cid:durableId="2088722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06846"/>
    <w:rsid w:val="00013342"/>
    <w:rsid w:val="00013B6E"/>
    <w:rsid w:val="00060B5D"/>
    <w:rsid w:val="0006254E"/>
    <w:rsid w:val="00074124"/>
    <w:rsid w:val="000D0E5C"/>
    <w:rsid w:val="00103BDA"/>
    <w:rsid w:val="00113171"/>
    <w:rsid w:val="0014471D"/>
    <w:rsid w:val="00161044"/>
    <w:rsid w:val="00196279"/>
    <w:rsid w:val="001B614A"/>
    <w:rsid w:val="00221D24"/>
    <w:rsid w:val="00225111"/>
    <w:rsid w:val="00256E5E"/>
    <w:rsid w:val="00261695"/>
    <w:rsid w:val="00265EA3"/>
    <w:rsid w:val="00291AC1"/>
    <w:rsid w:val="002A5D75"/>
    <w:rsid w:val="002B543A"/>
    <w:rsid w:val="00382C15"/>
    <w:rsid w:val="003943FE"/>
    <w:rsid w:val="00397A8C"/>
    <w:rsid w:val="003A6719"/>
    <w:rsid w:val="003B099C"/>
    <w:rsid w:val="003B35EE"/>
    <w:rsid w:val="003B4A04"/>
    <w:rsid w:val="003B61D4"/>
    <w:rsid w:val="003D1D6A"/>
    <w:rsid w:val="003E157F"/>
    <w:rsid w:val="003E17B1"/>
    <w:rsid w:val="004063DF"/>
    <w:rsid w:val="0041095E"/>
    <w:rsid w:val="00446E20"/>
    <w:rsid w:val="00454D63"/>
    <w:rsid w:val="004757E9"/>
    <w:rsid w:val="00494009"/>
    <w:rsid w:val="0049707F"/>
    <w:rsid w:val="004A1B60"/>
    <w:rsid w:val="004C28E6"/>
    <w:rsid w:val="004E02D8"/>
    <w:rsid w:val="004E10A2"/>
    <w:rsid w:val="004E3A16"/>
    <w:rsid w:val="004F0048"/>
    <w:rsid w:val="00514C89"/>
    <w:rsid w:val="00533040"/>
    <w:rsid w:val="0059049D"/>
    <w:rsid w:val="005A714C"/>
    <w:rsid w:val="005B4E3A"/>
    <w:rsid w:val="006112FE"/>
    <w:rsid w:val="00654E7F"/>
    <w:rsid w:val="006760BE"/>
    <w:rsid w:val="00681B83"/>
    <w:rsid w:val="00685A23"/>
    <w:rsid w:val="00695C3D"/>
    <w:rsid w:val="006B71ED"/>
    <w:rsid w:val="006C1386"/>
    <w:rsid w:val="006C1FA0"/>
    <w:rsid w:val="006D22DA"/>
    <w:rsid w:val="006D3547"/>
    <w:rsid w:val="0070131E"/>
    <w:rsid w:val="007018E6"/>
    <w:rsid w:val="00720C35"/>
    <w:rsid w:val="00720D6B"/>
    <w:rsid w:val="007228F7"/>
    <w:rsid w:val="00741EAE"/>
    <w:rsid w:val="00745D10"/>
    <w:rsid w:val="00746227"/>
    <w:rsid w:val="00762D0A"/>
    <w:rsid w:val="00786E68"/>
    <w:rsid w:val="007941E4"/>
    <w:rsid w:val="007A42D5"/>
    <w:rsid w:val="007C7CD2"/>
    <w:rsid w:val="007E0C87"/>
    <w:rsid w:val="00854D9B"/>
    <w:rsid w:val="00865AE8"/>
    <w:rsid w:val="00875E34"/>
    <w:rsid w:val="008A5BF2"/>
    <w:rsid w:val="008C15EA"/>
    <w:rsid w:val="008D5592"/>
    <w:rsid w:val="008E10E0"/>
    <w:rsid w:val="00924F0F"/>
    <w:rsid w:val="00926DF6"/>
    <w:rsid w:val="00927DB9"/>
    <w:rsid w:val="00940007"/>
    <w:rsid w:val="009437AD"/>
    <w:rsid w:val="00951289"/>
    <w:rsid w:val="0096567D"/>
    <w:rsid w:val="009815B6"/>
    <w:rsid w:val="0098439E"/>
    <w:rsid w:val="00987EF7"/>
    <w:rsid w:val="0099678B"/>
    <w:rsid w:val="009C3F9F"/>
    <w:rsid w:val="009C6702"/>
    <w:rsid w:val="009F0FBE"/>
    <w:rsid w:val="00A024B5"/>
    <w:rsid w:val="00A03E39"/>
    <w:rsid w:val="00A155C9"/>
    <w:rsid w:val="00A324F6"/>
    <w:rsid w:val="00A32596"/>
    <w:rsid w:val="00A5622E"/>
    <w:rsid w:val="00AB0224"/>
    <w:rsid w:val="00AC5724"/>
    <w:rsid w:val="00AE4031"/>
    <w:rsid w:val="00AE4292"/>
    <w:rsid w:val="00AE4F87"/>
    <w:rsid w:val="00AE78E5"/>
    <w:rsid w:val="00B64CC8"/>
    <w:rsid w:val="00B70657"/>
    <w:rsid w:val="00B76022"/>
    <w:rsid w:val="00B84193"/>
    <w:rsid w:val="00B928E8"/>
    <w:rsid w:val="00BA1DEA"/>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97B5F"/>
    <w:rsid w:val="00DA3607"/>
    <w:rsid w:val="00DB4AFB"/>
    <w:rsid w:val="00DB6220"/>
    <w:rsid w:val="00DC5A41"/>
    <w:rsid w:val="00DD4EB8"/>
    <w:rsid w:val="00E236ED"/>
    <w:rsid w:val="00E40DC4"/>
    <w:rsid w:val="00E62FD3"/>
    <w:rsid w:val="00E732BA"/>
    <w:rsid w:val="00E83C07"/>
    <w:rsid w:val="00E90F06"/>
    <w:rsid w:val="00EC7A30"/>
    <w:rsid w:val="00ED0C78"/>
    <w:rsid w:val="00EF1192"/>
    <w:rsid w:val="00F3397C"/>
    <w:rsid w:val="00F508CA"/>
    <w:rsid w:val="00F82768"/>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C1386"/>
  </w:style>
  <w:style w:type="character" w:customStyle="1" w:styleId="citation-15">
    <w:name w:val="citation-15"/>
    <w:basedOn w:val="VarsaylanParagrafYazTipi"/>
    <w:rsid w:val="001B614A"/>
  </w:style>
  <w:style w:type="character" w:customStyle="1" w:styleId="citation-14">
    <w:name w:val="citation-14"/>
    <w:basedOn w:val="VarsaylanParagrafYazTipi"/>
    <w:rsid w:val="001B614A"/>
  </w:style>
  <w:style w:type="character" w:customStyle="1" w:styleId="citation-13">
    <w:name w:val="citation-13"/>
    <w:basedOn w:val="VarsaylanParagrafYazTipi"/>
    <w:rsid w:val="001B614A"/>
  </w:style>
  <w:style w:type="character" w:customStyle="1" w:styleId="citation-12">
    <w:name w:val="citation-12"/>
    <w:basedOn w:val="VarsaylanParagrafYazTipi"/>
    <w:rsid w:val="001B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36553">
      <w:bodyDiv w:val="1"/>
      <w:marLeft w:val="0"/>
      <w:marRight w:val="0"/>
      <w:marTop w:val="0"/>
      <w:marBottom w:val="0"/>
      <w:divBdr>
        <w:top w:val="none" w:sz="0" w:space="0" w:color="auto"/>
        <w:left w:val="none" w:sz="0" w:space="0" w:color="auto"/>
        <w:bottom w:val="none" w:sz="0" w:space="0" w:color="auto"/>
        <w:right w:val="none" w:sz="0" w:space="0" w:color="auto"/>
      </w:divBdr>
    </w:div>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1978485392">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4603</Words>
  <Characters>26243</Characters>
  <Application>Microsoft Office Word</Application>
  <DocSecurity>0</DocSecurity>
  <Lines>218</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 Y</cp:lastModifiedBy>
  <cp:revision>4</cp:revision>
  <dcterms:created xsi:type="dcterms:W3CDTF">2026-05-10T19:39:00Z</dcterms:created>
  <dcterms:modified xsi:type="dcterms:W3CDTF">2026-05-10T20:38:00Z</dcterms:modified>
</cp:coreProperties>
</file>