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211" w:rsidRDefault="00A06F22" w:rsidP="00E15DFB">
      <w:pPr>
        <w:pStyle w:val="NormalWeb"/>
        <w:tabs>
          <w:tab w:val="left" w:pos="426"/>
        </w:tabs>
        <w:jc w:val="center"/>
        <w:rPr>
          <w:rFonts w:ascii="Palatino Linotype" w:hAnsi="Palatino Linotype"/>
          <w:color w:val="000000"/>
          <w:sz w:val="22"/>
          <w:szCs w:val="22"/>
        </w:rPr>
      </w:pPr>
      <w:r w:rsidRPr="00A06F22">
        <w:rPr>
          <w:rFonts w:ascii="Palatino Linotype" w:hAnsi="Palatino Linotype"/>
          <w:b/>
          <w:bCs/>
          <w:color w:val="000000"/>
          <w:sz w:val="22"/>
          <w:szCs w:val="22"/>
          <w:highlight w:val="yellow"/>
        </w:rPr>
        <w:t>…</w:t>
      </w:r>
      <w:r w:rsidR="00CC7211" w:rsidRPr="00CC7211">
        <w:rPr>
          <w:rFonts w:ascii="Palatino Linotype" w:hAnsi="Palatino Linotype"/>
          <w:b/>
          <w:bCs/>
          <w:color w:val="000000"/>
          <w:sz w:val="22"/>
          <w:szCs w:val="22"/>
        </w:rPr>
        <w:t>AĞIR CEZA MAHKEMESİ BAŞKANLIĞINA</w:t>
      </w:r>
    </w:p>
    <w:p w:rsidR="00A06F22" w:rsidRDefault="00A06F22" w:rsidP="00E15DFB">
      <w:pPr>
        <w:pStyle w:val="NormalWeb"/>
        <w:tabs>
          <w:tab w:val="left" w:pos="426"/>
        </w:tabs>
        <w:jc w:val="both"/>
        <w:rPr>
          <w:rStyle w:val="apple-converted-space"/>
          <w:rFonts w:ascii="Palatino Linotype" w:eastAsiaTheme="majorEastAsia" w:hAnsi="Palatino Linotype"/>
          <w:color w:val="000000"/>
          <w:sz w:val="22"/>
          <w:szCs w:val="22"/>
        </w:rPr>
      </w:pPr>
    </w:p>
    <w:p w:rsidR="00CC7211" w:rsidRDefault="00CC7211" w:rsidP="00E15DFB">
      <w:pPr>
        <w:pStyle w:val="NormalWeb"/>
        <w:tabs>
          <w:tab w:val="left" w:pos="426"/>
        </w:tabs>
        <w:jc w:val="both"/>
        <w:rPr>
          <w:rStyle w:val="apple-converted-space"/>
          <w:rFonts w:ascii="Palatino Linotype" w:eastAsiaTheme="majorEastAsia" w:hAnsi="Palatino Linotype"/>
          <w:color w:val="000000"/>
          <w:sz w:val="22"/>
          <w:szCs w:val="22"/>
        </w:rPr>
      </w:pP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ESAS NO          :</w:t>
      </w:r>
      <w:r w:rsidRPr="00CC7211">
        <w:rPr>
          <w:rFonts w:ascii="Palatino Linotype" w:hAnsi="Palatino Linotype"/>
          <w:color w:val="000000"/>
          <w:sz w:val="22"/>
          <w:szCs w:val="22"/>
        </w:rPr>
        <w:t> </w:t>
      </w:r>
      <w:r w:rsidRPr="00E15DFB">
        <w:rPr>
          <w:rFonts w:ascii="Palatino Linotype" w:hAnsi="Palatino Linotype"/>
          <w:color w:val="000000"/>
          <w:sz w:val="22"/>
          <w:szCs w:val="22"/>
          <w:highlight w:val="yellow"/>
        </w:rPr>
        <w:t>202.../...</w:t>
      </w:r>
      <w:r w:rsidRPr="00CC7211">
        <w:rPr>
          <w:rFonts w:ascii="Palatino Linotype" w:hAnsi="Palatino Linotype"/>
          <w:color w:val="000000"/>
          <w:sz w:val="22"/>
          <w:szCs w:val="22"/>
        </w:rPr>
        <w:t>  </w:t>
      </w:r>
      <w:r w:rsidRPr="00CC7211">
        <w:rPr>
          <w:rStyle w:val="apple-converted-space"/>
          <w:rFonts w:ascii="Palatino Linotype" w:eastAsiaTheme="majorEastAsia" w:hAnsi="Palatino Linotype"/>
          <w:color w:val="000000"/>
          <w:sz w:val="22"/>
          <w:szCs w:val="22"/>
        </w:rPr>
        <w:t> </w:t>
      </w:r>
    </w:p>
    <w:p w:rsidR="00CC7211" w:rsidRDefault="00CC7211" w:rsidP="00E15DFB">
      <w:pPr>
        <w:pStyle w:val="NormalWeb"/>
        <w:tabs>
          <w:tab w:val="left" w:pos="426"/>
        </w:tabs>
        <w:jc w:val="both"/>
        <w:rPr>
          <w:rStyle w:val="apple-converted-space"/>
          <w:rFonts w:ascii="Palatino Linotype" w:eastAsiaTheme="majorEastAsia" w:hAnsi="Palatino Linotype"/>
          <w:color w:val="000000"/>
          <w:sz w:val="22"/>
          <w:szCs w:val="22"/>
        </w:rPr>
      </w:pPr>
      <w:r w:rsidRPr="00CC7211">
        <w:rPr>
          <w:rFonts w:ascii="Palatino Linotype" w:hAnsi="Palatino Linotype"/>
          <w:b/>
          <w:bCs/>
          <w:color w:val="000000"/>
          <w:sz w:val="22"/>
          <w:szCs w:val="22"/>
        </w:rPr>
        <w:t>SANIK              :</w:t>
      </w:r>
      <w:r w:rsidRPr="00CC7211">
        <w:rPr>
          <w:rFonts w:ascii="Palatino Linotype" w:hAnsi="Palatino Linotype"/>
          <w:color w:val="000000"/>
          <w:sz w:val="22"/>
          <w:szCs w:val="22"/>
        </w:rPr>
        <w:t> </w:t>
      </w:r>
      <w:r w:rsidRPr="00E15DFB">
        <w:rPr>
          <w:rFonts w:ascii="Palatino Linotype" w:hAnsi="Palatino Linotype"/>
          <w:color w:val="000000"/>
          <w:sz w:val="22"/>
          <w:szCs w:val="22"/>
          <w:highlight w:val="yellow"/>
        </w:rPr>
        <w:t>[İsim Soyisim, T.C. Kimlik No] </w:t>
      </w:r>
      <w:r w:rsidRPr="00E15DFB">
        <w:rPr>
          <w:rStyle w:val="apple-converted-space"/>
          <w:rFonts w:ascii="Palatino Linotype" w:eastAsiaTheme="majorEastAsia" w:hAnsi="Palatino Linotype"/>
          <w:color w:val="000000"/>
          <w:sz w:val="22"/>
          <w:szCs w:val="22"/>
          <w:highlight w:val="yellow"/>
        </w:rPr>
        <w:t> </w:t>
      </w:r>
      <w:r w:rsidRPr="00E15DFB">
        <w:rPr>
          <w:rFonts w:ascii="Palatino Linotype" w:hAnsi="Palatino Linotype"/>
          <w:b/>
          <w:bCs/>
          <w:color w:val="000000"/>
          <w:sz w:val="22"/>
          <w:szCs w:val="22"/>
          <w:highlight w:val="yellow"/>
        </w:rPr>
        <w:t>ADRES              :</w:t>
      </w:r>
      <w:r w:rsidRPr="00E15DFB">
        <w:rPr>
          <w:rFonts w:ascii="Palatino Linotype" w:hAnsi="Palatino Linotype"/>
          <w:color w:val="000000"/>
          <w:sz w:val="22"/>
          <w:szCs w:val="22"/>
          <w:highlight w:val="yellow"/>
        </w:rPr>
        <w:t> [Adres bilgisi]</w:t>
      </w:r>
      <w:r w:rsidRPr="00CC7211">
        <w:rPr>
          <w:rFonts w:ascii="Palatino Linotype" w:hAnsi="Palatino Linotype"/>
          <w:color w:val="000000"/>
          <w:sz w:val="22"/>
          <w:szCs w:val="22"/>
        </w:rPr>
        <w:t> </w:t>
      </w:r>
      <w:r w:rsidRPr="00CC7211">
        <w:rPr>
          <w:rStyle w:val="apple-converted-space"/>
          <w:rFonts w:ascii="Palatino Linotype" w:eastAsiaTheme="majorEastAsia" w:hAnsi="Palatino Linotype"/>
          <w:color w:val="000000"/>
          <w:sz w:val="22"/>
          <w:szCs w:val="22"/>
        </w:rPr>
        <w:t> </w:t>
      </w:r>
    </w:p>
    <w:p w:rsidR="00CC7211" w:rsidRDefault="00CC7211" w:rsidP="00E15DFB">
      <w:pPr>
        <w:pStyle w:val="NormalWeb"/>
        <w:tabs>
          <w:tab w:val="left" w:pos="426"/>
        </w:tabs>
        <w:jc w:val="both"/>
        <w:rPr>
          <w:rStyle w:val="apple-converted-space"/>
          <w:rFonts w:ascii="Palatino Linotype" w:eastAsiaTheme="majorEastAsia" w:hAnsi="Palatino Linotype"/>
          <w:color w:val="000000"/>
          <w:sz w:val="22"/>
          <w:szCs w:val="22"/>
        </w:rPr>
      </w:pPr>
      <w:r w:rsidRPr="00CC7211">
        <w:rPr>
          <w:rFonts w:ascii="Palatino Linotype" w:hAnsi="Palatino Linotype"/>
          <w:b/>
          <w:bCs/>
          <w:color w:val="000000"/>
          <w:sz w:val="22"/>
          <w:szCs w:val="22"/>
        </w:rPr>
        <w:t>MÜDAFİİ          :</w:t>
      </w:r>
      <w:r w:rsidRPr="00CC7211">
        <w:rPr>
          <w:rFonts w:ascii="Palatino Linotype" w:hAnsi="Palatino Linotype"/>
          <w:color w:val="000000"/>
          <w:sz w:val="22"/>
          <w:szCs w:val="22"/>
        </w:rPr>
        <w:t> </w:t>
      </w:r>
      <w:r w:rsidRPr="00E15DFB">
        <w:rPr>
          <w:rFonts w:ascii="Palatino Linotype" w:hAnsi="Palatino Linotype"/>
          <w:color w:val="000000"/>
          <w:sz w:val="22"/>
          <w:szCs w:val="22"/>
          <w:highlight w:val="yellow"/>
        </w:rPr>
        <w:t>Av. [İsim Soyisim] </w:t>
      </w:r>
      <w:r w:rsidRPr="00E15DFB">
        <w:rPr>
          <w:rStyle w:val="apple-converted-space"/>
          <w:rFonts w:ascii="Palatino Linotype" w:eastAsiaTheme="majorEastAsia" w:hAnsi="Palatino Linotype"/>
          <w:color w:val="000000"/>
          <w:sz w:val="22"/>
          <w:szCs w:val="22"/>
          <w:highlight w:val="yellow"/>
        </w:rPr>
        <w:t> </w:t>
      </w:r>
      <w:r w:rsidRPr="00E15DFB">
        <w:rPr>
          <w:rFonts w:ascii="Palatino Linotype" w:hAnsi="Palatino Linotype"/>
          <w:b/>
          <w:bCs/>
          <w:color w:val="000000"/>
          <w:sz w:val="22"/>
          <w:szCs w:val="22"/>
          <w:highlight w:val="yellow"/>
        </w:rPr>
        <w:t>ADRES              :</w:t>
      </w:r>
      <w:r w:rsidRPr="00E15DFB">
        <w:rPr>
          <w:rFonts w:ascii="Palatino Linotype" w:hAnsi="Palatino Linotype"/>
          <w:color w:val="000000"/>
          <w:sz w:val="22"/>
          <w:szCs w:val="22"/>
          <w:highlight w:val="yellow"/>
        </w:rPr>
        <w:t> [Adres bilgisi]</w:t>
      </w:r>
      <w:r w:rsidRPr="00CC7211">
        <w:rPr>
          <w:rStyle w:val="apple-converted-space"/>
          <w:rFonts w:ascii="Palatino Linotype" w:eastAsiaTheme="majorEastAsia" w:hAnsi="Palatino Linotype"/>
          <w:color w:val="000000"/>
          <w:sz w:val="22"/>
          <w:szCs w:val="22"/>
        </w:rPr>
        <w:t> </w:t>
      </w:r>
    </w:p>
    <w:p w:rsidR="00CC7211" w:rsidRDefault="00CC7211" w:rsidP="00E15DFB">
      <w:pPr>
        <w:pStyle w:val="NormalWeb"/>
        <w:tabs>
          <w:tab w:val="left" w:pos="426"/>
        </w:tabs>
        <w:jc w:val="both"/>
        <w:rPr>
          <w:rStyle w:val="apple-converted-space"/>
          <w:rFonts w:ascii="Palatino Linotype" w:eastAsiaTheme="majorEastAsia" w:hAnsi="Palatino Linotype"/>
          <w:color w:val="000000"/>
          <w:sz w:val="22"/>
          <w:szCs w:val="22"/>
        </w:rPr>
      </w:pPr>
      <w:r w:rsidRPr="00CC7211">
        <w:rPr>
          <w:rFonts w:ascii="Palatino Linotype" w:hAnsi="Palatino Linotype"/>
          <w:b/>
          <w:bCs/>
          <w:color w:val="000000"/>
          <w:sz w:val="22"/>
          <w:szCs w:val="22"/>
        </w:rPr>
        <w:t>KONU         :</w:t>
      </w:r>
      <w:r w:rsidRPr="00CC7211">
        <w:rPr>
          <w:rFonts w:ascii="Palatino Linotype" w:hAnsi="Palatino Linotype"/>
          <w:color w:val="000000"/>
          <w:sz w:val="22"/>
          <w:szCs w:val="22"/>
        </w:rPr>
        <w:t> Avrupa İnsan Hakları Mahkemesi (AİHM) Büyük Dairesi'nin</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 xml:space="preserve">Yasak v. </w:t>
      </w:r>
      <w:r w:rsidR="00E15DFB">
        <w:rPr>
          <w:rFonts w:ascii="Palatino Linotype" w:hAnsi="Palatino Linotype"/>
          <w:i/>
          <w:iCs/>
          <w:color w:val="000000"/>
          <w:sz w:val="22"/>
          <w:szCs w:val="22"/>
        </w:rPr>
        <w:t xml:space="preserve">     </w:t>
      </w:r>
      <w:r w:rsidRPr="00CC7211">
        <w:rPr>
          <w:rFonts w:ascii="Palatino Linotype" w:hAnsi="Palatino Linotype"/>
          <w:i/>
          <w:iCs/>
          <w:color w:val="000000"/>
          <w:sz w:val="22"/>
          <w:szCs w:val="22"/>
        </w:rPr>
        <w:t>Türkiye</w:t>
      </w:r>
      <w:r w:rsidRPr="00CC7211">
        <w:rPr>
          <w:rFonts w:ascii="Palatino Linotype" w:hAnsi="Palatino Linotype"/>
          <w:color w:val="000000"/>
          <w:sz w:val="22"/>
          <w:szCs w:val="22"/>
        </w:rPr>
        <w:t>(Başvuru No: 17389/20) kararı</w:t>
      </w:r>
      <w:r w:rsidR="00A06F22">
        <w:rPr>
          <w:rFonts w:ascii="Palatino Linotype" w:hAnsi="Palatino Linotype"/>
          <w:color w:val="000000"/>
          <w:sz w:val="22"/>
          <w:szCs w:val="22"/>
        </w:rPr>
        <w:t xml:space="preserve">ndaki </w:t>
      </w:r>
      <w:r w:rsidRPr="00CC7211">
        <w:rPr>
          <w:rFonts w:ascii="Palatino Linotype" w:hAnsi="Palatino Linotype"/>
          <w:color w:val="000000"/>
          <w:sz w:val="22"/>
          <w:szCs w:val="22"/>
        </w:rPr>
        <w:t>tespitleri</w:t>
      </w:r>
      <w:r w:rsidR="00A06F22">
        <w:rPr>
          <w:rFonts w:ascii="Palatino Linotype" w:hAnsi="Palatino Linotype"/>
          <w:color w:val="000000"/>
          <w:sz w:val="22"/>
          <w:szCs w:val="22"/>
        </w:rPr>
        <w:t>n</w:t>
      </w:r>
      <w:r w:rsidRPr="00CC7211">
        <w:rPr>
          <w:rFonts w:ascii="Palatino Linotype" w:hAnsi="Palatino Linotype"/>
          <w:color w:val="000000"/>
          <w:sz w:val="22"/>
          <w:szCs w:val="22"/>
        </w:rPr>
        <w:t xml:space="preserve"> "yeniden yapılanma" iddialarıyla yürütülen dosya</w:t>
      </w:r>
      <w:r w:rsidR="00A06F22">
        <w:rPr>
          <w:rFonts w:ascii="Palatino Linotype" w:hAnsi="Palatino Linotype"/>
          <w:color w:val="000000"/>
          <w:sz w:val="22"/>
          <w:szCs w:val="22"/>
        </w:rPr>
        <w:t>ya</w:t>
      </w:r>
      <w:r w:rsidRPr="00CC7211">
        <w:rPr>
          <w:rFonts w:ascii="Palatino Linotype" w:hAnsi="Palatino Linotype"/>
          <w:color w:val="000000"/>
          <w:sz w:val="22"/>
          <w:szCs w:val="22"/>
        </w:rPr>
        <w:t xml:space="preserve"> etkileri ışığında; atılı suça dair maddi ve manevi unsurun (kastın) yokluğu hususundaki kapsamlı esasa ilişkin savunmalarımızın sunulması ve müvekkil hakkında</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BERAAT</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 verilmesi talebidir.  </w:t>
      </w:r>
      <w:r w:rsidRPr="00CC7211">
        <w:rPr>
          <w:rStyle w:val="apple-converted-space"/>
          <w:rFonts w:ascii="Palatino Linotype" w:eastAsiaTheme="majorEastAsia" w:hAnsi="Palatino Linotype"/>
          <w:color w:val="000000"/>
          <w:sz w:val="22"/>
          <w:szCs w:val="22"/>
        </w:rPr>
        <w:t> </w:t>
      </w:r>
    </w:p>
    <w:p w:rsidR="00CC7211" w:rsidRDefault="00CC7211" w:rsidP="00E15DFB">
      <w:pPr>
        <w:pStyle w:val="NormalWeb"/>
        <w:tabs>
          <w:tab w:val="left" w:pos="426"/>
        </w:tabs>
        <w:jc w:val="both"/>
        <w:rPr>
          <w:rStyle w:val="apple-converted-space"/>
          <w:rFonts w:ascii="Palatino Linotype" w:eastAsiaTheme="majorEastAsia" w:hAnsi="Palatino Linotype"/>
          <w:color w:val="000000"/>
          <w:sz w:val="22"/>
          <w:szCs w:val="22"/>
        </w:rPr>
      </w:pPr>
    </w:p>
    <w:p w:rsidR="00CC7211" w:rsidRPr="00CC7211" w:rsidRDefault="00CC7211" w:rsidP="00E15DFB">
      <w:pPr>
        <w:pStyle w:val="NormalWeb"/>
        <w:tabs>
          <w:tab w:val="left" w:pos="426"/>
        </w:tabs>
        <w:jc w:val="center"/>
        <w:rPr>
          <w:rFonts w:ascii="Palatino Linotype" w:hAnsi="Palatino Linotype"/>
          <w:color w:val="000000"/>
          <w:sz w:val="22"/>
          <w:szCs w:val="22"/>
        </w:rPr>
      </w:pPr>
      <w:r w:rsidRPr="00CC7211">
        <w:rPr>
          <w:rFonts w:ascii="Palatino Linotype" w:hAnsi="Palatino Linotype"/>
          <w:b/>
          <w:bCs/>
          <w:color w:val="000000"/>
          <w:sz w:val="22"/>
          <w:szCs w:val="22"/>
        </w:rPr>
        <w:t>AÇIKLAMALAR :</w:t>
      </w:r>
    </w:p>
    <w:p w:rsidR="00CC7211" w:rsidRPr="00CC7211" w:rsidRDefault="00CC7211" w:rsidP="00E15DFB">
      <w:pPr>
        <w:pStyle w:val="NormalWeb"/>
        <w:numPr>
          <w:ilvl w:val="0"/>
          <w:numId w:val="1"/>
        </w:numPr>
        <w:tabs>
          <w:tab w:val="clear" w:pos="720"/>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Müvekkil hakkında "silahlı terör örgütü üyeliği" (TCK md. 314/2) suçlamasıyla yürütülen işbu yargılama kapsamında isnat edilen eylemler, esasen şiddet içermeyen, barışçıl, sosyal ve insani rutin faaliyetlerden ibarettir. Anayasa'nın 90. maddesi uyarınca iç hukukumuzun amir hükmü niteliğinde olan AİHM Büyük Dairesi'nin yakın zamanda verdiği</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Yasak v. Türkiye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 cezai sorumluluğun tespiti için gerekli olan "manevi unsur" (mens rea / suç kastı) şartını kesin hatlarla çizmiştir. Mahkeme, bu unsurun varlığının somut ve bireyselleştirilmiş delillerle ispat edilmemesi halinde verilecek mahkûmiyetlerin Sözleşme'nin 7. maddesini açıkça ihlal edeceğini hüküm altına almıştır.</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AİHM,</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Yasak</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kararında, daha önce salt ByLock kullanımı ekseninde incelediği</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Yalçınkaya</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kararından çok daha geniş, derin ve spesifik bir analiz yapmıştır. Söz konusu dosyada çok daha geniş bir delil yelpazesi temelinde mahkûmiyet kurulmuş olmasına rağmen AİHM, meselenin delil çokluğu değil, "kasıt unsurunun nitelikli ispatı" olduğunu vurgulamış ve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Yalçınkaya</w:t>
      </w:r>
      <w:r w:rsidRPr="00CC7211">
        <w:rPr>
          <w:rFonts w:ascii="Palatino Linotype" w:hAnsi="Palatino Linotype"/>
          <w:color w:val="000000"/>
          <w:sz w:val="22"/>
          <w:szCs w:val="22"/>
        </w:rPr>
        <w:t>’daki aynı yapısal sorunun devam ettiğini kayda geçirmiştir (§§ 201-202). Bu durum, eylemler ne denli çeşitli olursa olsun, bireysel kastın şüpheye yer bırakmayacak şekilde ispatlanmadan suçun oluşmayacağının en net ilamıdır.</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Mahkeme, ilgili kararda eylemlerin zamansal yönü ve türü (örneğin eğitim alanında veya yasal zeminde olması) bakımından manevi unsurun titizlikle değerlendirilmesini önemsemiş; kolektif suçluluk ya da suç ortaklığı (aidiyet/iltisak temelli cezalandırma) yaklaşımını açıkça ve kesin bir dille reddetmiştir. Cezai sorumluluğun tamamen bireysel olarak ve "suç kastıyla" birlikte tespitinin zorunlu olduğu uluslararası hukukun tartışmasız bir kuralı olarak teyit edilmiştir (§§ 202-203).</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 xml:space="preserve">Kararda bilhassa üzerinde durulan en hayati husus, TCK'nın 314. maddesinde düzenlenen suçun mahiyetidir. AİHM'e göre bu suç, sıradan, sivil veya yasadışı faaliyetlerde bulunan herhangi bir yapıya üyeliği değil; doğrudan doğruya "şiddete" başvurmakta olan bir silahlı terör örgütüne üyeliği ilgilendirmektedir. Bu nedenle, failin örgütün amaçları ve "şiddet içeren yöntemlerinden" haberdar olduğunu somut olarak göstermek, cezalandırmanın vazgeçilmez ön koşuludur. AİHM, bir eylemi sadece örgütle veya </w:t>
      </w:r>
      <w:r w:rsidRPr="00CC7211">
        <w:rPr>
          <w:rFonts w:ascii="Palatino Linotype" w:hAnsi="Palatino Linotype"/>
          <w:color w:val="000000"/>
          <w:sz w:val="22"/>
          <w:szCs w:val="22"/>
        </w:rPr>
        <w:lastRenderedPageBreak/>
        <w:t>mensuplarıyla temas kurmaktan ya da açıkça suç işleme kastı olmaksızın gerçekleşen aidiyetten ayıran yegane hususun bu "kasıt" olduğunu içtihatlaştırmıştır (§ 203).</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AİHM, kasıt unsurunun nasıl tespit edileceğine dair ulusal yargı pratiğini incelemiş ve niyet okuyucu varsayımları reddetmiştir. İlgili yapının uzun yıllar boyunca toplumun geniş alanlarına (eğitim, sağlık, finans) yasal olarak nüfuz ettiği gerçeği karşısında; kişilerin, yapının iddia edilen gizli/terörist niyetlerinden haberdar olmadan görünür yapılarıyla temas kurmuş olması hayatın olağan akışının gereğidir. Mahkeme, "kişinin belirli bir görev üstlendiği</w:t>
      </w:r>
      <w:r w:rsidR="00211913">
        <w:rPr>
          <w:rFonts w:ascii="Palatino Linotype" w:hAnsi="Palatino Linotype"/>
          <w:color w:val="000000"/>
          <w:sz w:val="22"/>
          <w:szCs w:val="22"/>
        </w:rPr>
        <w:t xml:space="preserve"> için</w:t>
      </w:r>
      <w:r w:rsidRPr="00CC7211">
        <w:rPr>
          <w:rFonts w:ascii="Palatino Linotype" w:hAnsi="Palatino Linotype"/>
          <w:color w:val="000000"/>
          <w:sz w:val="22"/>
          <w:szCs w:val="22"/>
        </w:rPr>
        <w:t xml:space="preserve"> şiddet kullanımını öngörebileceği" şeklindeki tümevarımcı ve varsayımsal yaklaşımı Sözleşme'ye aykırı bulmuştur.</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Büyük Daire, kararında çok önemli bir "zamansal" değerlendirme yapmıştır. İlgili yapının önce idari makamlar, sonra da mahkemeler tarafından 15 Temmuz darbe girişimi sonrası terör örgütü olarak tanındığı gerçeği karşısında AİHM; ulusal mahkemelerin, kişinin söz konusu yapı içinde bulunmasının "masum bir katılımla mı" yoksa bilinçli bir "terörist projeye katılma kastıyla mı" olduğunu maddi gerçeklikle açıklamak zorunda olduğunu ifade etmiştir (§ 205).</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Mahkeme, kişilerin belirli süreçlerden sonra da bağlarını sürdürmesini bir faktör olarak ele almayı kabul etse de, bu durumun kişilere karşı gelişigüzel bir silaha dönüştürülemeyeceğini hükme bağlamıştır. Ulusal mahkemeler, bağlantıyı sürdüren herkes için otomatik suçlu muamelesi yapamaz; icra edilen faaliyetlerin bağlamına bakıp "kasıt" unsurunun gerçekten var olup olmadığını somut olarak incelemek zorundadır (§ 206).</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AİHM, kararının 209. paragrafında pozitif bir hukuk kuralı tarif etmiş; yargılama makamlarının yalnızca bir bağlantının varlığını değil, bu bağlantının niteliğini, kişinin şiddet içeren amaçları "bilerek ve isteyerek hareket edip etmediğini" şüpheye mahal bırakmayacak şekilde ispat etmeleri gerektiğini emretmiştir.</w:t>
      </w:r>
    </w:p>
    <w:p w:rsidR="00A06F22" w:rsidRPr="00A06F22"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Sonuç itibarıyla Mahkeme; her ne düzeyde olursa olsun veya hangi görevi yaparsa yapsın "yapı üyesi eşittir terör örgütü üyesi" şeklindeki toptancı anlayışı kökten reddetmiştir. Eylemleri alt alta sıralayıp, bu delillerin kişinin örgütün terörist amaçlarından "gerçekten haberdar olduğunu" açıklamaya çalışmaksızın kastın varlığına hükmedilmesi 7. maddenin açık ihlali sayılmıştır (§ 211).</w:t>
      </w:r>
    </w:p>
    <w:p w:rsidR="00CC7211" w:rsidRPr="00CC7211" w:rsidRDefault="00CC7211" w:rsidP="00E15DFB">
      <w:pPr>
        <w:pStyle w:val="NormalWeb"/>
        <w:numPr>
          <w:ilvl w:val="0"/>
          <w:numId w:val="1"/>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 xml:space="preserve">Yasak kararıyla bu açıklamalardan sonra bu kararın mevcut dosyaya etkisine </w:t>
      </w:r>
      <w:r w:rsidR="00A06F22">
        <w:rPr>
          <w:rFonts w:ascii="Palatino Linotype" w:hAnsi="Palatino Linotype"/>
          <w:color w:val="000000"/>
          <w:sz w:val="22"/>
          <w:szCs w:val="22"/>
        </w:rPr>
        <w:t>değinmek gerekirse;</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AİHM’in</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Yalçınkaya</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ve özellikle de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Yasak</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 xml:space="preserve">içtihadı bağlamında, 15 Temmuz sonrası döneme ilişkin değerlendirmelerde de otomatik bir suç isnadının mümkün olmayacağı açıktır. Her ne kadar bu tarih, güncel durum itibarıyla, </w:t>
      </w:r>
      <w:r w:rsidR="00A06F22">
        <w:rPr>
          <w:rFonts w:ascii="Palatino Linotype" w:hAnsi="Palatino Linotype"/>
          <w:color w:val="000000"/>
          <w:sz w:val="22"/>
          <w:szCs w:val="22"/>
        </w:rPr>
        <w:t>bu yapının</w:t>
      </w:r>
      <w:r w:rsidRPr="00CC7211">
        <w:rPr>
          <w:rFonts w:ascii="Palatino Linotype" w:hAnsi="Palatino Linotype"/>
          <w:color w:val="000000"/>
          <w:sz w:val="22"/>
          <w:szCs w:val="22"/>
        </w:rPr>
        <w:t xml:space="preserve"> niteliğine ilişkin değerlendirmelerde bir kırılma noktası olarak dikkate alınabilecek olsa da Mahkeme açısından öncelikle belirleyici olan husus, kişinin bu dönemde </w:t>
      </w:r>
      <w:r w:rsidR="00A06F22">
        <w:rPr>
          <w:rFonts w:ascii="Palatino Linotype" w:hAnsi="Palatino Linotype"/>
          <w:color w:val="000000"/>
          <w:sz w:val="22"/>
          <w:szCs w:val="22"/>
        </w:rPr>
        <w:t>bu yapının</w:t>
      </w:r>
      <w:r w:rsidRPr="00CC7211">
        <w:rPr>
          <w:rFonts w:ascii="Palatino Linotype" w:hAnsi="Palatino Linotype"/>
          <w:color w:val="000000"/>
          <w:sz w:val="22"/>
          <w:szCs w:val="22"/>
        </w:rPr>
        <w:t xml:space="preserve"> iddia edilen nihai amacını gerçekten bilip bilmediği ve buna rağmen </w:t>
      </w:r>
      <w:r w:rsidR="00A06F22">
        <w:rPr>
          <w:rFonts w:ascii="Palatino Linotype" w:hAnsi="Palatino Linotype"/>
          <w:color w:val="000000"/>
          <w:sz w:val="22"/>
          <w:szCs w:val="22"/>
        </w:rPr>
        <w:t>bu yapıyla</w:t>
      </w:r>
      <w:r w:rsidRPr="00CC7211">
        <w:rPr>
          <w:rFonts w:ascii="Palatino Linotype" w:hAnsi="Palatino Linotype"/>
          <w:color w:val="000000"/>
          <w:sz w:val="22"/>
          <w:szCs w:val="22"/>
        </w:rPr>
        <w:t xml:space="preserve"> bağını bilerek ve isteyerek sürdürüp sürdürmediğidir.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i/>
          <w:iCs/>
          <w:color w:val="000000"/>
          <w:sz w:val="22"/>
          <w:szCs w:val="22"/>
        </w:rPr>
        <w:t>Yasak</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kararının 203. paragrafında atıfta bulunulan ve BM Özel Raportörünün alıntılanan 3. taraf görüşünde (§ 185-187) yer verilen kısımda belirtildiği üzere, silahlı terör örgütü üyeliği suçunun maddi ve manevi unsurları somut olarak ortaya konulmalıdır.</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Maddi unsur bakımından</w:t>
      </w:r>
      <w:r w:rsidRPr="00CC7211">
        <w:rPr>
          <w:rFonts w:ascii="Palatino Linotype" w:hAnsi="Palatino Linotype"/>
          <w:color w:val="000000"/>
          <w:sz w:val="22"/>
          <w:szCs w:val="22"/>
        </w:rPr>
        <w:t>, bireyin ciddi şiddet içeren bir eylem olarak tanımlanan bir terör eyleminin gerçekleştirilmesine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doğrudan, önemli ve nesnel olarak tespit edilebilir bir katkı</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sağladığının ortaya konulması gerekmektedir. Buna karşılık, tali nitelikteki davranışlar, insani amaçlı yardımlar, dini amaçlı (dini sohbetler gibi) veya eğitsel faaliyetler ya da dolaylı katkılar tek başına cezai sorumluluğu haklı kılmak için yeterli değildir.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b/>
          <w:bCs/>
          <w:color w:val="000000"/>
          <w:sz w:val="22"/>
          <w:szCs w:val="22"/>
        </w:rPr>
        <w:lastRenderedPageBreak/>
        <w:t>Manevi unsur bakımından</w:t>
      </w:r>
      <w:r w:rsidRPr="00CC7211">
        <w:rPr>
          <w:rFonts w:ascii="Palatino Linotype" w:hAnsi="Palatino Linotype"/>
          <w:color w:val="000000"/>
          <w:sz w:val="22"/>
          <w:szCs w:val="22"/>
        </w:rPr>
        <w:t xml:space="preserve">, bireyin iddia edilen nihai amacı bildiğinin (yani bu amacın farkında olduğunun) ve ayrıca ilgili yapıyla bağlantılı terör suçunu işleme kastına sahip olduğunun ortaya konulması gerekmektedir. </w:t>
      </w:r>
      <w:r w:rsidR="00FF455E">
        <w:rPr>
          <w:rFonts w:ascii="Palatino Linotype" w:hAnsi="Palatino Linotype"/>
          <w:color w:val="000000"/>
          <w:sz w:val="22"/>
          <w:szCs w:val="22"/>
        </w:rPr>
        <w:t xml:space="preserve">Özel </w:t>
      </w:r>
      <w:r w:rsidRPr="00CC7211">
        <w:rPr>
          <w:rFonts w:ascii="Palatino Linotype" w:hAnsi="Palatino Linotype"/>
          <w:color w:val="000000"/>
          <w:sz w:val="22"/>
          <w:szCs w:val="22"/>
        </w:rPr>
        <w:t>Raportör, özellikle bireyin bilgisine ilişkin varsayımlar veya çıkarımlardan genel olarak kaçınılması gerektiğini; bu tür yaklaşımların ispat yükünü tersine çevirme veya sanığı kendisini savunmak zorunda bırakarak gerekçe sunmaya mecbur etme sonucunu doğurabileceği durumlarda ise daha da sorunlu olduğunu açıkça ifade etmiştir.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AİHM tarafından alıntılanan Özel Raportör’ün 3. taraf görüşünde ayrıca, bir örgütün “gizli” ya da kamuya açık olmayan niteliğinin, tek başına suçluluğun yeterli bir kanıtı olarak kabul edilemeyeceğini; özellikle ifade, örgütlenme veya toplanma özgürlüklerinin ciddi biçimde kısıtlandığı bağlamlarda bunun daha da geçerli olduğunu belirtmiştir. Benzer şekilde, karmaşık veya merkeziyetçi bir yapıda yönetsel görevlerin icra edilmesinin, somut ve özel deliller bulunmadıkça, ilgili kişiye o yapının olası terör faaliyetlerine ilişkin bilgi atfedilmesini mümkün kılmayacağını ifade etmiştir.</w:t>
      </w:r>
    </w:p>
    <w:p w:rsidR="00CC7211" w:rsidRPr="00CC7211" w:rsidRDefault="00FF455E" w:rsidP="00E15DFB">
      <w:pPr>
        <w:pStyle w:val="NormalWeb"/>
        <w:numPr>
          <w:ilvl w:val="0"/>
          <w:numId w:val="2"/>
        </w:numPr>
        <w:tabs>
          <w:tab w:val="left" w:pos="426"/>
        </w:tabs>
        <w:ind w:left="0" w:firstLine="0"/>
        <w:jc w:val="both"/>
        <w:rPr>
          <w:rFonts w:ascii="Palatino Linotype" w:hAnsi="Palatino Linotype"/>
          <w:color w:val="000000"/>
          <w:sz w:val="22"/>
          <w:szCs w:val="22"/>
        </w:rPr>
      </w:pPr>
      <w:r>
        <w:rPr>
          <w:rFonts w:ascii="Palatino Linotype" w:hAnsi="Palatino Linotype"/>
          <w:color w:val="000000"/>
          <w:sz w:val="22"/>
          <w:szCs w:val="22"/>
        </w:rPr>
        <w:t xml:space="preserve">Özel </w:t>
      </w:r>
      <w:r w:rsidR="00CC7211" w:rsidRPr="00CC7211">
        <w:rPr>
          <w:rFonts w:ascii="Palatino Linotype" w:hAnsi="Palatino Linotype"/>
          <w:color w:val="000000"/>
          <w:sz w:val="22"/>
          <w:szCs w:val="22"/>
        </w:rPr>
        <w:t>Raportör ayrıca, bir yapının “terör örgütü” olarak sınıflandırılmasının, ancak yeterli ve güçlü delillere dayanan ve adil yargılanma güvencelerine uygun şekilde yürütülen yargısal veya idari bir karar sonucunda mümkün olabileceği görüşündedir.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Bu tespitler ışığında, AİHM’nin</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Yasak</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kararında ortaya koyduğu ilkelerin, 15 Temmuz sonrası bağlantılar ve günümüzde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“güncel yapılanma”</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adı altında yürütülen soruşturma ve yargılamalar bakımından da doğrudan dikkate alınması gerekir. Zira Mahkeme, bu kararında ceza sorumluluğunun otomatik, genelleştirilmiş ve soyut değerlendirmelere dayanamayacağını; aksine her bir kişi bakımından bireyselleştirilmiş, somut ve ikna edici delillerle ortaya konulması gerektiğini vurgulamıştır.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 xml:space="preserve">Bu bağlamda öncelikle şu hususun altı çizilmelidir: </w:t>
      </w:r>
      <w:r w:rsidR="00FF455E">
        <w:rPr>
          <w:rFonts w:ascii="Palatino Linotype" w:hAnsi="Palatino Linotype"/>
          <w:color w:val="000000"/>
          <w:sz w:val="22"/>
          <w:szCs w:val="22"/>
        </w:rPr>
        <w:t>bu yapının</w:t>
      </w:r>
      <w:r w:rsidRPr="00CC7211">
        <w:rPr>
          <w:rFonts w:ascii="Palatino Linotype" w:hAnsi="Palatino Linotype"/>
          <w:color w:val="000000"/>
          <w:sz w:val="22"/>
          <w:szCs w:val="22"/>
        </w:rPr>
        <w:t xml:space="preserve"> 15 Temmuz olaylarıyla ilişkisi ve iddia edilen “terörist” niteliği, bağımsız ve yeterli güvencelere sahip bir yargısal süreçte açık, ikna edici ve denetlenebilir biçimde ortaya konulmamışsa, bireylerin bu niteliği bildiğinin varsayılması mümkün değildir. Nitekim Birleşmiş Milletler Özel Raportörleri de </w:t>
      </w:r>
      <w:r w:rsidR="00FF455E">
        <w:rPr>
          <w:rFonts w:ascii="Palatino Linotype" w:hAnsi="Palatino Linotype"/>
          <w:color w:val="000000"/>
          <w:sz w:val="22"/>
          <w:szCs w:val="22"/>
        </w:rPr>
        <w:t>bu yapının</w:t>
      </w:r>
      <w:r w:rsidRPr="00CC7211">
        <w:rPr>
          <w:rFonts w:ascii="Palatino Linotype" w:hAnsi="Palatino Linotype"/>
          <w:color w:val="000000"/>
          <w:sz w:val="22"/>
          <w:szCs w:val="22"/>
        </w:rPr>
        <w:t xml:space="preserve"> terör örgütü olarak tanımlanma sürecinin usuli güvencelere ve uluslararası kabul görmüş model terör tanımına uygun olmadığını 2024 ve 2025 yılındaki iki iletişim mektubunda vurgulamışlardır. Bu tespitler, </w:t>
      </w:r>
      <w:r w:rsidR="00FF455E">
        <w:rPr>
          <w:rFonts w:ascii="Palatino Linotype" w:hAnsi="Palatino Linotype"/>
          <w:color w:val="000000"/>
          <w:sz w:val="22"/>
          <w:szCs w:val="22"/>
        </w:rPr>
        <w:t>yapının</w:t>
      </w:r>
      <w:r w:rsidRPr="00CC7211">
        <w:rPr>
          <w:rFonts w:ascii="Palatino Linotype" w:hAnsi="Palatino Linotype"/>
          <w:color w:val="000000"/>
          <w:sz w:val="22"/>
          <w:szCs w:val="22"/>
        </w:rPr>
        <w:t xml:space="preserve"> iddia edilen “terörist” karakterinin bireyler bakımından öngörülebilirliğini ciddi şekilde tartışmalı hale getirmektedir.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Bu durum, 15 Temmuz sonrası döneme ilişkin değerlendirmelerde daha da kritik hale gelmektedir. Zira öngörülebilirliği tartışmalı olan bir nitelendirmeden hareketle bireylere bilgi ve kast atfedilmesi, hem ceza hukukunun temel ilkeleriyle hem de Birleşmiş Milletler Özel Raportörü tarafından ortaya konulan standartlarla bağdaşmamaktadır.</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Yasak</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kararında da kabul edildiği ve Raportörün açıkça belirttiği üzere, bireyin cezai sorumluluğu ancak maddi ve manevi unsurların somut ve bireyselleştirilmiş şekilde ispatı ile mümkündür.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 xml:space="preserve">Kaldı ki, tartışma bir an için </w:t>
      </w:r>
      <w:r w:rsidR="00FF455E">
        <w:rPr>
          <w:rFonts w:ascii="Palatino Linotype" w:hAnsi="Palatino Linotype"/>
          <w:color w:val="000000"/>
          <w:sz w:val="22"/>
          <w:szCs w:val="22"/>
        </w:rPr>
        <w:t>bu yapının</w:t>
      </w:r>
      <w:r w:rsidRPr="00CC7211">
        <w:rPr>
          <w:rFonts w:ascii="Palatino Linotype" w:hAnsi="Palatino Linotype"/>
          <w:color w:val="000000"/>
          <w:sz w:val="22"/>
          <w:szCs w:val="22"/>
        </w:rPr>
        <w:t xml:space="preserve"> usule uygun, yeterli delillere dayalı ve adil yargılanma güvencelerine riayet edilerek “terör örgütü” olarak nitelendirildiği varsayımı üzerinden yürütülse dahi, bu durum bireysel cezai sorumluluğun otomatik olarak doğduğu anlamına gelmez. Bir yapının terör örgütü olarak kabul edilmesi, yalnızca ceza hukuku değerlendirmesinin başlangıç noktasını oluşturabilir; ancak her bir kişi bakımından suçun maddi ve manevi unsurlarının ayrıca, somut ve bireyselleştirilmiş şekilde araştırılması zorunluluğunu ortadan kaldırmaz. Dolayısıyla belirleyici olan, kişinin bu yapıyla herhangi bir bağlantısının bulunup bulunmadığı değil; bu bağlantının niteliği, kişinin yapının şiddet içeren amaçlarını fiilen bilip bilmediği ve bu amaçlara doğrudan, önemli ve nesnel olarak tespit edilebilir bir katkı sunup sunmadığıdır.</w:t>
      </w:r>
    </w:p>
    <w:p w:rsidR="00CC7211" w:rsidRPr="00CC7211" w:rsidRDefault="00CC7211" w:rsidP="00E15DFB">
      <w:pPr>
        <w:pStyle w:val="NormalWeb"/>
        <w:numPr>
          <w:ilvl w:val="0"/>
          <w:numId w:val="2"/>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lastRenderedPageBreak/>
        <w:t>Bu çerçevede, 15 Temmuz sonrası soruşturma ve yargılamalarda yalnızca kişinin belirli bir yapıyla bağlantısının sürdürülmüş olması, hatta bu bağlantının güncel döneme uzandığının ileri sürülmesi dahi tek başına mahkûmiyet için yeterli kabul edilemez. Aksine, her bir dosyada (ve bilhassa işbu yargılamada) şu hususların ayrıca ve açıkça ortaya konulması gerekmektedir:</w:t>
      </w:r>
    </w:p>
    <w:p w:rsidR="00CC7211" w:rsidRPr="00CC7211" w:rsidRDefault="00FF455E" w:rsidP="00E15DFB">
      <w:pPr>
        <w:pStyle w:val="NormalWeb"/>
        <w:numPr>
          <w:ilvl w:val="0"/>
          <w:numId w:val="3"/>
        </w:numPr>
        <w:tabs>
          <w:tab w:val="left" w:pos="426"/>
        </w:tabs>
        <w:ind w:left="0" w:firstLine="0"/>
        <w:jc w:val="both"/>
        <w:rPr>
          <w:rFonts w:ascii="Palatino Linotype" w:hAnsi="Palatino Linotype"/>
          <w:color w:val="000000"/>
          <w:sz w:val="22"/>
          <w:szCs w:val="22"/>
        </w:rPr>
      </w:pPr>
      <w:r>
        <w:rPr>
          <w:rFonts w:ascii="Palatino Linotype" w:hAnsi="Palatino Linotype"/>
          <w:color w:val="000000"/>
          <w:sz w:val="22"/>
          <w:szCs w:val="22"/>
        </w:rPr>
        <w:t>Müvekkilin</w:t>
      </w:r>
      <w:r w:rsidR="00CC7211" w:rsidRPr="00CC7211">
        <w:rPr>
          <w:rFonts w:ascii="Palatino Linotype" w:hAnsi="Palatino Linotype"/>
          <w:color w:val="000000"/>
          <w:sz w:val="22"/>
          <w:szCs w:val="22"/>
        </w:rPr>
        <w:t>, örgütün şiddet içeren faaliyetlerine doğrudan, önemli ve nesnel olarak tespit edilebilir bir katkı sunup sunmadığı,</w:t>
      </w:r>
    </w:p>
    <w:p w:rsidR="00CC7211" w:rsidRPr="00CC7211" w:rsidRDefault="00CC7211" w:rsidP="00E15DFB">
      <w:pPr>
        <w:pStyle w:val="NormalWeb"/>
        <w:numPr>
          <w:ilvl w:val="0"/>
          <w:numId w:val="3"/>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Bu katkının yalnızca tali, dolaylı, sosyal, insani veya eğitsel faaliyetler düzeyinde kalıp kalmadığı,</w:t>
      </w:r>
    </w:p>
    <w:p w:rsidR="00CC7211" w:rsidRPr="00CC7211" w:rsidRDefault="00FF455E" w:rsidP="00E15DFB">
      <w:pPr>
        <w:pStyle w:val="NormalWeb"/>
        <w:numPr>
          <w:ilvl w:val="0"/>
          <w:numId w:val="3"/>
        </w:numPr>
        <w:tabs>
          <w:tab w:val="left" w:pos="426"/>
        </w:tabs>
        <w:ind w:left="0" w:firstLine="0"/>
        <w:jc w:val="both"/>
        <w:rPr>
          <w:rFonts w:ascii="Palatino Linotype" w:hAnsi="Palatino Linotype"/>
          <w:color w:val="000000"/>
          <w:sz w:val="22"/>
          <w:szCs w:val="22"/>
        </w:rPr>
      </w:pPr>
      <w:r>
        <w:rPr>
          <w:rFonts w:ascii="Palatino Linotype" w:hAnsi="Palatino Linotype"/>
          <w:color w:val="000000"/>
          <w:sz w:val="22"/>
          <w:szCs w:val="22"/>
        </w:rPr>
        <w:t>C</w:t>
      </w:r>
      <w:r w:rsidR="00CC7211" w:rsidRPr="00CC7211">
        <w:rPr>
          <w:rFonts w:ascii="Palatino Linotype" w:hAnsi="Palatino Linotype"/>
          <w:color w:val="000000"/>
          <w:sz w:val="22"/>
          <w:szCs w:val="22"/>
        </w:rPr>
        <w:t>ebir ve şiddet içerdiği iddia edilen amaçlarını fiilen bildiği ve buna rağmen hareket ettiği,</w:t>
      </w:r>
    </w:p>
    <w:p w:rsidR="00CC7211" w:rsidRPr="00CC7211" w:rsidRDefault="00CC7211" w:rsidP="00E15DFB">
      <w:pPr>
        <w:pStyle w:val="NormalWeb"/>
        <w:numPr>
          <w:ilvl w:val="0"/>
          <w:numId w:val="3"/>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Bağlantının pasif bir aidiyetin ötesine geçerek bilinçli, işlevsel ve suçun icrasına yönelik bir katılım niteliği taşıyıp taşımadığı.</w:t>
      </w:r>
    </w:p>
    <w:p w:rsidR="00CC7211" w:rsidRPr="00CC7211" w:rsidRDefault="00CC7211" w:rsidP="00E15DFB">
      <w:pPr>
        <w:pStyle w:val="NormalWeb"/>
        <w:numPr>
          <w:ilvl w:val="0"/>
          <w:numId w:val="4"/>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Bu unsurlar ortaya konulmadığı sürece, yalnızca süreklilik arz eden bir ilişki, irtibatın devam ettiği iddiası veya soyut bağlantıdan hareketle cezai sorumluluk tesis edilmesi hem AİHM içtihadı hem de uluslararası insan hakları standartlarıyla açıkça çelişecektir.</w:t>
      </w:r>
    </w:p>
    <w:p w:rsidR="00CC7211" w:rsidRPr="00CC7211" w:rsidRDefault="00CC7211" w:rsidP="00E15DFB">
      <w:pPr>
        <w:pStyle w:val="NormalWeb"/>
        <w:numPr>
          <w:ilvl w:val="0"/>
          <w:numId w:val="4"/>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Özellikle “örgütle bağın kesilmemesi”, “irtibatın devam etmesi” veya “güncel yapılanma içinde yer alma” şeklindeki gerekçelendirmeler, tek başına suçun maddi unsurunu karşılamadığı gibi, manevi unsur bakımından gerekli olan kastın varlığını da ortaya koymaz. Bu tür yaklaşımlar, esasen bireyin bilgi ve niyetine ilişkin varsayımsal çıkarımlara dayanmakta ve fiilen ispat yükünü tersine çevirmektedir.</w:t>
      </w:r>
    </w:p>
    <w:p w:rsidR="00CC7211" w:rsidRPr="00CC7211" w:rsidRDefault="00CC7211" w:rsidP="00E15DFB">
      <w:pPr>
        <w:pStyle w:val="NormalWeb"/>
        <w:numPr>
          <w:ilvl w:val="0"/>
          <w:numId w:val="4"/>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Dahası, 15 Temmuz sonrası dönemde bu yapının yapısal bütünlüğünün ve eylem kapasitesinin ne ölçüde devam ettiği, somut şiddet eyleminde bulunup bulunmadığının veya şiddet eylemleriyle bağlantısının bulunup bulunmadığı ve isnat edilen bağlantının bu eylemlerle nasıl ilişkilendirildiği her somut olayda ayrıca incelenmelidir. Bir yapının faaliyet kapasitesinin büyük ölçüde dağıtıldığı veya en azından somut olası şiddet eylemleriyle bağlantısının gösterilemediği bir dönemde, bağlantının sürdürülmesi tek başına “terör örgütü üyeliği” suçunun unsurlarını karşılamaz.</w:t>
      </w:r>
    </w:p>
    <w:p w:rsidR="00CC7211" w:rsidRPr="00CC7211" w:rsidRDefault="00CC7211" w:rsidP="00E15DFB">
      <w:pPr>
        <w:pStyle w:val="NormalWeb"/>
        <w:numPr>
          <w:ilvl w:val="0"/>
          <w:numId w:val="4"/>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Zira AİHM, “bilmesi gerekirdi” şeklindeki varsayımsal yaklaşımları yeterli görmemekte; aksine, silahlı terör örgütü üyeliği suçunun hem maddi hem de manevi unsurunun her bir birey bakımından somut, bireyselleştirilmiş ve ikna edici delillerle ispatlanmasını zorunlu kılmaktadır. Nitekim AİHM bir terör örgütüne ve onun şiddet içeren amaçlarına yönelik gerçek bir bağlılığın, salt temas durumlarından veya açıkça ortaya konulmuş bir suç kastı bulunmaksızın gerçekleşen ilişki ya da irtibattan ayırt edilmesini zorunlu görmektedir (§ 203).</w:t>
      </w:r>
    </w:p>
    <w:p w:rsidR="00FF455E" w:rsidRDefault="00CC7211" w:rsidP="00E15DFB">
      <w:pPr>
        <w:pStyle w:val="NormalWeb"/>
        <w:tabs>
          <w:tab w:val="left" w:pos="426"/>
        </w:tabs>
        <w:jc w:val="both"/>
        <w:rPr>
          <w:rFonts w:ascii="Palatino Linotype" w:hAnsi="Palatino Linotype"/>
          <w:color w:val="000000"/>
          <w:sz w:val="22"/>
          <w:szCs w:val="22"/>
        </w:rPr>
      </w:pPr>
      <w:r w:rsidRPr="00CC7211">
        <w:rPr>
          <w:rFonts w:ascii="Palatino Linotype" w:hAnsi="Palatino Linotype"/>
          <w:color w:val="000000"/>
          <w:sz w:val="22"/>
          <w:szCs w:val="22"/>
        </w:rPr>
        <w:t>Tüm bu kapsamlı uluslararası içtihatlar ve fiili gerçekler karşısında; müvekkilin "güncel/yeniden yapılanma" adı altında yargılandığı bu dosyada, isnat edilen eylemler şiddetten, cebirden ve terör saikinden tamamen uzaktır. Müvekkilin, yasadışı şiddet eylemlerine doğrudan veya dolaylı hiçbir katkısı bulunmadığı gibi, iddia edilen nihai amaçları bildiğine ve benimsediğine dair hiçbir hukuki, somut ve bireyselleştirilmiş delil mevcut değildir. Salt "irtibat", "hayırseverlik" veya "sosyal ilişki", modern ceza hukukunda silahlı terör örgütü üyeliği olarak nitelendirilemez.</w:t>
      </w:r>
    </w:p>
    <w:p w:rsidR="00E15DFB" w:rsidRPr="00E15DFB" w:rsidRDefault="00E15DFB" w:rsidP="00E15DFB">
      <w:pPr>
        <w:pStyle w:val="NormalWeb"/>
        <w:tabs>
          <w:tab w:val="left" w:pos="426"/>
        </w:tabs>
        <w:jc w:val="both"/>
        <w:rPr>
          <w:rFonts w:ascii="Palatino Linotype" w:hAnsi="Palatino Linotype"/>
          <w:color w:val="000000"/>
          <w:sz w:val="22"/>
          <w:szCs w:val="22"/>
        </w:rPr>
      </w:pPr>
    </w:p>
    <w:p w:rsidR="00CC7211" w:rsidRPr="00CC7211" w:rsidRDefault="00CC7211" w:rsidP="00E15DFB">
      <w:pPr>
        <w:pStyle w:val="NormalWeb"/>
        <w:tabs>
          <w:tab w:val="left" w:pos="426"/>
        </w:tabs>
        <w:jc w:val="both"/>
        <w:rPr>
          <w:rFonts w:ascii="Palatino Linotype" w:hAnsi="Palatino Linotype"/>
          <w:color w:val="000000"/>
          <w:sz w:val="22"/>
          <w:szCs w:val="22"/>
        </w:rPr>
      </w:pPr>
      <w:r w:rsidRPr="00CC7211">
        <w:rPr>
          <w:rFonts w:ascii="Palatino Linotype" w:hAnsi="Palatino Linotype"/>
          <w:b/>
          <w:bCs/>
          <w:color w:val="000000"/>
          <w:sz w:val="22"/>
          <w:szCs w:val="22"/>
        </w:rPr>
        <w:lastRenderedPageBreak/>
        <w:t>SONUÇ VE İSTEM :</w:t>
      </w:r>
    </w:p>
    <w:p w:rsidR="00CC7211" w:rsidRPr="00CC7211" w:rsidRDefault="00CC7211" w:rsidP="00E15DFB">
      <w:pPr>
        <w:pStyle w:val="NormalWeb"/>
        <w:tabs>
          <w:tab w:val="left" w:pos="426"/>
        </w:tabs>
        <w:jc w:val="both"/>
        <w:rPr>
          <w:rFonts w:ascii="Palatino Linotype" w:hAnsi="Palatino Linotype"/>
          <w:color w:val="000000"/>
          <w:sz w:val="22"/>
          <w:szCs w:val="22"/>
        </w:rPr>
      </w:pPr>
      <w:r w:rsidRPr="00CC7211">
        <w:rPr>
          <w:rFonts w:ascii="Palatino Linotype" w:hAnsi="Palatino Linotype"/>
          <w:color w:val="000000"/>
          <w:sz w:val="22"/>
          <w:szCs w:val="22"/>
        </w:rPr>
        <w:t>Yukarıda ayrıntılarıyla arz ve izah edilen ve sayın Mahkemenizce re'sen nazara alınacak nedenlerle;</w:t>
      </w:r>
    </w:p>
    <w:p w:rsidR="00CC7211" w:rsidRPr="00CC7211" w:rsidRDefault="00CC7211" w:rsidP="00E15DFB">
      <w:pPr>
        <w:pStyle w:val="NormalWeb"/>
        <w:tabs>
          <w:tab w:val="left" w:pos="426"/>
        </w:tabs>
        <w:jc w:val="both"/>
        <w:rPr>
          <w:rFonts w:ascii="Palatino Linotype" w:hAnsi="Palatino Linotype"/>
          <w:color w:val="000000"/>
          <w:sz w:val="22"/>
          <w:szCs w:val="22"/>
        </w:rPr>
      </w:pPr>
      <w:r w:rsidRPr="00CC7211">
        <w:rPr>
          <w:rFonts w:ascii="Palatino Linotype" w:hAnsi="Palatino Linotype"/>
          <w:color w:val="000000"/>
          <w:sz w:val="22"/>
          <w:szCs w:val="22"/>
        </w:rPr>
        <w:t>Anayasa'nın 90. maddesi uyarınca iç hukukumuzun amir ve ayrılmaz bir parçası olan Avrupa İnsan Hakları Mahkemesi Büyük Dairesi'nin</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i/>
          <w:iCs/>
          <w:color w:val="000000"/>
          <w:sz w:val="22"/>
          <w:szCs w:val="22"/>
        </w:rPr>
        <w:t>Yasak v. Türkiye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kararı, söz konusu kararda ortaya konulan Sözleşme'nin 7. maddesi standartları ve Birleşmiş Milletler Özel Raportörlerinin raporları ışığında; müvekkile atfedilen güncel döneme ait fiillerin TCK md. 314/2 anlamında silahlı terör örgütü üyeliği suçunun</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"maddi (şiddete doğrudan, nesnel ve önemli katkı)"</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ve</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"manevi (şiddet amacını fiilen bilme ve suç işleme kastı)"</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color w:val="000000"/>
          <w:sz w:val="22"/>
          <w:szCs w:val="22"/>
        </w:rPr>
        <w:t>unsurlarını hiçbir şekilde ihtiva etmediği; “örgütle bağın kesilmemesi” veya “irtibatın devam ettiği” şeklindeki soyut çıkarımlara dayalı toptancı cezalandırma yapılamayacağı ve ceza hukukunun temel prensibi olan ispat yükünün sanığa çevrilemeyeceği hususları ile "şüpheden sanık yararlanır" evrensel ilkesi gözetilerek;</w:t>
      </w:r>
    </w:p>
    <w:p w:rsidR="00FF455E" w:rsidRDefault="00CC7211" w:rsidP="00E15DFB">
      <w:pPr>
        <w:pStyle w:val="NormalWeb"/>
        <w:tabs>
          <w:tab w:val="left" w:pos="426"/>
        </w:tabs>
        <w:jc w:val="both"/>
        <w:rPr>
          <w:rStyle w:val="apple-converted-space"/>
          <w:rFonts w:ascii="Palatino Linotype" w:eastAsiaTheme="majorEastAsia" w:hAnsi="Palatino Linotype"/>
          <w:color w:val="000000"/>
          <w:sz w:val="22"/>
          <w:szCs w:val="22"/>
        </w:rPr>
      </w:pPr>
      <w:r w:rsidRPr="00CC7211">
        <w:rPr>
          <w:rFonts w:ascii="Palatino Linotype" w:hAnsi="Palatino Linotype"/>
          <w:color w:val="000000"/>
          <w:sz w:val="22"/>
          <w:szCs w:val="22"/>
        </w:rPr>
        <w:t>Üzerine atılı "</w:t>
      </w:r>
      <w:r w:rsidR="00D862CA">
        <w:rPr>
          <w:rFonts w:ascii="Palatino Linotype" w:hAnsi="Palatino Linotype"/>
          <w:color w:val="000000"/>
          <w:sz w:val="22"/>
          <w:szCs w:val="22"/>
        </w:rPr>
        <w:t>s</w:t>
      </w:r>
      <w:r w:rsidRPr="00CC7211">
        <w:rPr>
          <w:rFonts w:ascii="Palatino Linotype" w:hAnsi="Palatino Linotype"/>
          <w:color w:val="000000"/>
          <w:sz w:val="22"/>
          <w:szCs w:val="22"/>
        </w:rPr>
        <w:t xml:space="preserve">ilahlı </w:t>
      </w:r>
      <w:r w:rsidR="00D862CA">
        <w:rPr>
          <w:rFonts w:ascii="Palatino Linotype" w:hAnsi="Palatino Linotype"/>
          <w:color w:val="000000"/>
          <w:sz w:val="22"/>
          <w:szCs w:val="22"/>
        </w:rPr>
        <w:t>t</w:t>
      </w:r>
      <w:r w:rsidRPr="00CC7211">
        <w:rPr>
          <w:rFonts w:ascii="Palatino Linotype" w:hAnsi="Palatino Linotype"/>
          <w:color w:val="000000"/>
          <w:sz w:val="22"/>
          <w:szCs w:val="22"/>
        </w:rPr>
        <w:t xml:space="preserve">erör </w:t>
      </w:r>
      <w:r w:rsidR="00D862CA">
        <w:rPr>
          <w:rFonts w:ascii="Palatino Linotype" w:hAnsi="Palatino Linotype"/>
          <w:color w:val="000000"/>
          <w:sz w:val="22"/>
          <w:szCs w:val="22"/>
        </w:rPr>
        <w:t>ö</w:t>
      </w:r>
      <w:r w:rsidRPr="00CC7211">
        <w:rPr>
          <w:rFonts w:ascii="Palatino Linotype" w:hAnsi="Palatino Linotype"/>
          <w:color w:val="000000"/>
          <w:sz w:val="22"/>
          <w:szCs w:val="22"/>
        </w:rPr>
        <w:t xml:space="preserve">rgütü </w:t>
      </w:r>
      <w:r w:rsidR="00D862CA">
        <w:rPr>
          <w:rFonts w:ascii="Palatino Linotype" w:hAnsi="Palatino Linotype"/>
          <w:color w:val="000000"/>
          <w:sz w:val="22"/>
          <w:szCs w:val="22"/>
        </w:rPr>
        <w:t>ü</w:t>
      </w:r>
      <w:r w:rsidRPr="00CC7211">
        <w:rPr>
          <w:rFonts w:ascii="Palatino Linotype" w:hAnsi="Palatino Linotype"/>
          <w:color w:val="000000"/>
          <w:sz w:val="22"/>
          <w:szCs w:val="22"/>
        </w:rPr>
        <w:t>yeliği" suçunun yasal unsurları maddi ve manevi yönden oluşmayan müvekkilin</w:t>
      </w:r>
      <w:r w:rsidRPr="00CC7211">
        <w:rPr>
          <w:rStyle w:val="apple-converted-space"/>
          <w:rFonts w:ascii="Palatino Linotype" w:eastAsiaTheme="majorEastAsia" w:hAnsi="Palatino Linotype"/>
          <w:color w:val="000000"/>
          <w:sz w:val="22"/>
          <w:szCs w:val="22"/>
        </w:rPr>
        <w:t> </w:t>
      </w:r>
      <w:r w:rsidRPr="00CC7211">
        <w:rPr>
          <w:rFonts w:ascii="Palatino Linotype" w:hAnsi="Palatino Linotype"/>
          <w:b/>
          <w:bCs/>
          <w:color w:val="000000"/>
          <w:sz w:val="22"/>
          <w:szCs w:val="22"/>
        </w:rPr>
        <w:t>BERAATİNE karar verilmesini</w:t>
      </w:r>
      <w:r w:rsidRPr="00CC7211">
        <w:rPr>
          <w:rFonts w:ascii="Palatino Linotype" w:hAnsi="Palatino Linotype"/>
          <w:color w:val="000000"/>
          <w:sz w:val="22"/>
          <w:szCs w:val="22"/>
        </w:rPr>
        <w:t>, saygılarımızla vekâleten talep ederiz. …/…./202...  </w:t>
      </w:r>
      <w:r w:rsidRPr="00CC7211">
        <w:rPr>
          <w:rStyle w:val="apple-converted-space"/>
          <w:rFonts w:ascii="Palatino Linotype" w:eastAsiaTheme="majorEastAsia" w:hAnsi="Palatino Linotype"/>
          <w:color w:val="000000"/>
          <w:sz w:val="22"/>
          <w:szCs w:val="22"/>
        </w:rPr>
        <w:t> </w:t>
      </w:r>
    </w:p>
    <w:p w:rsidR="00FF455E" w:rsidRDefault="00FF455E" w:rsidP="00E15DFB">
      <w:pPr>
        <w:pStyle w:val="NormalWeb"/>
        <w:tabs>
          <w:tab w:val="left" w:pos="426"/>
        </w:tabs>
        <w:jc w:val="both"/>
        <w:rPr>
          <w:rStyle w:val="apple-converted-space"/>
          <w:rFonts w:ascii="Palatino Linotype" w:eastAsiaTheme="majorEastAsia" w:hAnsi="Palatino Linotype"/>
          <w:color w:val="000000"/>
          <w:sz w:val="22"/>
          <w:szCs w:val="22"/>
        </w:rPr>
      </w:pP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p>
    <w:p w:rsidR="00E15DFB" w:rsidRDefault="00E15DFB" w:rsidP="00E15DFB">
      <w:pPr>
        <w:pStyle w:val="NormalWeb"/>
        <w:tabs>
          <w:tab w:val="left" w:pos="426"/>
        </w:tabs>
        <w:jc w:val="both"/>
        <w:rPr>
          <w:rStyle w:val="apple-converted-space"/>
          <w:rFonts w:ascii="Palatino Linotype" w:eastAsiaTheme="majorEastAsia" w:hAnsi="Palatino Linotype"/>
          <w:color w:val="000000"/>
          <w:sz w:val="22"/>
          <w:szCs w:val="22"/>
        </w:rPr>
      </w:pPr>
    </w:p>
    <w:p w:rsidR="00FF455E" w:rsidRDefault="00FF455E" w:rsidP="00E15DFB">
      <w:pPr>
        <w:pStyle w:val="NormalWeb"/>
        <w:tabs>
          <w:tab w:val="left" w:pos="426"/>
        </w:tabs>
        <w:jc w:val="both"/>
        <w:rPr>
          <w:rStyle w:val="apple-converted-space"/>
          <w:rFonts w:ascii="Palatino Linotype" w:eastAsiaTheme="majorEastAsia" w:hAnsi="Palatino Linotype"/>
          <w:color w:val="000000"/>
          <w:sz w:val="22"/>
          <w:szCs w:val="22"/>
        </w:rPr>
      </w:pP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r>
      <w:r>
        <w:rPr>
          <w:rStyle w:val="apple-converted-space"/>
          <w:rFonts w:ascii="Palatino Linotype" w:eastAsiaTheme="majorEastAsia" w:hAnsi="Palatino Linotype"/>
          <w:color w:val="000000"/>
          <w:sz w:val="22"/>
          <w:szCs w:val="22"/>
        </w:rPr>
        <w:tab/>
        <w:t xml:space="preserve">        </w:t>
      </w:r>
      <w:r w:rsidR="00CC7211" w:rsidRPr="00CC7211">
        <w:rPr>
          <w:rFonts w:ascii="Palatino Linotype" w:hAnsi="Palatino Linotype"/>
          <w:b/>
          <w:bCs/>
          <w:color w:val="000000"/>
          <w:sz w:val="22"/>
          <w:szCs w:val="22"/>
        </w:rPr>
        <w:t>Sanık Müdafii</w:t>
      </w:r>
      <w:r w:rsidR="00CC7211" w:rsidRPr="00CC7211">
        <w:rPr>
          <w:rFonts w:ascii="Palatino Linotype" w:hAnsi="Palatino Linotype"/>
          <w:color w:val="000000"/>
          <w:sz w:val="22"/>
          <w:szCs w:val="22"/>
        </w:rPr>
        <w:t> </w:t>
      </w:r>
      <w:r w:rsidR="00CC7211" w:rsidRPr="00CC7211">
        <w:rPr>
          <w:rStyle w:val="apple-converted-space"/>
          <w:rFonts w:ascii="Palatino Linotype" w:eastAsiaTheme="majorEastAsia" w:hAnsi="Palatino Linotype"/>
          <w:color w:val="000000"/>
          <w:sz w:val="22"/>
          <w:szCs w:val="22"/>
        </w:rPr>
        <w:t> </w:t>
      </w:r>
      <w:r w:rsidR="00CC7211" w:rsidRPr="00CC7211">
        <w:rPr>
          <w:rFonts w:ascii="Palatino Linotype" w:hAnsi="Palatino Linotype"/>
          <w:b/>
          <w:bCs/>
          <w:color w:val="000000"/>
          <w:sz w:val="22"/>
          <w:szCs w:val="22"/>
        </w:rPr>
        <w:t>Av. [İsim Soyisim]</w:t>
      </w:r>
      <w:r w:rsidR="00CC7211" w:rsidRPr="00CC7211">
        <w:rPr>
          <w:rStyle w:val="apple-converted-space"/>
          <w:rFonts w:ascii="Palatino Linotype" w:eastAsiaTheme="majorEastAsia" w:hAnsi="Palatino Linotype"/>
          <w:color w:val="000000"/>
          <w:sz w:val="22"/>
          <w:szCs w:val="22"/>
        </w:rPr>
        <w:t> </w:t>
      </w:r>
      <w:r w:rsidR="00CC7211" w:rsidRPr="00CC7211">
        <w:rPr>
          <w:rFonts w:ascii="Palatino Linotype" w:hAnsi="Palatino Linotype"/>
          <w:color w:val="000000"/>
          <w:sz w:val="22"/>
          <w:szCs w:val="22"/>
        </w:rPr>
        <w:t> </w:t>
      </w:r>
      <w:r w:rsidR="00CC7211" w:rsidRPr="00CC7211">
        <w:rPr>
          <w:rStyle w:val="apple-converted-space"/>
          <w:rFonts w:ascii="Palatino Linotype" w:eastAsiaTheme="majorEastAsia" w:hAnsi="Palatino Linotype"/>
          <w:color w:val="000000"/>
          <w:sz w:val="22"/>
          <w:szCs w:val="22"/>
        </w:rPr>
        <w:t> </w:t>
      </w:r>
    </w:p>
    <w:p w:rsidR="00FF455E" w:rsidRDefault="00FF455E" w:rsidP="00E15DFB">
      <w:pPr>
        <w:pStyle w:val="NormalWeb"/>
        <w:tabs>
          <w:tab w:val="left" w:pos="426"/>
        </w:tabs>
        <w:jc w:val="both"/>
        <w:rPr>
          <w:rStyle w:val="apple-converted-space"/>
          <w:rFonts w:ascii="Palatino Linotype" w:eastAsiaTheme="majorEastAsia" w:hAnsi="Palatino Linotype"/>
          <w:color w:val="000000"/>
          <w:sz w:val="22"/>
          <w:szCs w:val="22"/>
        </w:rPr>
      </w:pPr>
    </w:p>
    <w:p w:rsidR="00E15DFB" w:rsidRDefault="00E15DFB" w:rsidP="00E15DFB">
      <w:pPr>
        <w:pStyle w:val="NormalWeb"/>
        <w:tabs>
          <w:tab w:val="left" w:pos="426"/>
        </w:tabs>
        <w:jc w:val="both"/>
        <w:rPr>
          <w:rStyle w:val="apple-converted-space"/>
          <w:rFonts w:ascii="Palatino Linotype" w:eastAsiaTheme="majorEastAsia" w:hAnsi="Palatino Linotype"/>
          <w:color w:val="000000"/>
          <w:sz w:val="22"/>
          <w:szCs w:val="22"/>
        </w:rPr>
      </w:pPr>
    </w:p>
    <w:p w:rsidR="00E15DFB" w:rsidRDefault="00E15DFB" w:rsidP="00E15DFB">
      <w:pPr>
        <w:pStyle w:val="NormalWeb"/>
        <w:tabs>
          <w:tab w:val="left" w:pos="426"/>
        </w:tabs>
        <w:jc w:val="both"/>
        <w:rPr>
          <w:rStyle w:val="apple-converted-space"/>
          <w:rFonts w:ascii="Palatino Linotype" w:eastAsiaTheme="majorEastAsia" w:hAnsi="Palatino Linotype"/>
          <w:color w:val="000000"/>
          <w:sz w:val="22"/>
          <w:szCs w:val="22"/>
        </w:rPr>
      </w:pPr>
    </w:p>
    <w:p w:rsidR="00CC7211" w:rsidRPr="00CC7211" w:rsidRDefault="00CC7211" w:rsidP="00E15DFB">
      <w:pPr>
        <w:pStyle w:val="NormalWeb"/>
        <w:tabs>
          <w:tab w:val="left" w:pos="426"/>
        </w:tabs>
        <w:jc w:val="both"/>
        <w:rPr>
          <w:rFonts w:ascii="Palatino Linotype" w:hAnsi="Palatino Linotype"/>
          <w:color w:val="000000"/>
          <w:sz w:val="22"/>
          <w:szCs w:val="22"/>
        </w:rPr>
      </w:pPr>
      <w:r w:rsidRPr="00CC7211">
        <w:rPr>
          <w:rFonts w:ascii="Palatino Linotype" w:hAnsi="Palatino Linotype"/>
          <w:b/>
          <w:bCs/>
          <w:color w:val="000000"/>
          <w:sz w:val="22"/>
          <w:szCs w:val="22"/>
        </w:rPr>
        <w:t>EKLER:</w:t>
      </w:r>
    </w:p>
    <w:p w:rsidR="00CC7211" w:rsidRPr="00CC7211" w:rsidRDefault="00CC7211" w:rsidP="00E15DFB">
      <w:pPr>
        <w:pStyle w:val="NormalWeb"/>
        <w:numPr>
          <w:ilvl w:val="0"/>
          <w:numId w:val="5"/>
        </w:numPr>
        <w:tabs>
          <w:tab w:val="left" w:pos="426"/>
        </w:tabs>
        <w:ind w:left="0" w:firstLine="0"/>
        <w:jc w:val="both"/>
        <w:rPr>
          <w:rFonts w:ascii="Palatino Linotype" w:hAnsi="Palatino Linotype"/>
          <w:color w:val="000000"/>
          <w:sz w:val="22"/>
          <w:szCs w:val="22"/>
        </w:rPr>
      </w:pPr>
      <w:r w:rsidRPr="00CC7211">
        <w:rPr>
          <w:rFonts w:ascii="Palatino Linotype" w:hAnsi="Palatino Linotype"/>
          <w:color w:val="000000"/>
          <w:sz w:val="22"/>
          <w:szCs w:val="22"/>
        </w:rPr>
        <w:t>AİHM Yasak/Türkiye Büyük Daire Kararının Türkçe Çevirisi</w:t>
      </w:r>
    </w:p>
    <w:p w:rsidR="00D6259C" w:rsidRPr="00CC7211" w:rsidRDefault="00D6259C" w:rsidP="00E15DFB">
      <w:pPr>
        <w:tabs>
          <w:tab w:val="left" w:pos="426"/>
        </w:tabs>
        <w:jc w:val="both"/>
        <w:rPr>
          <w:rFonts w:ascii="Palatino Linotype" w:hAnsi="Palatino Linotype"/>
          <w:sz w:val="22"/>
          <w:szCs w:val="22"/>
        </w:rPr>
      </w:pPr>
    </w:p>
    <w:p w:rsidR="00A06F22" w:rsidRPr="00CC7211" w:rsidRDefault="00A06F22" w:rsidP="00E15DFB">
      <w:pPr>
        <w:tabs>
          <w:tab w:val="left" w:pos="426"/>
        </w:tabs>
        <w:jc w:val="both"/>
        <w:rPr>
          <w:rFonts w:ascii="Palatino Linotype" w:hAnsi="Palatino Linotype"/>
          <w:sz w:val="22"/>
          <w:szCs w:val="22"/>
        </w:rPr>
      </w:pPr>
    </w:p>
    <w:p w:rsidR="00E15DFB" w:rsidRPr="00CC7211" w:rsidRDefault="00E15DFB">
      <w:pPr>
        <w:tabs>
          <w:tab w:val="left" w:pos="426"/>
        </w:tabs>
        <w:jc w:val="both"/>
        <w:rPr>
          <w:rFonts w:ascii="Palatino Linotype" w:hAnsi="Palatino Linotype"/>
          <w:sz w:val="22"/>
          <w:szCs w:val="22"/>
        </w:rPr>
      </w:pPr>
    </w:p>
    <w:sectPr w:rsidR="00E15DFB" w:rsidRPr="00CC7211" w:rsidSect="00A06F2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CC3"/>
    <w:multiLevelType w:val="multilevel"/>
    <w:tmpl w:val="BC046150"/>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4682D"/>
    <w:multiLevelType w:val="multilevel"/>
    <w:tmpl w:val="C4D6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C016F"/>
    <w:multiLevelType w:val="multilevel"/>
    <w:tmpl w:val="A148DD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72512"/>
    <w:multiLevelType w:val="multilevel"/>
    <w:tmpl w:val="D2DE2F66"/>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05D9E"/>
    <w:multiLevelType w:val="multilevel"/>
    <w:tmpl w:val="844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829343">
    <w:abstractNumId w:val="2"/>
  </w:num>
  <w:num w:numId="2" w16cid:durableId="1294598950">
    <w:abstractNumId w:val="3"/>
  </w:num>
  <w:num w:numId="3" w16cid:durableId="1210922414">
    <w:abstractNumId w:val="4"/>
  </w:num>
  <w:num w:numId="4" w16cid:durableId="1571236079">
    <w:abstractNumId w:val="0"/>
  </w:num>
  <w:num w:numId="5" w16cid:durableId="162577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11"/>
    <w:rsid w:val="00211913"/>
    <w:rsid w:val="004575F0"/>
    <w:rsid w:val="00732FDB"/>
    <w:rsid w:val="00916833"/>
    <w:rsid w:val="00A06F22"/>
    <w:rsid w:val="00BD2DC3"/>
    <w:rsid w:val="00CB4B31"/>
    <w:rsid w:val="00CC7211"/>
    <w:rsid w:val="00D6259C"/>
    <w:rsid w:val="00D862CA"/>
    <w:rsid w:val="00E15DFB"/>
    <w:rsid w:val="00FF455E"/>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1AC21226"/>
  <w15:chartTrackingRefBased/>
  <w15:docId w15:val="{F495075B-8082-1844-80D7-2F2738CD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7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7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721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721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721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721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721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721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721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721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721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721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721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721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72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72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72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7211"/>
    <w:rPr>
      <w:rFonts w:eastAsiaTheme="majorEastAsia" w:cstheme="majorBidi"/>
      <w:color w:val="272727" w:themeColor="text1" w:themeTint="D8"/>
    </w:rPr>
  </w:style>
  <w:style w:type="paragraph" w:styleId="KonuBal">
    <w:name w:val="Title"/>
    <w:basedOn w:val="Normal"/>
    <w:next w:val="Normal"/>
    <w:link w:val="KonuBalChar"/>
    <w:uiPriority w:val="10"/>
    <w:qFormat/>
    <w:rsid w:val="00CC721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72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7211"/>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72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7211"/>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C7211"/>
    <w:rPr>
      <w:i/>
      <w:iCs/>
      <w:color w:val="404040" w:themeColor="text1" w:themeTint="BF"/>
    </w:rPr>
  </w:style>
  <w:style w:type="paragraph" w:styleId="ListeParagraf">
    <w:name w:val="List Paragraph"/>
    <w:basedOn w:val="Normal"/>
    <w:uiPriority w:val="34"/>
    <w:qFormat/>
    <w:rsid w:val="00CC7211"/>
    <w:pPr>
      <w:ind w:left="720"/>
      <w:contextualSpacing/>
    </w:pPr>
  </w:style>
  <w:style w:type="character" w:styleId="GlVurgulama">
    <w:name w:val="Intense Emphasis"/>
    <w:basedOn w:val="VarsaylanParagrafYazTipi"/>
    <w:uiPriority w:val="21"/>
    <w:qFormat/>
    <w:rsid w:val="00CC7211"/>
    <w:rPr>
      <w:i/>
      <w:iCs/>
      <w:color w:val="0F4761" w:themeColor="accent1" w:themeShade="BF"/>
    </w:rPr>
  </w:style>
  <w:style w:type="paragraph" w:styleId="GlAlnt">
    <w:name w:val="Intense Quote"/>
    <w:basedOn w:val="Normal"/>
    <w:next w:val="Normal"/>
    <w:link w:val="GlAlntChar"/>
    <w:uiPriority w:val="30"/>
    <w:qFormat/>
    <w:rsid w:val="00CC7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7211"/>
    <w:rPr>
      <w:i/>
      <w:iCs/>
      <w:color w:val="0F4761" w:themeColor="accent1" w:themeShade="BF"/>
    </w:rPr>
  </w:style>
  <w:style w:type="character" w:styleId="GlBavuru">
    <w:name w:val="Intense Reference"/>
    <w:basedOn w:val="VarsaylanParagrafYazTipi"/>
    <w:uiPriority w:val="32"/>
    <w:qFormat/>
    <w:rsid w:val="00CC7211"/>
    <w:rPr>
      <w:b/>
      <w:bCs/>
      <w:smallCaps/>
      <w:color w:val="0F4761" w:themeColor="accent1" w:themeShade="BF"/>
      <w:spacing w:val="5"/>
    </w:rPr>
  </w:style>
  <w:style w:type="paragraph" w:styleId="NormalWeb">
    <w:name w:val="Normal (Web)"/>
    <w:basedOn w:val="Normal"/>
    <w:uiPriority w:val="99"/>
    <w:semiHidden/>
    <w:unhideWhenUsed/>
    <w:rsid w:val="00CC7211"/>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CC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2233</Words>
  <Characters>12734</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Y</dc:creator>
  <cp:keywords/>
  <dc:description/>
  <cp:lastModifiedBy>U Y</cp:lastModifiedBy>
  <cp:revision>3</cp:revision>
  <dcterms:created xsi:type="dcterms:W3CDTF">2026-05-07T13:41:00Z</dcterms:created>
  <dcterms:modified xsi:type="dcterms:W3CDTF">2026-05-07T16:09:00Z</dcterms:modified>
</cp:coreProperties>
</file>