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996" w:rsidRDefault="00403996" w:rsidP="00A700A4">
      <w:pPr>
        <w:pStyle w:val="NormalWeb"/>
        <w:jc w:val="center"/>
        <w:rPr>
          <w:b/>
          <w:bCs/>
          <w:color w:val="000000"/>
        </w:rPr>
      </w:pPr>
      <w:r>
        <w:rPr>
          <w:b/>
          <w:bCs/>
          <w:color w:val="000000"/>
        </w:rPr>
        <w:t>YARGITAY 3. CEZA DAİRESİ BAŞKANLIĞINA</w:t>
      </w:r>
    </w:p>
    <w:p w:rsidR="00A700A4" w:rsidRDefault="00A700A4" w:rsidP="00A700A4">
      <w:pPr>
        <w:pStyle w:val="NormalWeb"/>
        <w:jc w:val="center"/>
        <w:rPr>
          <w:b/>
          <w:bCs/>
          <w:color w:val="000000"/>
        </w:rPr>
      </w:pPr>
    </w:p>
    <w:p w:rsidR="00403996" w:rsidRDefault="00403996" w:rsidP="00A700A4">
      <w:pPr>
        <w:pStyle w:val="NormalWeb"/>
        <w:jc w:val="center"/>
        <w:rPr>
          <w:rStyle w:val="apple-converted-space"/>
          <w:rFonts w:eastAsiaTheme="majorEastAsia"/>
          <w:color w:val="000000"/>
        </w:rPr>
      </w:pPr>
    </w:p>
    <w:p w:rsidR="00403996" w:rsidRDefault="00403996" w:rsidP="00A700A4">
      <w:pPr>
        <w:pStyle w:val="NormalWeb"/>
        <w:rPr>
          <w:color w:val="000000"/>
        </w:rPr>
      </w:pPr>
      <w:r>
        <w:rPr>
          <w:b/>
          <w:bCs/>
          <w:color w:val="000000"/>
        </w:rPr>
        <w:t>DOSYA NO      </w:t>
      </w:r>
      <w:r>
        <w:rPr>
          <w:b/>
          <w:bCs/>
          <w:color w:val="000000"/>
        </w:rPr>
        <w:tab/>
      </w:r>
      <w:r>
        <w:rPr>
          <w:b/>
          <w:bCs/>
          <w:color w:val="000000"/>
        </w:rPr>
        <w:tab/>
      </w:r>
      <w:r w:rsidRPr="00987D45">
        <w:rPr>
          <w:b/>
          <w:bCs/>
          <w:color w:val="000000"/>
          <w:highlight w:val="yellow"/>
        </w:rPr>
        <w:t>:</w:t>
      </w:r>
      <w:r w:rsidRPr="00987D45">
        <w:rPr>
          <w:rStyle w:val="apple-converted-space"/>
          <w:rFonts w:eastAsiaTheme="majorEastAsia"/>
          <w:color w:val="000000"/>
          <w:highlight w:val="yellow"/>
        </w:rPr>
        <w:t> </w:t>
      </w:r>
      <w:r w:rsidRPr="00987D45">
        <w:rPr>
          <w:color w:val="000000"/>
          <w:highlight w:val="yellow"/>
        </w:rPr>
        <w:t>……….</w:t>
      </w:r>
    </w:p>
    <w:p w:rsidR="00403996" w:rsidRDefault="00403996" w:rsidP="00A700A4">
      <w:pPr>
        <w:pStyle w:val="NormalWeb"/>
        <w:rPr>
          <w:color w:val="000000"/>
        </w:rPr>
      </w:pPr>
      <w:r>
        <w:rPr>
          <w:b/>
          <w:bCs/>
          <w:color w:val="000000"/>
        </w:rPr>
        <w:t>TEMYİZ EDEN</w:t>
      </w:r>
      <w:r>
        <w:rPr>
          <w:color w:val="000000"/>
        </w:rPr>
        <w:t> </w:t>
      </w:r>
      <w:r>
        <w:rPr>
          <w:rStyle w:val="apple-converted-space"/>
          <w:rFonts w:eastAsiaTheme="majorEastAsia"/>
          <w:color w:val="000000"/>
        </w:rPr>
        <w:t> </w:t>
      </w:r>
      <w:r>
        <w:rPr>
          <w:b/>
          <w:bCs/>
          <w:color w:val="000000"/>
        </w:rPr>
        <w:t>SANIK    :</w:t>
      </w:r>
      <w:r>
        <w:rPr>
          <w:rStyle w:val="apple-converted-space"/>
          <w:rFonts w:eastAsiaTheme="majorEastAsia"/>
          <w:color w:val="000000"/>
        </w:rPr>
        <w:t> </w:t>
      </w:r>
      <w:r w:rsidRPr="00987D45">
        <w:rPr>
          <w:b/>
          <w:bCs/>
          <w:color w:val="000000"/>
          <w:highlight w:val="yellow"/>
        </w:rPr>
        <w:t>[İsim Soyisim, T.C. Kimlik No, Adres bilgisi]</w:t>
      </w:r>
    </w:p>
    <w:p w:rsidR="00403996" w:rsidRDefault="00403996" w:rsidP="00A700A4">
      <w:pPr>
        <w:pStyle w:val="NormalWeb"/>
        <w:rPr>
          <w:color w:val="000000"/>
        </w:rPr>
      </w:pPr>
      <w:r>
        <w:rPr>
          <w:b/>
          <w:bCs/>
          <w:color w:val="000000"/>
        </w:rPr>
        <w:t>MÜDAFİ          </w:t>
      </w:r>
      <w:r>
        <w:rPr>
          <w:b/>
          <w:bCs/>
          <w:color w:val="000000"/>
        </w:rPr>
        <w:tab/>
      </w:r>
      <w:r>
        <w:rPr>
          <w:b/>
          <w:bCs/>
          <w:color w:val="000000"/>
        </w:rPr>
        <w:tab/>
        <w:t>:</w:t>
      </w:r>
      <w:r>
        <w:rPr>
          <w:rStyle w:val="apple-converted-space"/>
          <w:rFonts w:eastAsiaTheme="majorEastAsia"/>
          <w:color w:val="000000"/>
        </w:rPr>
        <w:t> </w:t>
      </w:r>
      <w:r w:rsidRPr="00987D45">
        <w:rPr>
          <w:b/>
          <w:bCs/>
          <w:color w:val="000000"/>
          <w:highlight w:val="yellow"/>
        </w:rPr>
        <w:t>Av. [İsim Soyisim, Adres bilgisi]</w:t>
      </w:r>
    </w:p>
    <w:p w:rsidR="00403996" w:rsidRDefault="00403996" w:rsidP="00A700A4">
      <w:pPr>
        <w:pStyle w:val="NormalWeb"/>
        <w:jc w:val="both"/>
        <w:rPr>
          <w:color w:val="000000"/>
        </w:rPr>
      </w:pPr>
      <w:r>
        <w:rPr>
          <w:b/>
          <w:bCs/>
          <w:color w:val="000000"/>
        </w:rPr>
        <w:t>KONU             </w:t>
      </w:r>
      <w:r>
        <w:rPr>
          <w:b/>
          <w:bCs/>
          <w:color w:val="000000"/>
        </w:rPr>
        <w:tab/>
        <w:t>:</w:t>
      </w:r>
      <w:r>
        <w:rPr>
          <w:rStyle w:val="apple-converted-space"/>
          <w:rFonts w:eastAsiaTheme="majorEastAsia"/>
          <w:color w:val="000000"/>
        </w:rPr>
        <w:t> </w:t>
      </w:r>
      <w:r w:rsidRPr="00346912">
        <w:rPr>
          <w:rFonts w:ascii="Palatino Linotype" w:hAnsi="Palatino Linotype"/>
          <w:color w:val="000000"/>
          <w:sz w:val="22"/>
          <w:szCs w:val="22"/>
        </w:rPr>
        <w:t>Avrupa İnsan Hakları Mahkemesi (AİHM) Büyük Dairesi'nin </w:t>
      </w:r>
      <w:r w:rsidRPr="00346912">
        <w:rPr>
          <w:rFonts w:ascii="Palatino Linotype" w:hAnsi="Palatino Linotype"/>
          <w:i/>
          <w:iCs/>
          <w:color w:val="000000"/>
          <w:sz w:val="22"/>
          <w:szCs w:val="22"/>
        </w:rPr>
        <w:t>Yasak v. Türkiye</w:t>
      </w:r>
      <w:r w:rsidRPr="00346912">
        <w:rPr>
          <w:rFonts w:ascii="Palatino Linotype" w:hAnsi="Palatino Linotype"/>
          <w:color w:val="000000"/>
          <w:sz w:val="22"/>
          <w:szCs w:val="22"/>
        </w:rPr>
        <w:t> (Başvuru No: 17389/20) kararı ve söz konusu kararın hukuki etkileri ışığında, atılı suça dair "manevi unsurun (kastın)" yokluğu hususundaki yazılı ek savunmalarımızın sunulması ve müvekkil hakkında BERAAT kararı verilmesi</w:t>
      </w:r>
      <w:r w:rsidRPr="00346912">
        <w:rPr>
          <w:rStyle w:val="apple-converted-space"/>
          <w:rFonts w:ascii="Palatino Linotype" w:eastAsiaTheme="majorEastAsia" w:hAnsi="Palatino Linotype"/>
          <w:color w:val="000000"/>
          <w:sz w:val="22"/>
          <w:szCs w:val="22"/>
        </w:rPr>
        <w:t> </w:t>
      </w:r>
      <w:r w:rsidRPr="00346912">
        <w:rPr>
          <w:rFonts w:ascii="Palatino Linotype" w:hAnsi="Palatino Linotype"/>
          <w:b/>
          <w:bCs/>
          <w:color w:val="000000"/>
          <w:sz w:val="22"/>
          <w:szCs w:val="22"/>
        </w:rPr>
        <w:t>amacıyla Bölge Adliye Mahkemesi kararının BOZULMASI</w:t>
      </w:r>
      <w:r w:rsidRPr="00346912">
        <w:rPr>
          <w:rStyle w:val="apple-converted-space"/>
          <w:rFonts w:ascii="Palatino Linotype" w:eastAsiaTheme="majorEastAsia" w:hAnsi="Palatino Linotype"/>
          <w:color w:val="000000"/>
          <w:sz w:val="22"/>
          <w:szCs w:val="22"/>
        </w:rPr>
        <w:t> </w:t>
      </w:r>
      <w:r w:rsidRPr="00346912">
        <w:rPr>
          <w:rFonts w:ascii="Palatino Linotype" w:hAnsi="Palatino Linotype"/>
          <w:color w:val="000000"/>
          <w:sz w:val="22"/>
          <w:szCs w:val="22"/>
        </w:rPr>
        <w:t>talebidir.</w:t>
      </w:r>
    </w:p>
    <w:p w:rsidR="00403996" w:rsidRDefault="00403996" w:rsidP="00A700A4">
      <w:pPr>
        <w:pStyle w:val="NormalWeb"/>
        <w:jc w:val="center"/>
        <w:rPr>
          <w:rFonts w:ascii="Palatino Linotype" w:hAnsi="Palatino Linotype"/>
          <w:b/>
          <w:bCs/>
          <w:color w:val="000000"/>
          <w:sz w:val="22"/>
          <w:szCs w:val="22"/>
        </w:rPr>
      </w:pPr>
    </w:p>
    <w:p w:rsidR="00403996" w:rsidRDefault="00403996" w:rsidP="00A700A4">
      <w:pPr>
        <w:pStyle w:val="NormalWeb"/>
        <w:jc w:val="center"/>
        <w:rPr>
          <w:rFonts w:ascii="Palatino Linotype" w:hAnsi="Palatino Linotype"/>
          <w:b/>
          <w:bCs/>
          <w:color w:val="000000"/>
          <w:sz w:val="22"/>
          <w:szCs w:val="22"/>
        </w:rPr>
      </w:pPr>
      <w:r w:rsidRPr="00EF61E1">
        <w:rPr>
          <w:rFonts w:ascii="Palatino Linotype" w:hAnsi="Palatino Linotype"/>
          <w:b/>
          <w:bCs/>
          <w:color w:val="000000"/>
          <w:sz w:val="22"/>
          <w:szCs w:val="22"/>
        </w:rPr>
        <w:t>AÇIKLAMALAR:</w:t>
      </w:r>
    </w:p>
    <w:p w:rsidR="00403996" w:rsidRPr="00EF61E1" w:rsidRDefault="00403996" w:rsidP="00A700A4">
      <w:pPr>
        <w:pStyle w:val="NormalWeb"/>
        <w:jc w:val="center"/>
        <w:rPr>
          <w:rFonts w:ascii="Palatino Linotype" w:hAnsi="Palatino Linotype"/>
          <w:color w:val="000000"/>
          <w:sz w:val="22"/>
          <w:szCs w:val="22"/>
        </w:rPr>
      </w:pP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Müvekkil hakkında "silahlı terör örgütü üyeliği" (TCK md. 314/2) suçlamasıyla yürütülen işbu </w:t>
      </w:r>
      <w:r>
        <w:rPr>
          <w:rFonts w:ascii="Palatino Linotype" w:hAnsi="Palatino Linotype"/>
          <w:color w:val="000000"/>
          <w:sz w:val="22"/>
          <w:szCs w:val="22"/>
        </w:rPr>
        <w:t xml:space="preserve">temyiz incelemesine </w:t>
      </w:r>
      <w:r w:rsidRPr="006142B8">
        <w:rPr>
          <w:color w:val="000000"/>
        </w:rPr>
        <w:t>yargılama</w:t>
      </w:r>
      <w:r w:rsidRPr="00EF61E1">
        <w:rPr>
          <w:rFonts w:ascii="Palatino Linotype" w:hAnsi="Palatino Linotype"/>
          <w:color w:val="000000"/>
          <w:sz w:val="22"/>
          <w:szCs w:val="22"/>
        </w:rPr>
        <w:t xml:space="preserve"> kapsamında isnat edilen fiiller, esasen 15 Temmuz 2016 tarihi öncesinde gerçekleştirildiği iddia edilen ve o dönem itibarıyla tamamen yasal olan veya yasal bir görünüm arz eden, devletin denetimi altındaki rutin faaliyetlere dayanmaktadır. AİHM Büyük Dairesi'nin yakın zamanda verdiği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kararı, bu nitelikteki dosyalarda cezai sorumluluğun tespiti için gerekli olan "manevi unsur" (mens rea / suç kastı) şartını çok net sınırlarla çizmiş ve bu unsurun varlığının somut olarak tespit edilmemesi halinde verilecek mahkûmiyetlerin veya yürütülecek cezai süreçlerin Avrupa İnsan Hakları Sözleşmesi'nin (AİHS) 7. maddesini açıkça ihlal edeceğini hüküm altına almıştır. </w:t>
      </w:r>
      <w:r>
        <w:rPr>
          <w:rFonts w:ascii="Palatino Linotype" w:hAnsi="Palatino Linotype"/>
          <w:color w:val="000000"/>
          <w:sz w:val="22"/>
          <w:szCs w:val="22"/>
        </w:rPr>
        <w:t>Yüksek</w:t>
      </w:r>
      <w:r w:rsidRPr="00EF61E1">
        <w:rPr>
          <w:rFonts w:ascii="Palatino Linotype" w:hAnsi="Palatino Linotype"/>
          <w:color w:val="000000"/>
          <w:sz w:val="22"/>
          <w:szCs w:val="22"/>
        </w:rPr>
        <w:t xml:space="preserve"> </w:t>
      </w:r>
      <w:r>
        <w:rPr>
          <w:rFonts w:ascii="Palatino Linotype" w:hAnsi="Palatino Linotype"/>
          <w:color w:val="000000"/>
          <w:sz w:val="22"/>
          <w:szCs w:val="22"/>
        </w:rPr>
        <w:t>Dairenizce incelenen dosyada</w:t>
      </w:r>
      <w:r w:rsidRPr="006142B8">
        <w:rPr>
          <w:rFonts w:ascii="Palatino Linotype" w:hAnsi="Palatino Linotype"/>
          <w:color w:val="000000"/>
          <w:sz w:val="22"/>
          <w:szCs w:val="22"/>
        </w:rPr>
        <w:t>,</w:t>
      </w:r>
      <w:r>
        <w:rPr>
          <w:rFonts w:ascii="-webkit-standard" w:hAnsi="-webkit-standard"/>
          <w:color w:val="000000"/>
          <w:sz w:val="27"/>
          <w:szCs w:val="27"/>
        </w:rPr>
        <w:t xml:space="preserve"> </w:t>
      </w:r>
      <w:r w:rsidRPr="00EF61E1">
        <w:rPr>
          <w:rFonts w:ascii="Palatino Linotype" w:hAnsi="Palatino Linotype"/>
          <w:color w:val="000000"/>
          <w:sz w:val="22"/>
          <w:szCs w:val="22"/>
        </w:rPr>
        <w:t>atılı suçun maddi ve manevi unsurlarının oluşmadığı, bilhassa bu emsal karar ışığında tartışmasız biçimde ortaya çıkmıştır.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Büyük Dairesi,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 hem maddi hem de manevi unsurların somut bir biçimde incelenmeksizin ihlal kararı verilen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kararından farklı ve daha spesifik bir inceleme yapmıştır.</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 salt ByLock kullanımından otomatik mahkûmiyet verilmesi ihlal sebebi sayılmışken,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dosyasında çok daha geniş bir delil yelpazesi temelinde aynı suçtan mahkûmiyet kurulmuş olmasına rağmen, konunun yine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Fonts w:ascii="Palatino Linotype" w:hAnsi="Palatino Linotype"/>
          <w:color w:val="000000"/>
          <w:sz w:val="22"/>
          <w:szCs w:val="22"/>
        </w:rPr>
        <w:t>’daki aynı yapısal sorunu gündeme getirdiği belirtilmiştir (§§ 201-202). AİHM, bu kararda ulusal mahkemelerin suçun maddi ve manevi unsurlarını bireyselleştirme yaparak ortaya koyup koymadıklarını inceleyeceğini belirtmiş</w:t>
      </w:r>
      <w:r>
        <w:rPr>
          <w:rFonts w:ascii="Palatino Linotype" w:hAnsi="Palatino Linotype"/>
          <w:color w:val="000000"/>
          <w:sz w:val="22"/>
          <w:szCs w:val="22"/>
        </w:rPr>
        <w:t xml:space="preserve"> ve</w:t>
      </w:r>
      <w:r w:rsidRPr="00EF61E1">
        <w:rPr>
          <w:rFonts w:ascii="Palatino Linotype" w:hAnsi="Palatino Linotype"/>
          <w:color w:val="000000"/>
          <w:sz w:val="22"/>
          <w:szCs w:val="22"/>
        </w:rPr>
        <w:t xml:space="preserve"> devamında manevi unsur (kasıt) yokluğu bakımından çok kapsamlı bir değerlendirme yaparak ihlal olduğu sonucuna varmıştır (§§ 200-201). Bu durum, eylemleri ne denli çeşitli olursa olsun, kastın yokluğu halinde suçun oluşmayacağının en net göstergesidir.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Mahkeme, söz konusu kararda eylemlerin zamansal yönü (15 Temmuz öncesi olması) ve türü (örneğin eğitim alanında veya yasal zeminde olması) bakımından manevi unsurun </w:t>
      </w:r>
      <w:r w:rsidRPr="00EF61E1">
        <w:rPr>
          <w:rFonts w:ascii="Palatino Linotype" w:hAnsi="Palatino Linotype"/>
          <w:color w:val="000000"/>
          <w:sz w:val="22"/>
          <w:szCs w:val="22"/>
        </w:rPr>
        <w:lastRenderedPageBreak/>
        <w:t>titizlikle değerlendirilmesini özellikle önemsemiş ve bu unsurun değerlendirmesinin somut delillerle yapılmamış olmasını doğrudan 7. maddenin ihlaline dayanak yapmıştır. Kararda kolektif suçluluk ya da suç ortaklığı (aidiyet/iltisak temelli cezalandırma) yaklaşımı açıkça ve kesin bir dille reddedilmiş, cezai sorumluluğun tamamen bireysel olarak ve "suç kastıyla" birlikte tespitinin zorunlu olduğu kabul edilmiştir (§§ 202-203). Mahkeme, örtülü olarak da olsa, bu tür dosyalarda yerel mahkemelerin kolektif suçluluk yaklaşımıyla mahkûmiyet verdiklerini kayda geçirmiş ve bu hukuka aykırı pratiği mahkûm etmiştir.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Kararda bilhassa vurgulanan bir diğer hayati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bir ön koşuludur. Yargıtay tarafından geliştirilen kasıt içtihadı da kişinin bilerek ve isteyerek hareket ettiğinin, yani bizzat şiddete başvuran böyle bir terör örgütünün parçası olmayı arzuladığının ortaya konulmasını gerektirmektedir. AİHM'e göre, bir eylemi sadece örgütle temas kurmaktan ya da açıkça suç işleme kastı olmaksızın örgüte salt üye olmaktan ayıran yegane husus budur (§ 203). Yani Mahkeme, salt yapı üyeliğinin değil, ancak amaçları ve şiddet içeren yöntemlerinden haberdar olunduğu kanıtlanabilen kişilerin terör örgütü üyesi olarak cezalandırılabileceğini belirtmektedir.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kasıt unsurunun nasıl tespit edileceğine ve çıkarım yapılacağına dair ulusal mahkemelerin uygulamasını incelemiş ve izlenen yöntemi son derece sorunlu bulmuştur. Mahkemeye göre bu tespit, varsayımlarla değil bireysel olarak her kişi özelinde yapılmalıdır. Toplumun her kesiminde yer edinmiş Cemaat/Yapı yargılamalarında bu zorunluluk bilhassa elzemdir. Zira salt Cemaat mensubiyetinin veya temasının doğrudan terör örgütü üyeliği olarak cezalandırılmaması için bu ayrımın yapılması şarttır. Başvuranın atfedilen fiillerinin gerçekleştiği zaman ve fiilin kendi bağlamından hareketle manevi unsur çıkarımı büyük bir titizlikle yapılmak zorundadır (§ 204). Müvekkilin dosyasında da atılı yasal eylemlerden suç kastı çıkarılması, AİHM'in aradığı bu titizlikten tamamen yoksundur.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Büyük Daire, kararında çok </w:t>
      </w:r>
      <w:r>
        <w:rPr>
          <w:rFonts w:ascii="Palatino Linotype" w:hAnsi="Palatino Linotype"/>
          <w:color w:val="000000"/>
          <w:sz w:val="22"/>
          <w:szCs w:val="22"/>
        </w:rPr>
        <w:t>önemli</w:t>
      </w:r>
      <w:r w:rsidRPr="00EF61E1">
        <w:rPr>
          <w:rFonts w:ascii="Palatino Linotype" w:hAnsi="Palatino Linotype"/>
          <w:color w:val="000000"/>
          <w:sz w:val="22"/>
          <w:szCs w:val="22"/>
        </w:rPr>
        <w:t xml:space="preserve"> bir "zamansal" değerlendirme yapmıştır. Başvurucuya atfedilen eylemlerin ne zaman gerçekleştirildiği dahi tam belirlenmeden, iddialar üzerine mahkûmiyet kurulması eleştirilmiştir. İlgili yapının önce idari makamlar tarafından, sonra da mahkemeler tarafından 15 Temmuz darbe girişimi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 205).</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 206). Hele ki iddia edilen olguların şiddet eylemleriyle doğrudan hiçbir bağlantısı yoksa buna çok daha özel bir dikkat gösterilmelidir. Müvekkile atfedilen eylemlerin tamamı hukuka uygun eylemlerdir ve bu eylemlerin sırf belirli bir tarihten sonra yapıldığı varsayımıyla terör kastına yorulması Sözleşme'ye açıkça aykırıdır.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lastRenderedPageBreak/>
        <w:t>Mahkeme, suç veya terör örgütlerine üyelikle ilgili davalarda kişinin belirli bir süre devam eden davranışlarının bir bütün olarak değerlendirilip kasıt çıkarımı yapılmasını teorik olarak kabul edilebilir bulsa da, bunun mutlak surette 7. maddeye uygun yapılması gerektiğini belirtmektedir (§ 207). İtirafın az olduğu dosyalarda yargı makamlarının varsayımsal örgüt çıkarımı yapmasının yaygın olduğu kabul edilmekle birlikte, somut dosyalarda zamansal durumun dikkate alınmaması ve bağlamsal analizin yapılmaması doğrudan hak ihlali yaratmaktadır.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AİHM'in kararda "bağlamsal analiz" ile neyi kastettiği de detaylandırılmıştır. Söz konusu yapının uzun yıllar boyunca toplumun değişik alanlarına, özellikle eğitim, sağlık ve finans alanlarına derinlemesine yerleştiği, yasal olarak ve devletin denetiminde faaliyet gösterdiği vurgulanmıştır. Dolayısıyla toplumun geniş bir kesimini oluşturan çok sayıda kişinin, bu yapının (iddia edilen) gerçek amaçlarından veya gizli niyetlerinden hiçbir şekilde haberdar olmadan örgütün görünür ve yasal yapılarıyla temas kurmuş, faaliyet sürdürmüş olması son derece olağandır. Hal böyleyken, terör örgütü üyeliği suçunun en zorunlu unsuru olan "kasıt" unsurunun tespitinin önemi bir kat daha artmaktadır (§ 208). Müvekkilin rutin yaşam çizgisi içerisindeki faaliyetlerinin de bu bağlamsal gerçeklikten kopuk değerlendirilmesi hukuken mümkün değildir.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yargılama makamlarının "kişinin bir görev üstlendiği</w:t>
      </w:r>
      <w:r w:rsidR="00346912">
        <w:rPr>
          <w:rFonts w:ascii="Palatino Linotype" w:hAnsi="Palatino Linotype"/>
          <w:color w:val="000000"/>
          <w:sz w:val="22"/>
          <w:szCs w:val="22"/>
        </w:rPr>
        <w:t xml:space="preserve"> </w:t>
      </w:r>
      <w:r w:rsidRPr="00EF61E1">
        <w:rPr>
          <w:rFonts w:ascii="Palatino Linotype" w:hAnsi="Palatino Linotype"/>
          <w:color w:val="000000"/>
          <w:sz w:val="22"/>
          <w:szCs w:val="22"/>
        </w:rPr>
        <w:t>veya şiddet kullanımını öngörebilecek durumda olduğu" şeklindeki niyet okuyucu yaklaşımını açıkça ve kesin bir dille reddetmiştir. Mahkeme burada çok temel bir ilke ortaya koymaktadır: Ulusal mahkemelerin, kişinin örgütün merkezi veya stratejik bileşenleri (örneğin askeri kanadı) arasında fiili bir bağlantısı olduğunu ileri sürmeleri veya ortaya koymaları dahi cezalandırma için yeterli değildir. Aynı zamanda bu bağlantının niteliğini ortaya koymalı; tespit edilen bu niteliğin ise kişinin kasta sahip olduğunun (şiddet amacını bildiğinin ve benimsediğinin) meşru bir biçimde çıkarılmasını sağlayacak ağırlıkta olup olmadığını tespit etmeleri gerekir. Yani kişinin eyleminin bir "terörist projeye" katılma kastı ve bilinciyle olduğu şüpheye mahal bırakmayacak şekilde ispatlanmalıdır.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AİHM, kararının 209. paragrafında sadece yerel mahkemelerin eksikliğini göstermekle yetinmemiş, ne yapılması gerektiğini de pozitif bir hukuk kuralı olarak tarif etmiştir. Büyük Daire, makamların bu bileşenlerle yalnızca bir bağlantının varlığını değil, bu bağlantının somut içeriğini ve suç kastını ortaya koyup koymadığını araştırması gerektiğini açıkça emretmektedir. Buna göre </w:t>
      </w:r>
      <w:r>
        <w:rPr>
          <w:rFonts w:ascii="Palatino Linotype" w:hAnsi="Palatino Linotype"/>
          <w:color w:val="000000"/>
          <w:sz w:val="22"/>
          <w:szCs w:val="22"/>
        </w:rPr>
        <w:t>yargılama</w:t>
      </w:r>
      <w:r w:rsidRPr="00EF61E1">
        <w:rPr>
          <w:rFonts w:ascii="Palatino Linotype" w:hAnsi="Palatino Linotype"/>
          <w:color w:val="000000"/>
          <w:sz w:val="22"/>
          <w:szCs w:val="22"/>
        </w:rPr>
        <w:t xml:space="preserve"> makamları, kişinin örgütün merkezi veya stratejik yapılarıyla "gerçek, işlevsel ve hiyerarşik bir bağının" bulunup bulunmadığını, bu bağın kapsamını ve niteliğini, ayrıca kişinin örgütün 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Örgüte henüz hiçbir şiddet eyleminin atfedilmediği ve devletin tüm kurumlarıyla bu yapının yasal yüzüyle temas halinde olduğu bir dönemde, kişinin şiddet amaçlarını bildiği somut olarak gösterilmeden cezai yollara başvurulması 7. maddenin açık ihlalidir (§ 209).</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Kararda Yargıtay'ın söz konusu yapıya atfettiği 7 katmanlı hiyerarşik yapının muğlaklığına da özel olarak değinilmiştir.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 210). Atıf yapılan bu katmanlı yapının muğlak tasvirlerinin varsayımsal cezalandırmalara dayanak yapılması, AİHM tarafından doğrudan 7. madde aleyhine yorumlanmıştır.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lastRenderedPageBreak/>
        <w:t>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Mahkeme, her ne düzeyde olursa olsun veya hangi görevi yaparsa yapsın "Cemaat/Yapı üyesi eşittir terör örgütü üyesi" şeklindeki toptancı anlayışı kökten reddetmiştir. Dosyadaki var olan (ve aslen yasal olan) delilleri alt alta sıralayıp, bu delillerin kişinin örgütün (sözde) terörist amaçlarından gerçekten haberdar olduğunu ve bu bilgiyle örgütte katıldığını açıklamaya çalışmaksızın "kastın varlığına" hükmedilmesi kabul edilemez (§ 211).</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 212-213).</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özellikle 15 Temmuz darbe girişimi öncesi döneme dayalı isnatlarla yürütülen tüm soruşturma ve kovuşturmalar bakımından çok önemli bir kırılma noktası ve bağlayıcı bir içtihat niteliğindedir. Büyük Daire bu kararla, belirleyici hukuki meselenin kişinin bir yapıyla fiziki veya yasal bağlantısının bulunup bulunmadığı değil; bu bağlantının suçun manevi unsurunu somut olarak ortaya koyup koymadığı olduğunu kesinleştirmiştir. İlgili dönemde büyük ölçüde dini, sosyal ve sivil bir yapı olarak algılanan bir oluşumla yasal zeminlerde kurulan bağların, tek başına TCK 314 anlamında "silahlı terör örgütü üyeliği" suçuna dayanak oluşturamayacağı net bir şekilde tescillenmiştir.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Artık AİHM'in bağlayıcı standardına göre; 15 Temmuz öncesi döneme ilişkin atılı bir fiilin suça vücut verdiğinin Sözleşme'ye uygun kabul edilebilmesi için, kişinin tam da o dönemde söz konusu yapının şiddet içeren </w:t>
      </w:r>
      <w:r>
        <w:rPr>
          <w:rFonts w:ascii="Palatino Linotype" w:hAnsi="Palatino Linotype"/>
          <w:color w:val="000000"/>
          <w:sz w:val="22"/>
          <w:szCs w:val="22"/>
        </w:rPr>
        <w:t xml:space="preserve">iddia edilen </w:t>
      </w:r>
      <w:r w:rsidRPr="00EF61E1">
        <w:rPr>
          <w:rFonts w:ascii="Palatino Linotype" w:hAnsi="Palatino Linotype"/>
          <w:color w:val="000000"/>
          <w:sz w:val="22"/>
          <w:szCs w:val="22"/>
        </w:rPr>
        <w:t xml:space="preserve">amaçlarını "bildiğinin" hiçbir şüpheye yer bırakmayacak şekilde somut delillerle ortaya konulması gerekmektedir. Dahası, müvekkilin bu bilgiye rağmen yapıyla bağını "bilerek ve isteyerek" sürdürdüğü ve bu bağın salt sosyal ya da mesleki bir ilişki olmanın ötesinde, doğrudan </w:t>
      </w:r>
      <w:r>
        <w:rPr>
          <w:rFonts w:ascii="Palatino Linotype" w:hAnsi="Palatino Linotype"/>
          <w:color w:val="000000"/>
          <w:sz w:val="22"/>
          <w:szCs w:val="22"/>
        </w:rPr>
        <w:t xml:space="preserve">bu yapının iddia edilen </w:t>
      </w:r>
      <w:r w:rsidRPr="00EF61E1">
        <w:rPr>
          <w:rFonts w:ascii="Palatino Linotype" w:hAnsi="Palatino Linotype"/>
          <w:color w:val="000000"/>
          <w:sz w:val="22"/>
          <w:szCs w:val="22"/>
        </w:rPr>
        <w:t>suç teşkil eden amaçlarına "bilinçli bir bağlılık ve katkı" gösterecek nitelikte olduğu kanıtlanmak zorundadır. Bu unsurlar varsayımla, genellemeyle, aidiyet kavramıyla veya yasal faaliyetlerin birikimiyle değil, bireyselleştirilmiş somut delillerle ortaya konulmadıkça yürütülecek hiçbir cezai süreç Anayasa'nın 90. maddesi delaletiyle AİHS 7. maddeyle bağdaşmayacaktır.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Müvekkil hakkında yürütülen </w:t>
      </w:r>
      <w:r>
        <w:rPr>
          <w:rFonts w:ascii="Palatino Linotype" w:hAnsi="Palatino Linotype"/>
          <w:color w:val="000000"/>
          <w:sz w:val="22"/>
          <w:szCs w:val="22"/>
        </w:rPr>
        <w:t>ve temyiz aşamasında olan bu yargılamada</w:t>
      </w:r>
      <w:r w:rsidRPr="00EF61E1">
        <w:rPr>
          <w:rFonts w:ascii="Palatino Linotype" w:hAnsi="Palatino Linotype"/>
          <w:color w:val="000000"/>
          <w:sz w:val="22"/>
          <w:szCs w:val="22"/>
        </w:rPr>
        <w:t xml:space="preserve"> bu bağlayıcı kararlar ekseninde temel mesele, müvekkilin fiillerinin suç olup olmadığının tartışılmasından ziyade, bu eylemlerin "suç kastını" gösterip göstermediğidir. Müvekkil, söz konusu yapının sonradan ilan edilen şiddet amaçlarını hiçbir zaman bilmemiş, hissetmemiş ve bu amaçlara yönelik en ufak bir suç iradesi taşımamıştır. Fiillerin </w:t>
      </w:r>
      <w:r w:rsidRPr="00586ED5">
        <w:rPr>
          <w:rFonts w:ascii="Palatino Linotype" w:hAnsi="Palatino Linotype"/>
          <w:color w:val="000000"/>
          <w:sz w:val="22"/>
          <w:szCs w:val="22"/>
          <w:highlight w:val="yellow"/>
        </w:rPr>
        <w:t>(dernek/sendika üyeliği, banka hesabı kullanımı, eğitim kurumu faaliyetleri, dini sohbetler vb. yasal faaliyetlerin)</w:t>
      </w:r>
      <w:r w:rsidRPr="00EF61E1">
        <w:rPr>
          <w:rFonts w:ascii="Palatino Linotype" w:hAnsi="Palatino Linotype"/>
          <w:color w:val="000000"/>
          <w:sz w:val="22"/>
          <w:szCs w:val="22"/>
        </w:rPr>
        <w:t xml:space="preserve"> işlendiği o dönemde, yapının bir terör örgütü niteliğinde olduğunun vatandaşlar tarafından öngörülebilmesi imkansızdır. Müvekkilin kurduğu temas, hukuki çerçevede işlevsel, hiyerarşik veya şiddet amaçlı stratejik bir nitelik taşımamaktadır.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i/>
          <w:iCs/>
          <w:color w:val="000000"/>
          <w:sz w:val="22"/>
          <w:szCs w:val="22"/>
        </w:rPr>
        <w:lastRenderedPageBreak/>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Büyük Daire kararları birbirinden bağımsız kararlar değil, yargı sistemimizdeki aynı yapısal sorunun birbirini tamamlayan iki farklı görünümüne aittir ve birlikte uygulanmak zorundadır.</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otomatik mahkûmiyet, öngörülebilirlik, kanunilik ve delillerin bireyselleştirilmeden kullanılmasının hukuka aykırılığını tespit etmişken;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sorunu daha da temele indirerek kişinin yapının şiddet içeren amaçlarını bilip bilmediğinin (manevi unsurun) mutlaka bireysel olarak ispat edilmesi gerektiğini şart koşmuştur. 15 Temmuz öncesi yasal veya görünür faaliyetlerin, sonradan geriye yürütülerek terör örgütü deliline dönüştürülmesi ve kişinin terör kastı ispatlanmadan cezalandırma yoluna gidilmesi evrensel hukuka aykırıdır.</w:t>
      </w:r>
    </w:p>
    <w:p w:rsidR="00403996" w:rsidRPr="00EF61E1" w:rsidRDefault="00403996" w:rsidP="00A700A4">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Tüm bu hukuki ve fiili gerçekler muvacehesinde; müvekkilin </w:t>
      </w:r>
      <w:r>
        <w:rPr>
          <w:rFonts w:ascii="Palatino Linotype" w:hAnsi="Palatino Linotype"/>
          <w:color w:val="000000"/>
          <w:sz w:val="22"/>
          <w:szCs w:val="22"/>
        </w:rPr>
        <w:t>dava</w:t>
      </w:r>
      <w:r w:rsidRPr="00EF61E1">
        <w:rPr>
          <w:rFonts w:ascii="Palatino Linotype" w:hAnsi="Palatino Linotype"/>
          <w:color w:val="000000"/>
          <w:sz w:val="22"/>
          <w:szCs w:val="22"/>
        </w:rPr>
        <w:t xml:space="preserve">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terör örgütü statüsüne bakılarak geriye dönük olarak var sayılamaz. Müvekkilin hiçbir şiddet eylemine karışmadığı, örgütün stratejik </w:t>
      </w:r>
      <w:r>
        <w:rPr>
          <w:rFonts w:ascii="Palatino Linotype" w:hAnsi="Palatino Linotype"/>
          <w:color w:val="000000"/>
          <w:sz w:val="22"/>
          <w:szCs w:val="22"/>
        </w:rPr>
        <w:t xml:space="preserve">veya merkezi </w:t>
      </w:r>
      <w:r w:rsidRPr="00EF61E1">
        <w:rPr>
          <w:rFonts w:ascii="Palatino Linotype" w:hAnsi="Palatino Linotype"/>
          <w:color w:val="000000"/>
          <w:sz w:val="22"/>
          <w:szCs w:val="22"/>
        </w:rPr>
        <w:t xml:space="preserve">yapısıyla hiçbir hiyerarşik bağının bulunmadığı ve suç işleme kastıyla hareket etmediği açık olduğundan, </w:t>
      </w:r>
      <w:r>
        <w:rPr>
          <w:rFonts w:ascii="Palatino Linotype" w:hAnsi="Palatino Linotype"/>
          <w:color w:val="000000"/>
          <w:sz w:val="22"/>
          <w:szCs w:val="22"/>
        </w:rPr>
        <w:t xml:space="preserve">Yiksek Dairenizce </w:t>
      </w:r>
      <w:r w:rsidRPr="00EF61E1">
        <w:rPr>
          <w:rFonts w:ascii="Palatino Linotype" w:hAnsi="Palatino Linotype"/>
          <w:color w:val="000000"/>
          <w:sz w:val="22"/>
          <w:szCs w:val="22"/>
        </w:rPr>
        <w:t>varsayımlara ve kolektif suçluluk algısına dayalı bir cezalandırma yoluna gidilmemesi hukukun ve hakkaniyetin gereğidir.</w:t>
      </w:r>
    </w:p>
    <w:p w:rsidR="00403996" w:rsidRPr="00EF61E1" w:rsidRDefault="00403996" w:rsidP="00A700A4">
      <w:pPr>
        <w:pStyle w:val="NormalWeb"/>
        <w:jc w:val="both"/>
        <w:rPr>
          <w:rFonts w:ascii="Palatino Linotype" w:hAnsi="Palatino Linotype"/>
          <w:color w:val="000000"/>
          <w:sz w:val="22"/>
          <w:szCs w:val="22"/>
        </w:rPr>
      </w:pPr>
      <w:r w:rsidRPr="00EF61E1">
        <w:rPr>
          <w:rFonts w:ascii="Palatino Linotype" w:hAnsi="Palatino Linotype"/>
          <w:b/>
          <w:bCs/>
          <w:color w:val="000000"/>
          <w:sz w:val="22"/>
          <w:szCs w:val="22"/>
        </w:rPr>
        <w:t>SONUÇ VE İSTEM:</w:t>
      </w:r>
    </w:p>
    <w:p w:rsidR="00403996" w:rsidRPr="00EF61E1" w:rsidRDefault="00403996" w:rsidP="00A700A4">
      <w:pPr>
        <w:pStyle w:val="NormalWeb"/>
        <w:jc w:val="both"/>
        <w:rPr>
          <w:rFonts w:ascii="Palatino Linotype" w:hAnsi="Palatino Linotype"/>
          <w:color w:val="000000"/>
          <w:sz w:val="22"/>
          <w:szCs w:val="22"/>
        </w:rPr>
      </w:pPr>
      <w:r w:rsidRPr="00EF61E1">
        <w:rPr>
          <w:rFonts w:ascii="Palatino Linotype" w:hAnsi="Palatino Linotype"/>
          <w:color w:val="000000"/>
          <w:sz w:val="22"/>
          <w:szCs w:val="22"/>
        </w:rPr>
        <w:t>Yukarıda arz ve izah edilen ve re'sen nazara alınacak nedenlerle;</w:t>
      </w:r>
    </w:p>
    <w:p w:rsidR="00403996" w:rsidRPr="006142B8" w:rsidRDefault="00403996" w:rsidP="00A700A4">
      <w:pPr>
        <w:pStyle w:val="NormalWeb"/>
        <w:jc w:val="both"/>
        <w:rPr>
          <w:rFonts w:ascii="Palatino Linotype" w:hAnsi="Palatino Linotype"/>
          <w:color w:val="000000"/>
        </w:rPr>
      </w:pPr>
      <w:r w:rsidRPr="00EF61E1">
        <w:rPr>
          <w:rFonts w:ascii="Palatino Linotype" w:hAnsi="Palatino Linotype"/>
          <w:color w:val="000000"/>
          <w:sz w:val="22"/>
          <w:szCs w:val="22"/>
        </w:rPr>
        <w:t>Anayasa'nın 90. maddesi uyarınca iç hukukumuzun bir parçası olan ve bağlayıcılığı tartışmasız olan Avrupa İnsan Hakları Mahkemesi Büyük Dairesi'nin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kararlarında ortaya konulan evrensel hukuk standartları ışığında; müvekkile atfedilen 15 Temmuz öncesine ait yasal eylemlerin suçun "manevi unsurunu (kasıt)" hiçbir şekilde ihtiva etmediği, fiillerin işlendiği o dönem itibarıyla yapının şiddet ve terör amacının müvekkil tarafından bilinmesinin hukuken ve fiilen mümkün olmadığı, varsayıma veya aidiyete dayalı kolektif cezalandırma yapılamayacağı hususları ve </w:t>
      </w:r>
      <w:r w:rsidRPr="006142B8">
        <w:rPr>
          <w:rFonts w:ascii="Palatino Linotype" w:hAnsi="Palatino Linotype"/>
          <w:color w:val="000000"/>
        </w:rPr>
        <w:t>şüpheden sanık yararlanır evrensel ilkesi gözetilerek;</w:t>
      </w:r>
    </w:p>
    <w:p w:rsidR="00403996" w:rsidRPr="00034F3B" w:rsidRDefault="00403996" w:rsidP="00A700A4">
      <w:pPr>
        <w:pStyle w:val="NormalWeb"/>
        <w:jc w:val="both"/>
        <w:rPr>
          <w:rFonts w:ascii="Palatino Linotype" w:hAnsi="Palatino Linotype"/>
          <w:color w:val="000000"/>
          <w:sz w:val="22"/>
          <w:szCs w:val="22"/>
        </w:rPr>
      </w:pPr>
      <w:r w:rsidRPr="00403996">
        <w:rPr>
          <w:rFonts w:ascii="Palatino Linotype" w:hAnsi="Palatino Linotype"/>
          <w:color w:val="000000"/>
          <w:sz w:val="22"/>
          <w:szCs w:val="22"/>
        </w:rPr>
        <w:t xml:space="preserve">CMK madde 289 çerçevesinde resen gözeteceği gerekçelerle usul ve yasaya aykırı </w:t>
      </w:r>
      <w:r w:rsidRPr="00403996">
        <w:rPr>
          <w:rFonts w:ascii="Palatino Linotype" w:hAnsi="Palatino Linotype"/>
          <w:color w:val="000000"/>
          <w:sz w:val="22"/>
          <w:szCs w:val="22"/>
          <w:highlight w:val="yellow"/>
        </w:rPr>
        <w:t>…</w:t>
      </w:r>
      <w:r w:rsidRPr="00403996">
        <w:rPr>
          <w:rFonts w:ascii="Palatino Linotype" w:hAnsi="Palatino Linotype"/>
          <w:color w:val="000000"/>
          <w:sz w:val="22"/>
          <w:szCs w:val="22"/>
        </w:rPr>
        <w:t xml:space="preserve">Bölge Adliye Mahkemesi </w:t>
      </w:r>
      <w:r w:rsidRPr="00403996">
        <w:rPr>
          <w:rFonts w:ascii="Palatino Linotype" w:hAnsi="Palatino Linotype"/>
          <w:color w:val="000000"/>
          <w:sz w:val="22"/>
          <w:szCs w:val="22"/>
          <w:highlight w:val="yellow"/>
        </w:rPr>
        <w:t>…</w:t>
      </w:r>
      <w:r w:rsidRPr="00403996">
        <w:rPr>
          <w:rFonts w:ascii="Palatino Linotype" w:hAnsi="Palatino Linotype"/>
          <w:color w:val="000000"/>
          <w:sz w:val="22"/>
          <w:szCs w:val="22"/>
        </w:rPr>
        <w:t xml:space="preserve">Ceza Dairesinin </w:t>
      </w:r>
      <w:r w:rsidRPr="00403996">
        <w:rPr>
          <w:rFonts w:ascii="Palatino Linotype" w:hAnsi="Palatino Linotype"/>
          <w:color w:val="000000"/>
          <w:sz w:val="22"/>
          <w:szCs w:val="22"/>
          <w:highlight w:val="yellow"/>
        </w:rPr>
        <w:t>…..</w:t>
      </w:r>
      <w:r w:rsidRPr="00403996">
        <w:rPr>
          <w:rFonts w:ascii="Palatino Linotype" w:hAnsi="Palatino Linotype"/>
          <w:color w:val="000000"/>
          <w:sz w:val="22"/>
          <w:szCs w:val="22"/>
        </w:rPr>
        <w:t xml:space="preserve"> /</w:t>
      </w:r>
      <w:r w:rsidRPr="00403996">
        <w:rPr>
          <w:rFonts w:ascii="Palatino Linotype" w:hAnsi="Palatino Linotype"/>
          <w:color w:val="000000"/>
          <w:sz w:val="22"/>
          <w:szCs w:val="22"/>
          <w:highlight w:val="yellow"/>
        </w:rPr>
        <w:t>…..</w:t>
      </w:r>
      <w:r w:rsidRPr="00403996">
        <w:rPr>
          <w:rFonts w:ascii="Palatino Linotype" w:hAnsi="Palatino Linotype"/>
          <w:color w:val="000000"/>
          <w:sz w:val="22"/>
          <w:szCs w:val="22"/>
        </w:rPr>
        <w:t xml:space="preserve"> Esas - </w:t>
      </w:r>
      <w:r w:rsidRPr="00403996">
        <w:rPr>
          <w:rFonts w:ascii="Palatino Linotype" w:hAnsi="Palatino Linotype"/>
          <w:color w:val="000000"/>
          <w:sz w:val="22"/>
          <w:szCs w:val="22"/>
          <w:highlight w:val="yellow"/>
        </w:rPr>
        <w:t>…..</w:t>
      </w:r>
      <w:r w:rsidRPr="00403996">
        <w:rPr>
          <w:rFonts w:ascii="Palatino Linotype" w:hAnsi="Palatino Linotype"/>
          <w:color w:val="000000"/>
          <w:sz w:val="22"/>
          <w:szCs w:val="22"/>
        </w:rPr>
        <w:t xml:space="preserve"> /</w:t>
      </w:r>
      <w:r w:rsidRPr="00403996">
        <w:rPr>
          <w:rFonts w:ascii="Palatino Linotype" w:hAnsi="Palatino Linotype"/>
          <w:color w:val="000000"/>
          <w:sz w:val="22"/>
          <w:szCs w:val="22"/>
          <w:highlight w:val="yellow"/>
        </w:rPr>
        <w:t>…..</w:t>
      </w:r>
      <w:r w:rsidRPr="00403996">
        <w:rPr>
          <w:rFonts w:ascii="Palatino Linotype" w:hAnsi="Palatino Linotype"/>
          <w:color w:val="000000"/>
          <w:sz w:val="22"/>
          <w:szCs w:val="22"/>
        </w:rPr>
        <w:t xml:space="preserve"> Karar sayılı kararının BOZULMASINI talep ederiz.</w:t>
      </w:r>
      <w:r w:rsidRPr="00034F3B">
        <w:rPr>
          <w:rFonts w:ascii="Palatino Linotype" w:hAnsi="Palatino Linotype"/>
          <w:color w:val="000000"/>
          <w:sz w:val="22"/>
          <w:szCs w:val="22"/>
        </w:rPr>
        <w:t>.</w:t>
      </w:r>
      <w:r w:rsidRPr="00034F3B">
        <w:rPr>
          <w:rFonts w:ascii="Palatino Linotype" w:hAnsi="Palatino Linotype"/>
          <w:color w:val="000000"/>
          <w:sz w:val="22"/>
          <w:szCs w:val="22"/>
          <w:highlight w:val="yellow"/>
        </w:rPr>
        <w:t>…/…./2026</w:t>
      </w:r>
    </w:p>
    <w:p w:rsidR="00403996" w:rsidRDefault="00403996" w:rsidP="00A700A4">
      <w:pPr>
        <w:pStyle w:val="NormalWeb"/>
        <w:jc w:val="both"/>
        <w:rPr>
          <w:rFonts w:ascii="Palatino Linotype" w:hAnsi="Palatino Linotype"/>
          <w:b/>
          <w:bCs/>
          <w:color w:val="000000"/>
          <w:sz w:val="22"/>
          <w:szCs w:val="22"/>
        </w:rPr>
      </w:pPr>
    </w:p>
    <w:p w:rsidR="00403996" w:rsidRDefault="00403996" w:rsidP="00A700A4">
      <w:pPr>
        <w:pStyle w:val="NormalWeb"/>
        <w:jc w:val="both"/>
        <w:rPr>
          <w:rStyle w:val="apple-converted-space"/>
          <w:rFonts w:ascii="Palatino Linotype" w:eastAsiaTheme="majorEastAsia" w:hAnsi="Palatino Linotype"/>
          <w:color w:val="000000"/>
          <w:sz w:val="22"/>
          <w:szCs w:val="22"/>
        </w:rPr>
      </w:pPr>
      <w:r>
        <w:rPr>
          <w:rFonts w:ascii="Palatino Linotype" w:hAnsi="Palatino Linotype"/>
          <w:b/>
          <w:bCs/>
          <w:color w:val="000000"/>
          <w:sz w:val="22"/>
          <w:szCs w:val="22"/>
        </w:rPr>
        <w:t xml:space="preserve">       </w:t>
      </w:r>
      <w:r w:rsidR="00A700A4">
        <w:rPr>
          <w:rFonts w:ascii="Palatino Linotype" w:hAnsi="Palatino Linotype"/>
          <w:b/>
          <w:bCs/>
          <w:color w:val="000000"/>
          <w:sz w:val="22"/>
          <w:szCs w:val="22"/>
        </w:rPr>
        <w:tab/>
      </w:r>
      <w:r w:rsidR="00A700A4">
        <w:rPr>
          <w:rFonts w:ascii="Palatino Linotype" w:hAnsi="Palatino Linotype"/>
          <w:b/>
          <w:bCs/>
          <w:color w:val="000000"/>
          <w:sz w:val="22"/>
          <w:szCs w:val="22"/>
        </w:rPr>
        <w:tab/>
      </w:r>
      <w:r w:rsidR="00A700A4">
        <w:rPr>
          <w:rFonts w:ascii="Palatino Linotype" w:hAnsi="Palatino Linotype"/>
          <w:b/>
          <w:bCs/>
          <w:color w:val="000000"/>
          <w:sz w:val="22"/>
          <w:szCs w:val="22"/>
        </w:rPr>
        <w:tab/>
      </w:r>
      <w:r w:rsidR="00A700A4">
        <w:rPr>
          <w:rFonts w:ascii="Palatino Linotype" w:hAnsi="Palatino Linotype"/>
          <w:b/>
          <w:bCs/>
          <w:color w:val="000000"/>
          <w:sz w:val="22"/>
          <w:szCs w:val="22"/>
        </w:rPr>
        <w:tab/>
      </w:r>
      <w:r w:rsidR="00A700A4">
        <w:rPr>
          <w:rFonts w:ascii="Palatino Linotype" w:hAnsi="Palatino Linotype"/>
          <w:b/>
          <w:bCs/>
          <w:color w:val="000000"/>
          <w:sz w:val="22"/>
          <w:szCs w:val="22"/>
        </w:rPr>
        <w:tab/>
      </w:r>
      <w:r w:rsidR="00A700A4">
        <w:rPr>
          <w:rFonts w:ascii="Palatino Linotype" w:hAnsi="Palatino Linotype"/>
          <w:b/>
          <w:bCs/>
          <w:color w:val="000000"/>
          <w:sz w:val="22"/>
          <w:szCs w:val="22"/>
        </w:rPr>
        <w:tab/>
      </w:r>
      <w:r w:rsidR="00A700A4">
        <w:rPr>
          <w:rFonts w:ascii="Palatino Linotype" w:hAnsi="Palatino Linotype"/>
          <w:b/>
          <w:bCs/>
          <w:color w:val="000000"/>
          <w:sz w:val="22"/>
          <w:szCs w:val="22"/>
        </w:rPr>
        <w:tab/>
        <w:t xml:space="preserve">       </w:t>
      </w:r>
      <w:r>
        <w:rPr>
          <w:rFonts w:ascii="Palatino Linotype" w:hAnsi="Palatino Linotype"/>
          <w:b/>
          <w:bCs/>
          <w:color w:val="000000"/>
          <w:sz w:val="22"/>
          <w:szCs w:val="22"/>
        </w:rPr>
        <w:t xml:space="preserve"> </w:t>
      </w:r>
      <w:r w:rsidRPr="00EF61E1">
        <w:rPr>
          <w:rFonts w:ascii="Palatino Linotype" w:hAnsi="Palatino Linotype"/>
          <w:b/>
          <w:bCs/>
          <w:color w:val="000000"/>
          <w:sz w:val="22"/>
          <w:szCs w:val="22"/>
        </w:rPr>
        <w:t>Şüpheli Müdafii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b/>
          <w:bCs/>
          <w:color w:val="000000"/>
          <w:sz w:val="22"/>
          <w:szCs w:val="22"/>
        </w:rPr>
        <w:t>Av. [İsim Soyisim]</w:t>
      </w:r>
      <w:r w:rsidRPr="00EF61E1">
        <w:rPr>
          <w:rStyle w:val="apple-converted-space"/>
          <w:rFonts w:ascii="Palatino Linotype" w:eastAsiaTheme="majorEastAsia" w:hAnsi="Palatino Linotype"/>
          <w:color w:val="000000"/>
          <w:sz w:val="22"/>
          <w:szCs w:val="22"/>
        </w:rPr>
        <w:t> </w:t>
      </w:r>
    </w:p>
    <w:p w:rsidR="00403996" w:rsidRDefault="00403996" w:rsidP="00A700A4">
      <w:pPr>
        <w:pStyle w:val="NormalWeb"/>
        <w:jc w:val="both"/>
        <w:rPr>
          <w:rStyle w:val="apple-converted-space"/>
          <w:rFonts w:ascii="Palatino Linotype" w:eastAsiaTheme="majorEastAsia" w:hAnsi="Palatino Linotype"/>
          <w:color w:val="000000"/>
          <w:sz w:val="22"/>
          <w:szCs w:val="22"/>
        </w:rPr>
      </w:pPr>
    </w:p>
    <w:p w:rsidR="00403996" w:rsidRDefault="00403996" w:rsidP="00A700A4">
      <w:pPr>
        <w:pStyle w:val="NormalWeb"/>
        <w:jc w:val="both"/>
        <w:rPr>
          <w:rFonts w:ascii="Palatino Linotype" w:eastAsiaTheme="majorEastAsia" w:hAnsi="Palatino Linotype"/>
          <w:color w:val="000000"/>
          <w:sz w:val="22"/>
          <w:szCs w:val="22"/>
        </w:rPr>
      </w:pPr>
    </w:p>
    <w:p w:rsidR="00403996" w:rsidRPr="00586ED5" w:rsidRDefault="00403996" w:rsidP="00A700A4">
      <w:pPr>
        <w:pStyle w:val="NormalWeb"/>
        <w:jc w:val="both"/>
        <w:rPr>
          <w:rFonts w:ascii="Palatino Linotype" w:eastAsiaTheme="majorEastAsia" w:hAnsi="Palatino Linotype"/>
          <w:b/>
          <w:bCs/>
          <w:color w:val="000000"/>
          <w:sz w:val="22"/>
          <w:szCs w:val="22"/>
        </w:rPr>
      </w:pPr>
      <w:r w:rsidRPr="00586ED5">
        <w:rPr>
          <w:rFonts w:ascii="Palatino Linotype" w:eastAsiaTheme="majorEastAsia" w:hAnsi="Palatino Linotype"/>
          <w:b/>
          <w:bCs/>
          <w:color w:val="000000"/>
          <w:sz w:val="22"/>
          <w:szCs w:val="22"/>
        </w:rPr>
        <w:t xml:space="preserve">EK:  </w:t>
      </w:r>
    </w:p>
    <w:p w:rsidR="00A700A4" w:rsidRDefault="00403996" w:rsidP="00A700A4">
      <w:pPr>
        <w:pStyle w:val="NormalWeb"/>
        <w:jc w:val="both"/>
      </w:pPr>
      <w:r w:rsidRPr="00586ED5">
        <w:rPr>
          <w:rFonts w:ascii="Palatino Linotype" w:eastAsiaTheme="majorEastAsia" w:hAnsi="Palatino Linotype"/>
          <w:color w:val="000000"/>
          <w:sz w:val="22"/>
          <w:szCs w:val="22"/>
        </w:rPr>
        <w:t>AİHM Yasak/Türkiye Büyük Daire Kararı</w:t>
      </w:r>
      <w:r>
        <w:rPr>
          <w:rFonts w:ascii="Palatino Linotype" w:eastAsiaTheme="majorEastAsia" w:hAnsi="Palatino Linotype"/>
          <w:color w:val="000000"/>
          <w:sz w:val="22"/>
          <w:szCs w:val="22"/>
        </w:rPr>
        <w:t>nın Türkçe Çevirisi</w:t>
      </w:r>
    </w:p>
    <w:sectPr w:rsidR="00A70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5C3"/>
    <w:multiLevelType w:val="multilevel"/>
    <w:tmpl w:val="1BEA58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85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96"/>
    <w:rsid w:val="00344276"/>
    <w:rsid w:val="00346912"/>
    <w:rsid w:val="00403996"/>
    <w:rsid w:val="004575F0"/>
    <w:rsid w:val="00732FDB"/>
    <w:rsid w:val="00916833"/>
    <w:rsid w:val="00987D45"/>
    <w:rsid w:val="00A700A4"/>
    <w:rsid w:val="00BD2DC3"/>
    <w:rsid w:val="00CB4B31"/>
    <w:rsid w:val="00D6259C"/>
  </w:rsids>
  <m:mathPr>
    <m:mathFont m:val="Cambria Math"/>
    <m:brkBin m:val="before"/>
    <m:brkBinSub m:val="--"/>
    <m:smallFrac m:val="0"/>
    <m:dispDef/>
    <m:lMargin m:val="0"/>
    <m:rMargin m:val="0"/>
    <m:defJc m:val="centerGroup"/>
    <m:wrapIndent m:val="1440"/>
    <m:intLim m:val="subSup"/>
    <m:naryLim m:val="undOvr"/>
  </m:mathPr>
  <w:themeFontLang w:val="tr-NL"/>
  <w:clrSchemeMapping w:bg1="light1" w:t1="dark1" w:bg2="light2" w:t2="dark2" w:accent1="accent1" w:accent2="accent2" w:accent3="accent3" w:accent4="accent4" w:accent5="accent5" w:accent6="accent6" w:hyperlink="hyperlink" w:followedHyperlink="followedHyperlink"/>
  <w:decimalSymbol w:val=","/>
  <w:listSeparator w:val=";"/>
  <w14:docId w14:val="66D25F80"/>
  <w15:chartTrackingRefBased/>
  <w15:docId w15:val="{E34F1F6F-FFD2-D148-8494-7C82C77E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96"/>
  </w:style>
  <w:style w:type="paragraph" w:styleId="Balk1">
    <w:name w:val="heading 1"/>
    <w:basedOn w:val="Normal"/>
    <w:next w:val="Normal"/>
    <w:link w:val="Balk1Char"/>
    <w:uiPriority w:val="9"/>
    <w:qFormat/>
    <w:rsid w:val="00403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03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0399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0399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0399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0399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0399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399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399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399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0399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0399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0399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0399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0399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0399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399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3996"/>
    <w:rPr>
      <w:rFonts w:eastAsiaTheme="majorEastAsia" w:cstheme="majorBidi"/>
      <w:color w:val="272727" w:themeColor="text1" w:themeTint="D8"/>
    </w:rPr>
  </w:style>
  <w:style w:type="paragraph" w:styleId="KonuBal">
    <w:name w:val="Title"/>
    <w:basedOn w:val="Normal"/>
    <w:next w:val="Normal"/>
    <w:link w:val="KonuBalChar"/>
    <w:uiPriority w:val="10"/>
    <w:qFormat/>
    <w:rsid w:val="0040399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399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399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399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399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03996"/>
    <w:rPr>
      <w:i/>
      <w:iCs/>
      <w:color w:val="404040" w:themeColor="text1" w:themeTint="BF"/>
    </w:rPr>
  </w:style>
  <w:style w:type="paragraph" w:styleId="ListeParagraf">
    <w:name w:val="List Paragraph"/>
    <w:basedOn w:val="Normal"/>
    <w:uiPriority w:val="34"/>
    <w:qFormat/>
    <w:rsid w:val="00403996"/>
    <w:pPr>
      <w:ind w:left="720"/>
      <w:contextualSpacing/>
    </w:pPr>
  </w:style>
  <w:style w:type="character" w:styleId="GlVurgulama">
    <w:name w:val="Intense Emphasis"/>
    <w:basedOn w:val="VarsaylanParagrafYazTipi"/>
    <w:uiPriority w:val="21"/>
    <w:qFormat/>
    <w:rsid w:val="00403996"/>
    <w:rPr>
      <w:i/>
      <w:iCs/>
      <w:color w:val="0F4761" w:themeColor="accent1" w:themeShade="BF"/>
    </w:rPr>
  </w:style>
  <w:style w:type="paragraph" w:styleId="GlAlnt">
    <w:name w:val="Intense Quote"/>
    <w:basedOn w:val="Normal"/>
    <w:next w:val="Normal"/>
    <w:link w:val="GlAlntChar"/>
    <w:uiPriority w:val="30"/>
    <w:qFormat/>
    <w:rsid w:val="00403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03996"/>
    <w:rPr>
      <w:i/>
      <w:iCs/>
      <w:color w:val="0F4761" w:themeColor="accent1" w:themeShade="BF"/>
    </w:rPr>
  </w:style>
  <w:style w:type="character" w:styleId="GlBavuru">
    <w:name w:val="Intense Reference"/>
    <w:basedOn w:val="VarsaylanParagrafYazTipi"/>
    <w:uiPriority w:val="32"/>
    <w:qFormat/>
    <w:rsid w:val="00403996"/>
    <w:rPr>
      <w:b/>
      <w:bCs/>
      <w:smallCaps/>
      <w:color w:val="0F4761" w:themeColor="accent1" w:themeShade="BF"/>
      <w:spacing w:val="5"/>
    </w:rPr>
  </w:style>
  <w:style w:type="paragraph" w:styleId="NormalWeb">
    <w:name w:val="Normal (Web)"/>
    <w:basedOn w:val="Normal"/>
    <w:uiPriority w:val="99"/>
    <w:unhideWhenUsed/>
    <w:rsid w:val="00403996"/>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40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2571</Words>
  <Characters>14661</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Y</dc:creator>
  <cp:keywords/>
  <dc:description/>
  <cp:lastModifiedBy>U Y</cp:lastModifiedBy>
  <cp:revision>4</cp:revision>
  <dcterms:created xsi:type="dcterms:W3CDTF">2026-05-07T13:08:00Z</dcterms:created>
  <dcterms:modified xsi:type="dcterms:W3CDTF">2026-05-07T16:06:00Z</dcterms:modified>
</cp:coreProperties>
</file>