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DEDC" w14:textId="77777777" w:rsidR="00E83C07" w:rsidRPr="00693DB3" w:rsidRDefault="00CE2F22" w:rsidP="00261695">
      <w:pPr>
        <w:spacing w:line="360" w:lineRule="auto"/>
        <w:jc w:val="center"/>
        <w:rPr>
          <w:rFonts w:ascii="Palatino Linotype" w:hAnsi="Palatino Linotype" w:cs="Times New Roman"/>
          <w:b/>
          <w:sz w:val="21"/>
          <w:szCs w:val="21"/>
        </w:rPr>
      </w:pPr>
      <w:r w:rsidRPr="00693DB3">
        <w:rPr>
          <w:rFonts w:ascii="Palatino Linotype" w:hAnsi="Palatino Linotype" w:cs="Times New Roman"/>
          <w:b/>
          <w:sz w:val="21"/>
          <w:szCs w:val="21"/>
        </w:rPr>
        <w:t>…………AĞIR CEZA MAHKEMESİ BAŞKANLIĞINA</w:t>
      </w:r>
    </w:p>
    <w:p w14:paraId="01B68793" w14:textId="05D99372" w:rsidR="00745D10" w:rsidRPr="00693DB3" w:rsidRDefault="00745D10" w:rsidP="00261695">
      <w:pPr>
        <w:spacing w:line="360" w:lineRule="auto"/>
        <w:jc w:val="center"/>
        <w:rPr>
          <w:rFonts w:ascii="Palatino Linotype" w:hAnsi="Palatino Linotype" w:cs="Times New Roman"/>
          <w:b/>
          <w:sz w:val="21"/>
          <w:szCs w:val="21"/>
        </w:rPr>
      </w:pPr>
      <w:r w:rsidRPr="00693DB3">
        <w:rPr>
          <w:rFonts w:ascii="Palatino Linotype" w:hAnsi="Palatino Linotype" w:cs="Times New Roman"/>
          <w:b/>
          <w:sz w:val="21"/>
          <w:szCs w:val="21"/>
          <w:highlight w:val="yellow"/>
        </w:rPr>
        <w:t>(</w:t>
      </w:r>
      <w:r w:rsidR="00E62FD3" w:rsidRPr="00693DB3">
        <w:rPr>
          <w:rFonts w:ascii="Palatino Linotype" w:hAnsi="Palatino Linotype" w:cs="Times New Roman"/>
          <w:b/>
          <w:sz w:val="21"/>
          <w:szCs w:val="21"/>
          <w:highlight w:val="yellow"/>
        </w:rPr>
        <w:t>Hükmü veren</w:t>
      </w:r>
      <w:r w:rsidRPr="00693DB3">
        <w:rPr>
          <w:rFonts w:ascii="Palatino Linotype" w:hAnsi="Palatino Linotype" w:cs="Times New Roman"/>
          <w:b/>
          <w:sz w:val="21"/>
          <w:szCs w:val="21"/>
          <w:highlight w:val="yellow"/>
        </w:rPr>
        <w:t xml:space="preserve"> ilk derece ağır ceza mahkemesi</w:t>
      </w:r>
      <w:r w:rsidR="00E40DC4" w:rsidRPr="00693DB3">
        <w:rPr>
          <w:rFonts w:ascii="Palatino Linotype" w:hAnsi="Palatino Linotype" w:cs="Times New Roman"/>
          <w:b/>
          <w:sz w:val="21"/>
          <w:szCs w:val="21"/>
          <w:highlight w:val="yellow"/>
        </w:rPr>
        <w:t>nin</w:t>
      </w:r>
      <w:r w:rsidRPr="00693DB3">
        <w:rPr>
          <w:rFonts w:ascii="Palatino Linotype" w:hAnsi="Palatino Linotype" w:cs="Times New Roman"/>
          <w:b/>
          <w:sz w:val="21"/>
          <w:szCs w:val="21"/>
          <w:highlight w:val="yellow"/>
        </w:rPr>
        <w:t xml:space="preserve"> adı yazıl</w:t>
      </w:r>
      <w:r w:rsidR="002C50F6" w:rsidRPr="00693DB3">
        <w:rPr>
          <w:rFonts w:ascii="Palatino Linotype" w:hAnsi="Palatino Linotype" w:cs="Times New Roman"/>
          <w:b/>
          <w:sz w:val="21"/>
          <w:szCs w:val="21"/>
          <w:highlight w:val="yellow"/>
        </w:rPr>
        <w:t>malı</w:t>
      </w:r>
      <w:r w:rsidRPr="00693DB3">
        <w:rPr>
          <w:rFonts w:ascii="Palatino Linotype" w:hAnsi="Palatino Linotype" w:cs="Times New Roman"/>
          <w:b/>
          <w:sz w:val="21"/>
          <w:szCs w:val="21"/>
          <w:highlight w:val="yellow"/>
        </w:rPr>
        <w:t>)</w:t>
      </w:r>
    </w:p>
    <w:p w14:paraId="265B20A3" w14:textId="77777777" w:rsidR="002C50F6" w:rsidRPr="00693DB3" w:rsidRDefault="00B76022" w:rsidP="002C50F6">
      <w:pPr>
        <w:spacing w:line="360" w:lineRule="auto"/>
        <w:jc w:val="center"/>
        <w:rPr>
          <w:rFonts w:ascii="Palatino Linotype" w:hAnsi="Palatino Linotype" w:cs="Times New Roman"/>
          <w:b/>
          <w:sz w:val="21"/>
          <w:szCs w:val="21"/>
        </w:rPr>
      </w:pPr>
      <w:r w:rsidRPr="00693DB3">
        <w:rPr>
          <w:rFonts w:ascii="Palatino Linotype" w:hAnsi="Palatino Linotype" w:cs="Times New Roman"/>
          <w:b/>
          <w:sz w:val="21"/>
          <w:szCs w:val="21"/>
        </w:rPr>
        <w:t xml:space="preserve">                                                     </w:t>
      </w:r>
      <w:r w:rsidR="002C50F6" w:rsidRPr="00693DB3">
        <w:rPr>
          <w:rFonts w:ascii="Palatino Linotype" w:hAnsi="Palatino Linotype" w:cs="Times New Roman"/>
          <w:b/>
          <w:sz w:val="21"/>
          <w:szCs w:val="21"/>
        </w:rPr>
        <w:t xml:space="preserve">                                                                                      </w:t>
      </w:r>
    </w:p>
    <w:p w14:paraId="5A79EFFA" w14:textId="5CFF5C4A" w:rsidR="00B76022" w:rsidRPr="00693DB3" w:rsidRDefault="002C50F6" w:rsidP="002C50F6">
      <w:pPr>
        <w:spacing w:line="360" w:lineRule="auto"/>
        <w:rPr>
          <w:rFonts w:ascii="Palatino Linotype" w:hAnsi="Palatino Linotype" w:cs="Times New Roman"/>
          <w:b/>
          <w:sz w:val="21"/>
          <w:szCs w:val="21"/>
        </w:rPr>
      </w:pPr>
      <w:r w:rsidRPr="00693DB3">
        <w:rPr>
          <w:rFonts w:ascii="Palatino Linotype" w:hAnsi="Palatino Linotype" w:cs="Times New Roman"/>
          <w:b/>
          <w:sz w:val="21"/>
          <w:szCs w:val="21"/>
        </w:rPr>
        <w:t xml:space="preserve"> </w:t>
      </w:r>
      <w:r w:rsidR="00B76022" w:rsidRPr="00693DB3">
        <w:rPr>
          <w:rFonts w:ascii="Palatino Linotype" w:hAnsi="Palatino Linotype" w:cs="Times New Roman"/>
          <w:b/>
          <w:sz w:val="21"/>
          <w:szCs w:val="21"/>
          <w:u w:val="thick"/>
        </w:rPr>
        <w:t xml:space="preserve">Dosya </w:t>
      </w:r>
      <w:proofErr w:type="gramStart"/>
      <w:r w:rsidRPr="00693DB3">
        <w:rPr>
          <w:rFonts w:ascii="Palatino Linotype" w:hAnsi="Palatino Linotype" w:cs="Times New Roman"/>
          <w:b/>
          <w:sz w:val="21"/>
          <w:szCs w:val="21"/>
          <w:u w:val="thick"/>
        </w:rPr>
        <w:t>N</w:t>
      </w:r>
      <w:r w:rsidR="00B76022" w:rsidRPr="00693DB3">
        <w:rPr>
          <w:rFonts w:ascii="Palatino Linotype" w:hAnsi="Palatino Linotype" w:cs="Times New Roman"/>
          <w:b/>
          <w:sz w:val="21"/>
          <w:szCs w:val="21"/>
          <w:u w:val="thick"/>
        </w:rPr>
        <w:t>o</w:t>
      </w:r>
      <w:r w:rsidR="00B76022" w:rsidRPr="00693DB3">
        <w:rPr>
          <w:rFonts w:ascii="Palatino Linotype" w:hAnsi="Palatino Linotype" w:cs="Times New Roman"/>
          <w:b/>
          <w:sz w:val="21"/>
          <w:szCs w:val="21"/>
          <w:u w:val="single"/>
        </w:rPr>
        <w:t>:</w:t>
      </w:r>
      <w:r w:rsidR="00B76022" w:rsidRPr="00693DB3">
        <w:rPr>
          <w:rFonts w:ascii="Palatino Linotype" w:hAnsi="Palatino Linotype" w:cs="Times New Roman"/>
          <w:b/>
          <w:sz w:val="21"/>
          <w:szCs w:val="21"/>
        </w:rPr>
        <w:t>…</w:t>
      </w:r>
      <w:proofErr w:type="gramEnd"/>
      <w:r w:rsidR="00B76022" w:rsidRPr="00693DB3">
        <w:rPr>
          <w:rFonts w:ascii="Palatino Linotype" w:hAnsi="Palatino Linotype" w:cs="Times New Roman"/>
          <w:b/>
          <w:sz w:val="21"/>
          <w:szCs w:val="21"/>
        </w:rPr>
        <w:t>/</w:t>
      </w:r>
      <w:r w:rsidRPr="00693DB3">
        <w:rPr>
          <w:rFonts w:ascii="Palatino Linotype" w:hAnsi="Palatino Linotype" w:cs="Times New Roman"/>
          <w:b/>
          <w:sz w:val="21"/>
          <w:szCs w:val="21"/>
        </w:rPr>
        <w:t>..</w:t>
      </w:r>
      <w:r w:rsidR="00B76022" w:rsidRPr="00693DB3">
        <w:rPr>
          <w:rFonts w:ascii="Palatino Linotype" w:hAnsi="Palatino Linotype" w:cs="Times New Roman"/>
          <w:b/>
          <w:sz w:val="21"/>
          <w:szCs w:val="21"/>
        </w:rPr>
        <w:t>.</w:t>
      </w:r>
      <w:proofErr w:type="gramStart"/>
      <w:r w:rsidR="00B76022" w:rsidRPr="00693DB3">
        <w:rPr>
          <w:rFonts w:ascii="Palatino Linotype" w:hAnsi="Palatino Linotype" w:cs="Times New Roman"/>
          <w:b/>
          <w:sz w:val="21"/>
          <w:szCs w:val="21"/>
        </w:rPr>
        <w:t>E,/</w:t>
      </w:r>
      <w:proofErr w:type="gramEnd"/>
      <w:r w:rsidRPr="00693DB3">
        <w:rPr>
          <w:rFonts w:ascii="Palatino Linotype" w:hAnsi="Palatino Linotype" w:cs="Times New Roman"/>
          <w:b/>
          <w:sz w:val="21"/>
          <w:szCs w:val="21"/>
        </w:rPr>
        <w:t xml:space="preserve">… K. </w:t>
      </w:r>
      <w:r w:rsidR="00745D10" w:rsidRPr="00693DB3">
        <w:rPr>
          <w:rFonts w:ascii="Palatino Linotype" w:hAnsi="Palatino Linotype" w:cs="Times New Roman"/>
          <w:b/>
          <w:sz w:val="21"/>
          <w:szCs w:val="21"/>
        </w:rPr>
        <w:t xml:space="preserve"> </w:t>
      </w:r>
      <w:r w:rsidR="00745D10" w:rsidRPr="00693DB3">
        <w:rPr>
          <w:rFonts w:ascii="Palatino Linotype" w:hAnsi="Palatino Linotype" w:cs="Times New Roman"/>
          <w:b/>
          <w:sz w:val="21"/>
          <w:szCs w:val="21"/>
          <w:highlight w:val="yellow"/>
        </w:rPr>
        <w:t>(İlk derece mahkemesi dava dosya numarası yazıl</w:t>
      </w:r>
      <w:r w:rsidRPr="00693DB3">
        <w:rPr>
          <w:rFonts w:ascii="Palatino Linotype" w:hAnsi="Palatino Linotype" w:cs="Times New Roman"/>
          <w:b/>
          <w:sz w:val="21"/>
          <w:szCs w:val="21"/>
          <w:highlight w:val="yellow"/>
        </w:rPr>
        <w:t>malı</w:t>
      </w:r>
      <w:r w:rsidR="00745D10" w:rsidRPr="00693DB3">
        <w:rPr>
          <w:rFonts w:ascii="Palatino Linotype" w:hAnsi="Palatino Linotype" w:cs="Times New Roman"/>
          <w:b/>
          <w:sz w:val="21"/>
          <w:szCs w:val="21"/>
          <w:highlight w:val="yellow"/>
        </w:rPr>
        <w:t>)</w:t>
      </w:r>
    </w:p>
    <w:p w14:paraId="30A466D6" w14:textId="77777777" w:rsidR="002C50F6" w:rsidRPr="00693DB3" w:rsidRDefault="002C50F6" w:rsidP="002C50F6">
      <w:pPr>
        <w:spacing w:line="360" w:lineRule="auto"/>
        <w:rPr>
          <w:rFonts w:ascii="Palatino Linotype" w:hAnsi="Palatino Linotype" w:cs="Times New Roman"/>
          <w:b/>
          <w:sz w:val="21"/>
          <w:szCs w:val="21"/>
        </w:rPr>
      </w:pPr>
    </w:p>
    <w:p w14:paraId="12F82576" w14:textId="77777777" w:rsidR="00B76022" w:rsidRPr="00693DB3" w:rsidRDefault="00B76022" w:rsidP="00261695">
      <w:pPr>
        <w:spacing w:line="360" w:lineRule="auto"/>
        <w:jc w:val="center"/>
        <w:rPr>
          <w:rFonts w:ascii="Palatino Linotype" w:hAnsi="Palatino Linotype" w:cs="Times New Roman"/>
          <w:b/>
          <w:sz w:val="21"/>
          <w:szCs w:val="21"/>
        </w:rPr>
      </w:pPr>
    </w:p>
    <w:p w14:paraId="54C1D8F6" w14:textId="470BEE98" w:rsidR="00B76022" w:rsidRPr="00693DB3" w:rsidRDefault="00854D9B" w:rsidP="00261695">
      <w:pPr>
        <w:tabs>
          <w:tab w:val="left" w:pos="3870"/>
        </w:tabs>
        <w:spacing w:line="360" w:lineRule="auto"/>
        <w:jc w:val="both"/>
        <w:rPr>
          <w:rFonts w:ascii="Palatino Linotype" w:hAnsi="Palatino Linotype" w:cs="Times New Roman"/>
          <w:b/>
          <w:sz w:val="21"/>
          <w:szCs w:val="21"/>
        </w:rPr>
      </w:pPr>
      <w:r w:rsidRPr="00693DB3">
        <w:rPr>
          <w:rFonts w:ascii="Palatino Linotype" w:hAnsi="Palatino Linotype" w:cs="Times New Roman"/>
          <w:b/>
          <w:sz w:val="21"/>
          <w:szCs w:val="21"/>
          <w:u w:val="thick"/>
        </w:rPr>
        <w:t>Talepte Bulunan Hükümlü</w:t>
      </w:r>
      <w:r w:rsidR="00B76022" w:rsidRPr="00693DB3">
        <w:rPr>
          <w:rFonts w:ascii="Palatino Linotype" w:hAnsi="Palatino Linotype" w:cs="Times New Roman"/>
          <w:b/>
          <w:sz w:val="21"/>
          <w:szCs w:val="21"/>
          <w:u w:val="thick"/>
        </w:rPr>
        <w:t xml:space="preserve"> </w:t>
      </w:r>
      <w:r w:rsidR="00D97B5F" w:rsidRPr="00693DB3">
        <w:rPr>
          <w:rFonts w:ascii="Palatino Linotype" w:hAnsi="Palatino Linotype" w:cs="Times New Roman"/>
          <w:b/>
          <w:sz w:val="21"/>
          <w:szCs w:val="21"/>
          <w:u w:val="thick"/>
        </w:rPr>
        <w:t xml:space="preserve">                </w:t>
      </w:r>
      <w:r w:rsidR="008B6FFF" w:rsidRPr="00693DB3">
        <w:rPr>
          <w:rFonts w:ascii="Palatino Linotype" w:hAnsi="Palatino Linotype" w:cs="Times New Roman"/>
          <w:b/>
          <w:sz w:val="21"/>
          <w:szCs w:val="21"/>
          <w:u w:val="thick"/>
        </w:rPr>
        <w:t xml:space="preserve">      </w:t>
      </w:r>
      <w:proofErr w:type="gramStart"/>
      <w:r w:rsidR="008B6FFF" w:rsidRPr="00693DB3">
        <w:rPr>
          <w:rFonts w:ascii="Palatino Linotype" w:hAnsi="Palatino Linotype" w:cs="Times New Roman"/>
          <w:b/>
          <w:sz w:val="21"/>
          <w:szCs w:val="21"/>
          <w:u w:val="thick"/>
        </w:rPr>
        <w:t xml:space="preserve">  </w:t>
      </w:r>
      <w:r w:rsidR="00B76022" w:rsidRPr="00693DB3">
        <w:rPr>
          <w:rFonts w:ascii="Palatino Linotype" w:hAnsi="Palatino Linotype" w:cs="Times New Roman"/>
          <w:b/>
          <w:sz w:val="21"/>
          <w:szCs w:val="21"/>
          <w:u w:val="thick"/>
        </w:rPr>
        <w:t>:</w:t>
      </w:r>
      <w:proofErr w:type="gramEnd"/>
      <w:r w:rsidR="008B6FFF" w:rsidRPr="00693DB3">
        <w:rPr>
          <w:rFonts w:ascii="Palatino Linotype" w:hAnsi="Palatino Linotype" w:cs="Times New Roman"/>
          <w:b/>
          <w:sz w:val="21"/>
          <w:szCs w:val="21"/>
          <w:u w:val="thick"/>
        </w:rPr>
        <w:t xml:space="preserve"> </w:t>
      </w:r>
    </w:p>
    <w:p w14:paraId="27588CE7" w14:textId="35231985" w:rsidR="008B6FFF" w:rsidRPr="00693DB3" w:rsidRDefault="008B6FFF" w:rsidP="008B6FFF">
      <w:pPr>
        <w:tabs>
          <w:tab w:val="left" w:pos="3870"/>
        </w:tabs>
        <w:spacing w:line="360" w:lineRule="auto"/>
        <w:jc w:val="both"/>
        <w:rPr>
          <w:rFonts w:ascii="Palatino Linotype" w:hAnsi="Palatino Linotype" w:cs="Times New Roman"/>
          <w:b/>
          <w:sz w:val="21"/>
          <w:szCs w:val="21"/>
          <w:u w:val="thick"/>
        </w:rPr>
      </w:pPr>
      <w:r w:rsidRPr="00693DB3">
        <w:rPr>
          <w:rFonts w:ascii="Palatino Linotype" w:hAnsi="Palatino Linotype" w:cs="Times New Roman"/>
          <w:b/>
          <w:sz w:val="21"/>
          <w:szCs w:val="21"/>
        </w:rPr>
        <w:t xml:space="preserve">Talepte Bulunan                                     </w:t>
      </w:r>
      <w:proofErr w:type="gramStart"/>
      <w:r w:rsidRPr="00693DB3">
        <w:rPr>
          <w:rFonts w:ascii="Palatino Linotype" w:hAnsi="Palatino Linotype" w:cs="Times New Roman"/>
          <w:b/>
          <w:sz w:val="21"/>
          <w:szCs w:val="21"/>
        </w:rPr>
        <w:t xml:space="preserve">  :</w:t>
      </w:r>
      <w:proofErr w:type="gramEnd"/>
      <w:r w:rsidRPr="00693DB3">
        <w:rPr>
          <w:rFonts w:ascii="Palatino Linotype" w:hAnsi="Palatino Linotype" w:cs="Times New Roman"/>
          <w:b/>
          <w:sz w:val="21"/>
          <w:szCs w:val="21"/>
        </w:rPr>
        <w:t xml:space="preserve"> </w:t>
      </w:r>
      <w:r w:rsidRPr="00693DB3">
        <w:rPr>
          <w:rFonts w:ascii="Palatino Linotype" w:hAnsi="Palatino Linotype" w:cs="Times New Roman"/>
          <w:b/>
          <w:sz w:val="21"/>
          <w:szCs w:val="21"/>
          <w:highlight w:val="yellow"/>
        </w:rPr>
        <w:t>(Vasi ya da eş talepte bulunuyorsa, o kişinin bilgileri.  Eğer kişi kendisi başvuru yapacaksa bu kısmı doldurmaya gerek yok)</w:t>
      </w:r>
    </w:p>
    <w:p w14:paraId="48D626BB" w14:textId="521E430F" w:rsidR="00A03E39" w:rsidRPr="00693DB3" w:rsidRDefault="00D97B5F" w:rsidP="00261695">
      <w:pPr>
        <w:tabs>
          <w:tab w:val="left" w:pos="3780"/>
        </w:tabs>
        <w:spacing w:line="360" w:lineRule="auto"/>
        <w:ind w:left="3960" w:hanging="3960"/>
        <w:jc w:val="both"/>
        <w:rPr>
          <w:rFonts w:ascii="Palatino Linotype" w:hAnsi="Palatino Linotype" w:cs="Times New Roman"/>
          <w:iCs/>
          <w:sz w:val="21"/>
          <w:szCs w:val="21"/>
          <w:lang w:val="tr"/>
        </w:rPr>
      </w:pPr>
      <w:r w:rsidRPr="00693DB3">
        <w:rPr>
          <w:rFonts w:ascii="Palatino Linotype" w:hAnsi="Palatino Linotype" w:cs="Times New Roman"/>
          <w:b/>
          <w:sz w:val="21"/>
          <w:szCs w:val="21"/>
          <w:u w:val="thick"/>
        </w:rPr>
        <w:t>Talep Konusu</w:t>
      </w:r>
      <w:r w:rsidR="00A03E39" w:rsidRPr="00693DB3">
        <w:rPr>
          <w:rFonts w:ascii="Palatino Linotype" w:hAnsi="Palatino Linotype" w:cs="Times New Roman"/>
          <w:b/>
          <w:sz w:val="21"/>
          <w:szCs w:val="21"/>
          <w:u w:val="thick"/>
        </w:rPr>
        <w:t xml:space="preserve">                                      </w:t>
      </w:r>
      <w:proofErr w:type="gramStart"/>
      <w:r w:rsidR="00A03E39" w:rsidRPr="00693DB3">
        <w:rPr>
          <w:rFonts w:ascii="Palatino Linotype" w:hAnsi="Palatino Linotype" w:cs="Times New Roman"/>
          <w:b/>
          <w:sz w:val="21"/>
          <w:szCs w:val="21"/>
          <w:u w:val="thick"/>
        </w:rPr>
        <w:tab/>
        <w:t xml:space="preserve"> :</w:t>
      </w:r>
      <w:proofErr w:type="gramEnd"/>
      <w:r w:rsidR="00A03E39" w:rsidRPr="00693DB3">
        <w:rPr>
          <w:rFonts w:ascii="Palatino Linotype" w:hAnsi="Palatino Linotype" w:cs="Times New Roman"/>
          <w:b/>
          <w:sz w:val="21"/>
          <w:szCs w:val="21"/>
        </w:rPr>
        <w:t xml:space="preserve"> </w:t>
      </w:r>
      <w:r w:rsidR="00B76022" w:rsidRPr="00693DB3">
        <w:rPr>
          <w:rFonts w:ascii="Palatino Linotype" w:hAnsi="Palatino Linotype" w:cs="Times New Roman"/>
          <w:b/>
          <w:sz w:val="21"/>
          <w:szCs w:val="21"/>
        </w:rPr>
        <w:t xml:space="preserve"> </w:t>
      </w:r>
      <w:r w:rsidR="00A03E39" w:rsidRPr="00693DB3">
        <w:rPr>
          <w:rFonts w:ascii="Palatino Linotype" w:hAnsi="Palatino Linotype" w:cs="Times New Roman"/>
          <w:iCs/>
          <w:sz w:val="21"/>
          <w:szCs w:val="21"/>
          <w:lang w:val="tr"/>
        </w:rPr>
        <w:t xml:space="preserve">AİHM’in </w:t>
      </w:r>
      <w:r w:rsidR="00693DB3" w:rsidRPr="00693DB3">
        <w:rPr>
          <w:rFonts w:ascii="Palatino Linotype" w:hAnsi="Palatino Linotype" w:cs="Times New Roman"/>
          <w:iCs/>
          <w:sz w:val="21"/>
          <w:szCs w:val="21"/>
          <w:lang w:val="tr"/>
        </w:rPr>
        <w:t>Yasak</w:t>
      </w:r>
      <w:r w:rsidR="00A03E39" w:rsidRPr="00693DB3">
        <w:rPr>
          <w:rFonts w:ascii="Palatino Linotype" w:hAnsi="Palatino Linotype" w:cs="Times New Roman"/>
          <w:iCs/>
          <w:sz w:val="21"/>
          <w:szCs w:val="21"/>
          <w:lang w:val="tr"/>
        </w:rPr>
        <w:t xml:space="preserve">/Türkiye davasındaki yeni olaylar ve gelişmeler nedeniyle, Mahkemenizin …………. </w:t>
      </w:r>
      <w:proofErr w:type="gramStart"/>
      <w:r w:rsidR="00A03E39" w:rsidRPr="00693DB3">
        <w:rPr>
          <w:rFonts w:ascii="Palatino Linotype" w:hAnsi="Palatino Linotype" w:cs="Times New Roman"/>
          <w:iCs/>
          <w:sz w:val="21"/>
          <w:szCs w:val="21"/>
          <w:lang w:val="tr"/>
        </w:rPr>
        <w:t>tarih</w:t>
      </w:r>
      <w:proofErr w:type="gramEnd"/>
      <w:r w:rsidR="00A03E39" w:rsidRPr="00693DB3">
        <w:rPr>
          <w:rFonts w:ascii="Palatino Linotype" w:hAnsi="Palatino Linotype" w:cs="Times New Roman"/>
          <w:iCs/>
          <w:sz w:val="21"/>
          <w:szCs w:val="21"/>
          <w:lang w:val="tr"/>
        </w:rPr>
        <w:t xml:space="preserve"> ve ………. E. …</w:t>
      </w:r>
      <w:proofErr w:type="gramStart"/>
      <w:r w:rsidR="00A03E39" w:rsidRPr="00693DB3">
        <w:rPr>
          <w:rFonts w:ascii="Palatino Linotype" w:hAnsi="Palatino Linotype" w:cs="Times New Roman"/>
          <w:iCs/>
          <w:sz w:val="21"/>
          <w:szCs w:val="21"/>
          <w:lang w:val="tr"/>
        </w:rPr>
        <w:t>…….</w:t>
      </w:r>
      <w:proofErr w:type="gramEnd"/>
      <w:r w:rsidR="00A03E39" w:rsidRPr="00693DB3">
        <w:rPr>
          <w:rFonts w:ascii="Palatino Linotype" w:hAnsi="Palatino Linotype" w:cs="Times New Roman"/>
          <w:iCs/>
          <w:sz w:val="21"/>
          <w:szCs w:val="21"/>
          <w:lang w:val="tr"/>
        </w:rPr>
        <w:t xml:space="preserve">.K.  </w:t>
      </w:r>
      <w:proofErr w:type="gramStart"/>
      <w:r w:rsidR="00A03E39" w:rsidRPr="00693DB3">
        <w:rPr>
          <w:rFonts w:ascii="Palatino Linotype" w:hAnsi="Palatino Linotype" w:cs="Times New Roman"/>
          <w:iCs/>
          <w:sz w:val="21"/>
          <w:szCs w:val="21"/>
          <w:lang w:val="tr"/>
        </w:rPr>
        <w:t>sayılı</w:t>
      </w:r>
      <w:proofErr w:type="gramEnd"/>
      <w:r w:rsidR="00A03E39" w:rsidRPr="00693DB3">
        <w:rPr>
          <w:rFonts w:ascii="Palatino Linotype" w:hAnsi="Palatino Linotype" w:cs="Times New Roman"/>
          <w:iCs/>
          <w:sz w:val="21"/>
          <w:szCs w:val="21"/>
          <w:lang w:val="tr"/>
        </w:rPr>
        <w:t xml:space="preserve"> </w:t>
      </w:r>
      <w:r w:rsidR="00A03E39" w:rsidRPr="00693DB3">
        <w:rPr>
          <w:rFonts w:ascii="Palatino Linotype" w:hAnsi="Palatino Linotype" w:cs="Times New Roman"/>
          <w:iCs/>
          <w:sz w:val="21"/>
          <w:szCs w:val="21"/>
          <w:highlight w:val="yellow"/>
          <w:lang w:val="tr"/>
        </w:rPr>
        <w:t>hakkı</w:t>
      </w:r>
      <w:r w:rsidR="009F0893" w:rsidRPr="00693DB3">
        <w:rPr>
          <w:rFonts w:ascii="Palatino Linotype" w:hAnsi="Palatino Linotype" w:cs="Times New Roman"/>
          <w:iCs/>
          <w:sz w:val="21"/>
          <w:szCs w:val="21"/>
          <w:highlight w:val="yellow"/>
          <w:lang w:val="tr"/>
        </w:rPr>
        <w:t>m</w:t>
      </w:r>
      <w:r w:rsidR="0070131E" w:rsidRPr="00693DB3">
        <w:rPr>
          <w:rFonts w:ascii="Palatino Linotype" w:hAnsi="Palatino Linotype" w:cs="Times New Roman"/>
          <w:iCs/>
          <w:sz w:val="21"/>
          <w:szCs w:val="21"/>
          <w:highlight w:val="yellow"/>
          <w:lang w:val="tr"/>
        </w:rPr>
        <w:t>da</w:t>
      </w:r>
      <w:r w:rsidR="009F0893" w:rsidRPr="00693DB3">
        <w:rPr>
          <w:rFonts w:ascii="Palatino Linotype" w:hAnsi="Palatino Linotype" w:cs="Times New Roman"/>
          <w:iCs/>
          <w:sz w:val="21"/>
          <w:szCs w:val="21"/>
          <w:highlight w:val="yellow"/>
          <w:lang w:val="tr"/>
        </w:rPr>
        <w:t>ki</w:t>
      </w:r>
      <w:r w:rsidR="008B6FFF" w:rsidRPr="00693DB3">
        <w:rPr>
          <w:rFonts w:ascii="Palatino Linotype" w:hAnsi="Palatino Linotype" w:cs="Times New Roman"/>
          <w:iCs/>
          <w:sz w:val="21"/>
          <w:szCs w:val="21"/>
          <w:highlight w:val="yellow"/>
          <w:lang w:val="tr"/>
        </w:rPr>
        <w:t>/eşim olan-vasi olduğum ...’in</w:t>
      </w:r>
      <w:r w:rsidR="0070131E" w:rsidRPr="00693DB3">
        <w:rPr>
          <w:rFonts w:ascii="Palatino Linotype" w:hAnsi="Palatino Linotype" w:cs="Times New Roman"/>
          <w:iCs/>
          <w:sz w:val="21"/>
          <w:szCs w:val="21"/>
          <w:lang w:val="tr"/>
        </w:rPr>
        <w:t xml:space="preserve"> </w:t>
      </w:r>
      <w:r w:rsidR="00A03E39" w:rsidRPr="00693DB3">
        <w:rPr>
          <w:rFonts w:ascii="Palatino Linotype" w:hAnsi="Palatino Linotype" w:cs="Times New Roman"/>
          <w:iCs/>
          <w:sz w:val="21"/>
          <w:szCs w:val="21"/>
          <w:lang w:val="tr"/>
        </w:rPr>
        <w:t xml:space="preserve">kesinleşmiş kararın CMK’nın 311/1-e ve f maddesi uyarınca yeniden yargılamaya konu yapılması, suçun unsurları oluşmadığı AİHM kararı ile tespit edildiğinden derhal </w:t>
      </w:r>
      <w:r w:rsidR="00A03E39" w:rsidRPr="00693DB3">
        <w:rPr>
          <w:rFonts w:ascii="Palatino Linotype" w:hAnsi="Palatino Linotype" w:cs="Times New Roman"/>
          <w:iCs/>
          <w:sz w:val="21"/>
          <w:szCs w:val="21"/>
          <w:highlight w:val="yellow"/>
          <w:lang w:val="tr"/>
        </w:rPr>
        <w:t>beraat</w:t>
      </w:r>
      <w:r w:rsidR="008B6FFF" w:rsidRPr="00693DB3">
        <w:rPr>
          <w:rFonts w:ascii="Palatino Linotype" w:hAnsi="Palatino Linotype" w:cs="Times New Roman"/>
          <w:iCs/>
          <w:sz w:val="21"/>
          <w:szCs w:val="21"/>
          <w:highlight w:val="yellow"/>
          <w:lang w:val="tr"/>
        </w:rPr>
        <w:t>ı</w:t>
      </w:r>
      <w:r w:rsidR="009F0893" w:rsidRPr="00693DB3">
        <w:rPr>
          <w:rFonts w:ascii="Palatino Linotype" w:hAnsi="Palatino Linotype" w:cs="Times New Roman"/>
          <w:iCs/>
          <w:sz w:val="21"/>
          <w:szCs w:val="21"/>
          <w:highlight w:val="yellow"/>
          <w:lang w:val="tr"/>
        </w:rPr>
        <w:t>m</w:t>
      </w:r>
      <w:r w:rsidR="008B6FFF" w:rsidRPr="00693DB3">
        <w:rPr>
          <w:rFonts w:ascii="Palatino Linotype" w:hAnsi="Palatino Linotype" w:cs="Times New Roman"/>
          <w:iCs/>
          <w:sz w:val="21"/>
          <w:szCs w:val="21"/>
          <w:highlight w:val="yellow"/>
          <w:lang w:val="tr"/>
        </w:rPr>
        <w:t>a/eşimin/vasisi olduğum</w:t>
      </w:r>
      <w:proofErr w:type="gramStart"/>
      <w:r w:rsidR="008B6FFF" w:rsidRPr="00693DB3">
        <w:rPr>
          <w:rFonts w:ascii="Palatino Linotype" w:hAnsi="Palatino Linotype" w:cs="Times New Roman"/>
          <w:iCs/>
          <w:sz w:val="21"/>
          <w:szCs w:val="21"/>
          <w:highlight w:val="yellow"/>
          <w:lang w:val="tr"/>
        </w:rPr>
        <w:t xml:space="preserve"> ....</w:t>
      </w:r>
      <w:proofErr w:type="gramEnd"/>
      <w:r w:rsidR="008B6FFF" w:rsidRPr="00693DB3">
        <w:rPr>
          <w:rFonts w:ascii="Palatino Linotype" w:hAnsi="Palatino Linotype" w:cs="Times New Roman"/>
          <w:iCs/>
          <w:sz w:val="21"/>
          <w:szCs w:val="21"/>
          <w:highlight w:val="yellow"/>
          <w:lang w:val="tr"/>
        </w:rPr>
        <w:t>’in beraatına</w:t>
      </w:r>
      <w:r w:rsidR="00A03E39" w:rsidRPr="00693DB3">
        <w:rPr>
          <w:rFonts w:ascii="Palatino Linotype" w:hAnsi="Palatino Linotype" w:cs="Times New Roman"/>
          <w:iCs/>
          <w:sz w:val="21"/>
          <w:szCs w:val="21"/>
          <w:lang w:val="tr"/>
        </w:rPr>
        <w:t xml:space="preserve"> karar verilmesi ve yargılama sonuna kadar </w:t>
      </w:r>
      <w:r w:rsidR="00A03E39" w:rsidRPr="00693DB3">
        <w:rPr>
          <w:rFonts w:ascii="Palatino Linotype" w:hAnsi="Palatino Linotype" w:cs="Times New Roman"/>
          <w:iCs/>
          <w:sz w:val="21"/>
          <w:szCs w:val="21"/>
          <w:highlight w:val="yellow"/>
          <w:lang w:val="tr"/>
        </w:rPr>
        <w:t>infazı</w:t>
      </w:r>
      <w:r w:rsidR="009F0893" w:rsidRPr="00693DB3">
        <w:rPr>
          <w:rFonts w:ascii="Palatino Linotype" w:hAnsi="Palatino Linotype" w:cs="Times New Roman"/>
          <w:iCs/>
          <w:sz w:val="21"/>
          <w:szCs w:val="21"/>
          <w:highlight w:val="yellow"/>
          <w:lang w:val="tr"/>
        </w:rPr>
        <w:t>m</w:t>
      </w:r>
      <w:r w:rsidR="0070131E" w:rsidRPr="00693DB3">
        <w:rPr>
          <w:rFonts w:ascii="Palatino Linotype" w:hAnsi="Palatino Linotype" w:cs="Times New Roman"/>
          <w:iCs/>
          <w:sz w:val="21"/>
          <w:szCs w:val="21"/>
          <w:highlight w:val="yellow"/>
          <w:lang w:val="tr"/>
        </w:rPr>
        <w:t>ın</w:t>
      </w:r>
      <w:r w:rsidR="008B6FFF" w:rsidRPr="00693DB3">
        <w:rPr>
          <w:rFonts w:ascii="Palatino Linotype" w:hAnsi="Palatino Linotype" w:cs="Times New Roman"/>
          <w:iCs/>
          <w:sz w:val="21"/>
          <w:szCs w:val="21"/>
          <w:highlight w:val="yellow"/>
          <w:lang w:val="tr"/>
        </w:rPr>
        <w:t>/infazını</w:t>
      </w:r>
      <w:r w:rsidR="00A03E39" w:rsidRPr="00693DB3">
        <w:rPr>
          <w:rFonts w:ascii="Palatino Linotype" w:hAnsi="Palatino Linotype" w:cs="Times New Roman"/>
          <w:iCs/>
          <w:sz w:val="21"/>
          <w:szCs w:val="21"/>
          <w:lang w:val="tr"/>
        </w:rPr>
        <w:t xml:space="preserve"> tedbiren durdurulması istemine ilişkindir.</w:t>
      </w:r>
    </w:p>
    <w:p w14:paraId="368261F7" w14:textId="7F30EBBD" w:rsidR="003A6719" w:rsidRPr="00693DB3" w:rsidRDefault="00D97B5F" w:rsidP="00693DB3">
      <w:pPr>
        <w:tabs>
          <w:tab w:val="left" w:pos="3870"/>
        </w:tabs>
        <w:spacing w:line="360" w:lineRule="auto"/>
        <w:ind w:left="3960" w:hanging="3960"/>
        <w:jc w:val="both"/>
        <w:rPr>
          <w:rFonts w:ascii="Palatino Linotype" w:hAnsi="Palatino Linotype" w:cs="Times New Roman"/>
          <w:b/>
          <w:sz w:val="21"/>
          <w:szCs w:val="21"/>
          <w:u w:val="thick"/>
        </w:rPr>
      </w:pPr>
      <w:r w:rsidRPr="00693DB3">
        <w:rPr>
          <w:rFonts w:ascii="Palatino Linotype" w:hAnsi="Palatino Linotype" w:cs="Times New Roman"/>
          <w:b/>
          <w:sz w:val="21"/>
          <w:szCs w:val="21"/>
          <w:u w:val="thick"/>
        </w:rPr>
        <w:t xml:space="preserve">Dayanılan Hukuki Kurallar             </w:t>
      </w:r>
      <w:proofErr w:type="gramStart"/>
      <w:r w:rsidRPr="00693DB3">
        <w:rPr>
          <w:rFonts w:ascii="Palatino Linotype" w:hAnsi="Palatino Linotype" w:cs="Times New Roman"/>
          <w:b/>
          <w:sz w:val="21"/>
          <w:szCs w:val="21"/>
          <w:u w:val="thick"/>
        </w:rPr>
        <w:t xml:space="preserve">  :</w:t>
      </w:r>
      <w:proofErr w:type="gramEnd"/>
      <w:r w:rsidRPr="00693DB3">
        <w:rPr>
          <w:rFonts w:ascii="Palatino Linotype" w:hAnsi="Palatino Linotype" w:cs="Times New Roman"/>
          <w:bCs/>
          <w:sz w:val="21"/>
          <w:szCs w:val="21"/>
        </w:rPr>
        <w:t xml:space="preserve"> </w:t>
      </w:r>
      <w:r w:rsidR="00055D06" w:rsidRPr="00693DB3">
        <w:rPr>
          <w:rFonts w:ascii="Palatino Linotype" w:hAnsi="Palatino Linotype" w:cs="Times New Roman"/>
          <w:bCs/>
          <w:sz w:val="21"/>
          <w:szCs w:val="21"/>
        </w:rPr>
        <w:t xml:space="preserve">   </w:t>
      </w:r>
      <w:r w:rsidR="00055D06" w:rsidRPr="00693DB3">
        <w:rPr>
          <w:rFonts w:ascii="Palatino Linotype" w:hAnsi="Palatino Linotype" w:cs="Times New Roman"/>
          <w:bCs/>
          <w:sz w:val="21"/>
          <w:szCs w:val="21"/>
          <w:highlight w:val="yellow"/>
        </w:rPr>
        <w:t>CMK’nın 262//1 (eş veya vasi başvuracaksa bu madde yazılmalı, şahsi başvuru yapılacaksa çıkarılmalı)</w:t>
      </w:r>
      <w:r w:rsidRPr="00693DB3">
        <w:rPr>
          <w:rFonts w:ascii="Palatino Linotype" w:hAnsi="Palatino Linotype" w:cs="Times New Roman"/>
          <w:bCs/>
          <w:sz w:val="21"/>
          <w:szCs w:val="21"/>
        </w:rPr>
        <w:t xml:space="preserve"> 311/1-e ve f maddesi; </w:t>
      </w:r>
      <w:proofErr w:type="spellStart"/>
      <w:r w:rsidRPr="00693DB3">
        <w:rPr>
          <w:rFonts w:ascii="Palatino Linotype" w:hAnsi="Palatino Linotype" w:cs="Times New Roman"/>
          <w:bCs/>
          <w:sz w:val="21"/>
          <w:szCs w:val="21"/>
        </w:rPr>
        <w:t>AY’nın</w:t>
      </w:r>
      <w:proofErr w:type="spellEnd"/>
      <w:r w:rsidRPr="00693DB3">
        <w:rPr>
          <w:rFonts w:ascii="Palatino Linotype" w:hAnsi="Palatino Linotype" w:cs="Times New Roman"/>
          <w:bCs/>
          <w:sz w:val="21"/>
          <w:szCs w:val="21"/>
        </w:rPr>
        <w:t xml:space="preserve"> 90. maddesi; AİHS’nin 6, 7, </w:t>
      </w:r>
      <w:r w:rsidR="003A6719" w:rsidRPr="00693DB3">
        <w:rPr>
          <w:rFonts w:ascii="Palatino Linotype" w:hAnsi="Palatino Linotype" w:cs="Times New Roman"/>
          <w:bCs/>
          <w:sz w:val="21"/>
          <w:szCs w:val="21"/>
        </w:rPr>
        <w:t xml:space="preserve">11, </w:t>
      </w:r>
      <w:r w:rsidRPr="00693DB3">
        <w:rPr>
          <w:rFonts w:ascii="Palatino Linotype" w:hAnsi="Palatino Linotype" w:cs="Times New Roman"/>
          <w:bCs/>
          <w:sz w:val="21"/>
          <w:szCs w:val="21"/>
        </w:rPr>
        <w:t>46</w:t>
      </w:r>
      <w:r w:rsidR="003A6719" w:rsidRPr="00693DB3">
        <w:rPr>
          <w:rFonts w:ascii="Palatino Linotype" w:hAnsi="Palatino Linotype" w:cs="Times New Roman"/>
          <w:bCs/>
          <w:sz w:val="21"/>
          <w:szCs w:val="21"/>
        </w:rPr>
        <w:t>. maddeleri; 6216 sayılı Kanunun 50. maddesi</w:t>
      </w:r>
      <w:r w:rsidRPr="00693DB3">
        <w:rPr>
          <w:rFonts w:ascii="Palatino Linotype" w:hAnsi="Palatino Linotype" w:cs="Times New Roman"/>
          <w:bCs/>
          <w:sz w:val="21"/>
          <w:szCs w:val="21"/>
        </w:rPr>
        <w:t xml:space="preserve">  </w:t>
      </w:r>
      <w:r w:rsidRPr="00693DB3">
        <w:rPr>
          <w:rFonts w:ascii="Palatino Linotype" w:hAnsi="Palatino Linotype" w:cs="Times New Roman"/>
          <w:b/>
          <w:sz w:val="21"/>
          <w:szCs w:val="21"/>
          <w:u w:val="thick"/>
        </w:rPr>
        <w:t xml:space="preserve">       </w:t>
      </w:r>
      <w:r w:rsidR="00B76022" w:rsidRPr="00693DB3">
        <w:rPr>
          <w:rFonts w:ascii="Palatino Linotype" w:hAnsi="Palatino Linotype" w:cs="Times New Roman"/>
          <w:b/>
          <w:sz w:val="21"/>
          <w:szCs w:val="21"/>
          <w:u w:val="thick"/>
        </w:rPr>
        <w:t xml:space="preserve">                   </w:t>
      </w:r>
      <w:r w:rsidR="00BA5188" w:rsidRPr="00693DB3">
        <w:rPr>
          <w:rFonts w:ascii="Palatino Linotype" w:hAnsi="Palatino Linotype" w:cs="Times New Roman"/>
          <w:b/>
          <w:sz w:val="21"/>
          <w:szCs w:val="21"/>
          <w:u w:val="thick"/>
        </w:rPr>
        <w:t xml:space="preserve">            </w:t>
      </w:r>
      <w:r w:rsidR="007018E6" w:rsidRPr="00693DB3">
        <w:rPr>
          <w:rFonts w:ascii="Palatino Linotype" w:hAnsi="Palatino Linotype" w:cs="Times New Roman"/>
          <w:b/>
          <w:sz w:val="21"/>
          <w:szCs w:val="21"/>
          <w:u w:val="thick"/>
        </w:rPr>
        <w:t xml:space="preserve">             </w:t>
      </w:r>
      <w:r w:rsidR="00BA5188" w:rsidRPr="00693DB3">
        <w:rPr>
          <w:rFonts w:ascii="Palatino Linotype" w:hAnsi="Palatino Linotype" w:cs="Times New Roman"/>
          <w:b/>
          <w:sz w:val="21"/>
          <w:szCs w:val="21"/>
          <w:u w:val="thick"/>
        </w:rPr>
        <w:t xml:space="preserve"> </w:t>
      </w:r>
      <w:r w:rsidR="00B76022" w:rsidRPr="00693DB3">
        <w:rPr>
          <w:rFonts w:ascii="Palatino Linotype" w:hAnsi="Palatino Linotype" w:cs="Times New Roman"/>
          <w:b/>
          <w:sz w:val="21"/>
          <w:szCs w:val="21"/>
          <w:u w:val="thick"/>
        </w:rPr>
        <w:t xml:space="preserve">     </w:t>
      </w:r>
    </w:p>
    <w:p w14:paraId="65BBC1ED" w14:textId="5F96C7F8" w:rsidR="00261695" w:rsidRPr="00693DB3" w:rsidRDefault="00261695" w:rsidP="003A6719">
      <w:pPr>
        <w:tabs>
          <w:tab w:val="left" w:pos="3870"/>
        </w:tabs>
        <w:spacing w:line="360" w:lineRule="auto"/>
        <w:jc w:val="center"/>
        <w:rPr>
          <w:rFonts w:ascii="Palatino Linotype" w:hAnsi="Palatino Linotype" w:cs="Times New Roman"/>
          <w:b/>
          <w:sz w:val="21"/>
          <w:szCs w:val="21"/>
        </w:rPr>
      </w:pPr>
      <w:r w:rsidRPr="00693DB3">
        <w:rPr>
          <w:rFonts w:ascii="Palatino Linotype" w:hAnsi="Palatino Linotype" w:cs="Times New Roman"/>
          <w:b/>
          <w:sz w:val="21"/>
          <w:szCs w:val="21"/>
        </w:rPr>
        <w:t>AÇIKLAMALAR</w:t>
      </w:r>
    </w:p>
    <w:p w14:paraId="2A9EB87F" w14:textId="36DD36CE" w:rsidR="00261695" w:rsidRPr="00693DB3" w:rsidRDefault="00261695" w:rsidP="00261695">
      <w:pPr>
        <w:tabs>
          <w:tab w:val="left" w:pos="3870"/>
        </w:tabs>
        <w:spacing w:line="360" w:lineRule="auto"/>
        <w:jc w:val="both"/>
        <w:rPr>
          <w:rFonts w:ascii="Palatino Linotype" w:hAnsi="Palatino Linotype" w:cs="Times New Roman"/>
          <w:b/>
          <w:sz w:val="21"/>
          <w:szCs w:val="21"/>
        </w:rPr>
      </w:pPr>
      <w:r w:rsidRPr="00693DB3">
        <w:rPr>
          <w:rFonts w:ascii="Palatino Linotype" w:hAnsi="Palatino Linotype" w:cs="Times New Roman"/>
          <w:b/>
          <w:sz w:val="21"/>
          <w:szCs w:val="21"/>
        </w:rPr>
        <w:t xml:space="preserve">I. </w:t>
      </w:r>
      <w:r w:rsidR="00865AE8" w:rsidRPr="00693DB3">
        <w:rPr>
          <w:rFonts w:ascii="Palatino Linotype" w:hAnsi="Palatino Linotype" w:cs="Times New Roman"/>
          <w:b/>
          <w:sz w:val="21"/>
          <w:szCs w:val="21"/>
        </w:rPr>
        <w:t xml:space="preserve">Müvekkilin </w:t>
      </w:r>
      <w:proofErr w:type="gramStart"/>
      <w:r w:rsidRPr="00693DB3">
        <w:rPr>
          <w:rFonts w:ascii="Palatino Linotype" w:hAnsi="Palatino Linotype" w:cs="Times New Roman"/>
          <w:b/>
          <w:sz w:val="21"/>
          <w:szCs w:val="21"/>
        </w:rPr>
        <w:t>Mahkumiyet</w:t>
      </w:r>
      <w:proofErr w:type="gramEnd"/>
      <w:r w:rsidRPr="00693DB3">
        <w:rPr>
          <w:rFonts w:ascii="Palatino Linotype" w:hAnsi="Palatino Linotype" w:cs="Times New Roman"/>
          <w:b/>
          <w:sz w:val="21"/>
          <w:szCs w:val="21"/>
        </w:rPr>
        <w:t xml:space="preserve"> Gerekçe</w:t>
      </w:r>
      <w:r w:rsidR="0070131E" w:rsidRPr="00693DB3">
        <w:rPr>
          <w:rFonts w:ascii="Palatino Linotype" w:hAnsi="Palatino Linotype" w:cs="Times New Roman"/>
          <w:b/>
          <w:sz w:val="21"/>
          <w:szCs w:val="21"/>
        </w:rPr>
        <w:t>si</w:t>
      </w:r>
    </w:p>
    <w:p w14:paraId="1AAFF770" w14:textId="5424E3EC" w:rsidR="00261695" w:rsidRPr="00693DB3" w:rsidRDefault="00261695" w:rsidP="00C65CE9">
      <w:pPr>
        <w:pStyle w:val="ListeParagraf"/>
        <w:numPr>
          <w:ilvl w:val="0"/>
          <w:numId w:val="2"/>
        </w:numPr>
        <w:tabs>
          <w:tab w:val="left" w:pos="3870"/>
        </w:tabs>
        <w:spacing w:line="360" w:lineRule="auto"/>
        <w:ind w:left="284" w:right="-378" w:hanging="284"/>
        <w:jc w:val="both"/>
        <w:rPr>
          <w:rFonts w:ascii="Palatino Linotype" w:hAnsi="Palatino Linotype" w:cs="Times New Roman"/>
          <w:bCs/>
          <w:sz w:val="21"/>
          <w:szCs w:val="21"/>
        </w:rPr>
      </w:pPr>
      <w:r w:rsidRPr="00693DB3">
        <w:rPr>
          <w:rFonts w:ascii="Palatino Linotype" w:hAnsi="Palatino Linotype" w:cs="Times New Roman"/>
          <w:bCs/>
          <w:sz w:val="21"/>
          <w:szCs w:val="21"/>
        </w:rPr>
        <w:t>Mahkemenizin</w:t>
      </w:r>
      <w:proofErr w:type="gramStart"/>
      <w:r w:rsidRPr="00693DB3">
        <w:rPr>
          <w:rFonts w:ascii="Palatino Linotype" w:hAnsi="Palatino Linotype" w:cs="Times New Roman"/>
          <w:bCs/>
          <w:sz w:val="21"/>
          <w:szCs w:val="21"/>
        </w:rPr>
        <w:t xml:space="preserve"> ….</w:t>
      </w:r>
      <w:proofErr w:type="gramEnd"/>
      <w:r w:rsidRPr="00693DB3">
        <w:rPr>
          <w:rFonts w:ascii="Palatino Linotype" w:hAnsi="Palatino Linotype" w:cs="Times New Roman"/>
          <w:bCs/>
          <w:sz w:val="21"/>
          <w:szCs w:val="21"/>
        </w:rPr>
        <w:t>E.,</w:t>
      </w:r>
      <w:r w:rsidR="009F0893" w:rsidRPr="00693DB3">
        <w:rPr>
          <w:rFonts w:ascii="Palatino Linotype" w:hAnsi="Palatino Linotype" w:cs="Times New Roman"/>
          <w:bCs/>
          <w:sz w:val="21"/>
          <w:szCs w:val="21"/>
        </w:rPr>
        <w:t xml:space="preserve"> ve</w:t>
      </w:r>
      <w:proofErr w:type="gramStart"/>
      <w:r w:rsidRPr="00693DB3">
        <w:rPr>
          <w:rFonts w:ascii="Palatino Linotype" w:hAnsi="Palatino Linotype" w:cs="Times New Roman"/>
          <w:bCs/>
          <w:sz w:val="21"/>
          <w:szCs w:val="21"/>
        </w:rPr>
        <w:t xml:space="preserve"> </w:t>
      </w:r>
      <w:r w:rsidR="009F0893" w:rsidRPr="00693DB3">
        <w:rPr>
          <w:rFonts w:ascii="Palatino Linotype" w:hAnsi="Palatino Linotype" w:cs="Times New Roman"/>
          <w:bCs/>
          <w:sz w:val="21"/>
          <w:szCs w:val="21"/>
        </w:rPr>
        <w:t>….</w:t>
      </w:r>
      <w:proofErr w:type="gramEnd"/>
      <w:r w:rsidR="009F0893" w:rsidRPr="00693DB3">
        <w:rPr>
          <w:rFonts w:ascii="Palatino Linotype" w:hAnsi="Palatino Linotype" w:cs="Times New Roman"/>
          <w:bCs/>
          <w:sz w:val="21"/>
          <w:szCs w:val="21"/>
        </w:rPr>
        <w:t>K</w:t>
      </w:r>
      <w:r w:rsidRPr="00693DB3">
        <w:rPr>
          <w:rFonts w:ascii="Palatino Linotype" w:hAnsi="Palatino Linotype" w:cs="Times New Roman"/>
          <w:bCs/>
          <w:sz w:val="21"/>
          <w:szCs w:val="21"/>
        </w:rPr>
        <w:t xml:space="preserve">…. </w:t>
      </w:r>
      <w:proofErr w:type="gramStart"/>
      <w:r w:rsidRPr="00693DB3">
        <w:rPr>
          <w:rFonts w:ascii="Palatino Linotype" w:hAnsi="Palatino Linotype" w:cs="Times New Roman"/>
          <w:bCs/>
          <w:sz w:val="21"/>
          <w:szCs w:val="21"/>
        </w:rPr>
        <w:t>sayılı</w:t>
      </w:r>
      <w:proofErr w:type="gramEnd"/>
      <w:r w:rsidRPr="00693DB3">
        <w:rPr>
          <w:rFonts w:ascii="Palatino Linotype" w:hAnsi="Palatino Linotype" w:cs="Times New Roman"/>
          <w:bCs/>
          <w:sz w:val="21"/>
          <w:szCs w:val="21"/>
        </w:rPr>
        <w:t xml:space="preserve"> </w:t>
      </w:r>
      <w:r w:rsidR="009F0893" w:rsidRPr="00693DB3">
        <w:rPr>
          <w:rFonts w:ascii="Palatino Linotype" w:hAnsi="Palatino Linotype" w:cs="Times New Roman"/>
          <w:bCs/>
          <w:sz w:val="21"/>
          <w:szCs w:val="21"/>
        </w:rPr>
        <w:t>k</w:t>
      </w:r>
      <w:r w:rsidRPr="00693DB3">
        <w:rPr>
          <w:rFonts w:ascii="Palatino Linotype" w:hAnsi="Palatino Linotype" w:cs="Times New Roman"/>
          <w:bCs/>
          <w:sz w:val="21"/>
          <w:szCs w:val="21"/>
        </w:rPr>
        <w:t xml:space="preserve">ararı ile </w:t>
      </w:r>
      <w:proofErr w:type="gramStart"/>
      <w:r w:rsidRPr="00693DB3">
        <w:rPr>
          <w:rFonts w:ascii="Palatino Linotype" w:hAnsi="Palatino Linotype" w:cs="Times New Roman"/>
          <w:bCs/>
          <w:sz w:val="21"/>
          <w:szCs w:val="21"/>
        </w:rPr>
        <w:t>…</w:t>
      </w:r>
      <w:r w:rsidR="00E40DC4" w:rsidRPr="00693DB3">
        <w:rPr>
          <w:rFonts w:ascii="Palatino Linotype" w:hAnsi="Palatino Linotype" w:cs="Times New Roman"/>
          <w:bCs/>
          <w:sz w:val="21"/>
          <w:szCs w:val="21"/>
        </w:rPr>
        <w:t>….</w:t>
      </w:r>
      <w:proofErr w:type="gramEnd"/>
      <w:r w:rsidRPr="00693DB3">
        <w:rPr>
          <w:rFonts w:ascii="Palatino Linotype" w:hAnsi="Palatino Linotype" w:cs="Times New Roman"/>
          <w:bCs/>
          <w:sz w:val="21"/>
          <w:szCs w:val="21"/>
        </w:rPr>
        <w:t xml:space="preserve">tarihinde </w:t>
      </w:r>
      <w:r w:rsidR="009F0893" w:rsidRPr="00693DB3">
        <w:rPr>
          <w:rFonts w:ascii="Palatino Linotype" w:hAnsi="Palatino Linotype" w:cs="Times New Roman"/>
          <w:bCs/>
          <w:sz w:val="21"/>
          <w:szCs w:val="21"/>
        </w:rPr>
        <w:t>si</w:t>
      </w:r>
      <w:r w:rsidR="0070131E" w:rsidRPr="00693DB3">
        <w:rPr>
          <w:rFonts w:ascii="Palatino Linotype" w:hAnsi="Palatino Linotype" w:cs="Times New Roman"/>
          <w:bCs/>
          <w:sz w:val="21"/>
          <w:szCs w:val="21"/>
        </w:rPr>
        <w:t xml:space="preserve">lahlı terör örgütüne üyelik suçlaması ile …. </w:t>
      </w:r>
      <w:proofErr w:type="gramStart"/>
      <w:r w:rsidR="0070131E" w:rsidRPr="00693DB3">
        <w:rPr>
          <w:rFonts w:ascii="Palatino Linotype" w:hAnsi="Palatino Linotype" w:cs="Times New Roman"/>
          <w:bCs/>
          <w:sz w:val="21"/>
          <w:szCs w:val="21"/>
        </w:rPr>
        <w:t>hapis</w:t>
      </w:r>
      <w:proofErr w:type="gramEnd"/>
      <w:r w:rsidR="0070131E" w:rsidRPr="00693DB3">
        <w:rPr>
          <w:rFonts w:ascii="Palatino Linotype" w:hAnsi="Palatino Linotype" w:cs="Times New Roman"/>
          <w:bCs/>
          <w:sz w:val="21"/>
          <w:szCs w:val="21"/>
        </w:rPr>
        <w:t xml:space="preserve"> cezasına </w:t>
      </w:r>
      <w:proofErr w:type="gramStart"/>
      <w:r w:rsidRPr="00693DB3">
        <w:rPr>
          <w:rFonts w:ascii="Palatino Linotype" w:hAnsi="Palatino Linotype" w:cs="Times New Roman"/>
          <w:bCs/>
          <w:sz w:val="21"/>
          <w:szCs w:val="21"/>
          <w:highlight w:val="yellow"/>
        </w:rPr>
        <w:t>mahkum</w:t>
      </w:r>
      <w:proofErr w:type="gramEnd"/>
      <w:r w:rsidRPr="00693DB3">
        <w:rPr>
          <w:rFonts w:ascii="Palatino Linotype" w:hAnsi="Palatino Linotype" w:cs="Times New Roman"/>
          <w:bCs/>
          <w:sz w:val="21"/>
          <w:szCs w:val="21"/>
          <w:highlight w:val="yellow"/>
        </w:rPr>
        <w:t xml:space="preserve"> edil</w:t>
      </w:r>
      <w:r w:rsidR="009F0893" w:rsidRPr="00693DB3">
        <w:rPr>
          <w:rFonts w:ascii="Palatino Linotype" w:hAnsi="Palatino Linotype" w:cs="Times New Roman"/>
          <w:bCs/>
          <w:sz w:val="21"/>
          <w:szCs w:val="21"/>
          <w:highlight w:val="yellow"/>
        </w:rPr>
        <w:t>dim</w:t>
      </w:r>
      <w:r w:rsidR="0037126F" w:rsidRPr="00693DB3">
        <w:rPr>
          <w:rFonts w:ascii="Palatino Linotype" w:hAnsi="Palatino Linotype" w:cs="Times New Roman"/>
          <w:bCs/>
          <w:sz w:val="21"/>
          <w:szCs w:val="21"/>
          <w:highlight w:val="yellow"/>
        </w:rPr>
        <w:t>/eşi</w:t>
      </w:r>
      <w:r w:rsidR="008B6FFF" w:rsidRPr="00693DB3">
        <w:rPr>
          <w:rFonts w:ascii="Palatino Linotype" w:hAnsi="Palatino Linotype" w:cs="Times New Roman"/>
          <w:bCs/>
          <w:sz w:val="21"/>
          <w:szCs w:val="21"/>
          <w:highlight w:val="yellow"/>
        </w:rPr>
        <w:t xml:space="preserve">m-vasisi </w:t>
      </w:r>
      <w:proofErr w:type="gramStart"/>
      <w:r w:rsidR="008B6FFF" w:rsidRPr="00693DB3">
        <w:rPr>
          <w:rFonts w:ascii="Palatino Linotype" w:hAnsi="Palatino Linotype" w:cs="Times New Roman"/>
          <w:bCs/>
          <w:sz w:val="21"/>
          <w:szCs w:val="21"/>
          <w:highlight w:val="yellow"/>
        </w:rPr>
        <w:t>olduğum(</w:t>
      </w:r>
      <w:proofErr w:type="gramEnd"/>
      <w:r w:rsidR="008B6FFF" w:rsidRPr="00693DB3">
        <w:rPr>
          <w:rFonts w:ascii="Palatino Linotype" w:hAnsi="Palatino Linotype" w:cs="Times New Roman"/>
          <w:bCs/>
          <w:sz w:val="21"/>
          <w:szCs w:val="21"/>
          <w:highlight w:val="yellow"/>
        </w:rPr>
        <w:t>kişi ismi yazılacak)</w:t>
      </w:r>
      <w:r w:rsidR="0070131E" w:rsidRPr="00693DB3">
        <w:rPr>
          <w:rFonts w:ascii="Palatino Linotype" w:hAnsi="Palatino Linotype" w:cs="Times New Roman"/>
          <w:bCs/>
          <w:sz w:val="21"/>
          <w:szCs w:val="21"/>
          <w:highlight w:val="yellow"/>
        </w:rPr>
        <w:t xml:space="preserve"> </w:t>
      </w:r>
      <w:proofErr w:type="gramStart"/>
      <w:r w:rsidR="008B6FFF" w:rsidRPr="00693DB3">
        <w:rPr>
          <w:rFonts w:ascii="Palatino Linotype" w:hAnsi="Palatino Linotype" w:cs="Times New Roman"/>
          <w:bCs/>
          <w:sz w:val="21"/>
          <w:szCs w:val="21"/>
          <w:highlight w:val="yellow"/>
        </w:rPr>
        <w:t>mahkum</w:t>
      </w:r>
      <w:proofErr w:type="gramEnd"/>
      <w:r w:rsidR="008B6FFF" w:rsidRPr="00693DB3">
        <w:rPr>
          <w:rFonts w:ascii="Palatino Linotype" w:hAnsi="Palatino Linotype" w:cs="Times New Roman"/>
          <w:bCs/>
          <w:sz w:val="21"/>
          <w:szCs w:val="21"/>
          <w:highlight w:val="yellow"/>
        </w:rPr>
        <w:t xml:space="preserve"> edildi</w:t>
      </w:r>
      <w:r w:rsidR="008B6FFF" w:rsidRPr="00693DB3">
        <w:rPr>
          <w:rFonts w:ascii="Palatino Linotype" w:hAnsi="Palatino Linotype" w:cs="Times New Roman"/>
          <w:bCs/>
          <w:sz w:val="21"/>
          <w:szCs w:val="21"/>
        </w:rPr>
        <w:t xml:space="preserve"> </w:t>
      </w:r>
      <w:r w:rsidR="0070131E" w:rsidRPr="00693DB3">
        <w:rPr>
          <w:rFonts w:ascii="Palatino Linotype" w:hAnsi="Palatino Linotype" w:cs="Times New Roman"/>
          <w:bCs/>
          <w:sz w:val="21"/>
          <w:szCs w:val="21"/>
        </w:rPr>
        <w:t xml:space="preserve">ve </w:t>
      </w:r>
      <w:r w:rsidR="0070131E" w:rsidRPr="00693DB3">
        <w:rPr>
          <w:rFonts w:ascii="Palatino Linotype" w:hAnsi="Palatino Linotype" w:cs="Times New Roman"/>
          <w:bCs/>
          <w:sz w:val="21"/>
          <w:szCs w:val="21"/>
          <w:highlight w:val="yellow"/>
        </w:rPr>
        <w:t>hakkı</w:t>
      </w:r>
      <w:r w:rsidR="009F0893" w:rsidRPr="00693DB3">
        <w:rPr>
          <w:rFonts w:ascii="Palatino Linotype" w:hAnsi="Palatino Linotype" w:cs="Times New Roman"/>
          <w:bCs/>
          <w:sz w:val="21"/>
          <w:szCs w:val="21"/>
          <w:highlight w:val="yellow"/>
        </w:rPr>
        <w:t>m</w:t>
      </w:r>
      <w:r w:rsidR="0070131E" w:rsidRPr="00693DB3">
        <w:rPr>
          <w:rFonts w:ascii="Palatino Linotype" w:hAnsi="Palatino Linotype" w:cs="Times New Roman"/>
          <w:bCs/>
          <w:sz w:val="21"/>
          <w:szCs w:val="21"/>
          <w:highlight w:val="yellow"/>
        </w:rPr>
        <w:t>daki</w:t>
      </w:r>
      <w:r w:rsidR="008B6FFF" w:rsidRPr="00693DB3">
        <w:rPr>
          <w:rFonts w:ascii="Palatino Linotype" w:hAnsi="Palatino Linotype" w:cs="Times New Roman"/>
          <w:bCs/>
          <w:sz w:val="21"/>
          <w:szCs w:val="21"/>
          <w:highlight w:val="yellow"/>
        </w:rPr>
        <w:t>/hakkındaki</w:t>
      </w:r>
      <w:r w:rsidR="0070131E" w:rsidRPr="00693DB3">
        <w:rPr>
          <w:rFonts w:ascii="Palatino Linotype" w:hAnsi="Palatino Linotype" w:cs="Times New Roman"/>
          <w:bCs/>
          <w:sz w:val="21"/>
          <w:szCs w:val="21"/>
        </w:rPr>
        <w:t xml:space="preserve"> karar …tarihinde kesinleşmiştir.</w:t>
      </w:r>
    </w:p>
    <w:p w14:paraId="1FF2C0C7" w14:textId="20CA9D05" w:rsidR="007A42D5" w:rsidRPr="00693DB3" w:rsidRDefault="009F0893" w:rsidP="00C65CE9">
      <w:pPr>
        <w:pStyle w:val="ListeParagraf"/>
        <w:numPr>
          <w:ilvl w:val="0"/>
          <w:numId w:val="2"/>
        </w:numPr>
        <w:tabs>
          <w:tab w:val="left" w:pos="3870"/>
        </w:tabs>
        <w:spacing w:line="360" w:lineRule="auto"/>
        <w:ind w:left="567" w:right="-378" w:hanging="425"/>
        <w:jc w:val="both"/>
        <w:rPr>
          <w:rFonts w:ascii="Palatino Linotype" w:hAnsi="Palatino Linotype" w:cs="Times New Roman"/>
          <w:bCs/>
          <w:sz w:val="21"/>
          <w:szCs w:val="21"/>
        </w:rPr>
      </w:pPr>
      <w:r w:rsidRPr="00693DB3">
        <w:rPr>
          <w:rFonts w:ascii="Palatino Linotype" w:hAnsi="Palatino Linotype" w:cs="Times New Roman"/>
          <w:bCs/>
          <w:sz w:val="21"/>
          <w:szCs w:val="21"/>
          <w:highlight w:val="yellow"/>
        </w:rPr>
        <w:lastRenderedPageBreak/>
        <w:t>Hakkımdaki</w:t>
      </w:r>
      <w:r w:rsidR="008B6FFF" w:rsidRPr="00693DB3">
        <w:rPr>
          <w:rFonts w:ascii="Palatino Linotype" w:hAnsi="Palatino Linotype" w:cs="Times New Roman"/>
          <w:bCs/>
          <w:sz w:val="21"/>
          <w:szCs w:val="21"/>
          <w:highlight w:val="yellow"/>
        </w:rPr>
        <w:t>/hakkındaki</w:t>
      </w:r>
      <w:r w:rsidR="0070131E" w:rsidRPr="00693DB3">
        <w:rPr>
          <w:rFonts w:ascii="Palatino Linotype" w:hAnsi="Palatino Linotype" w:cs="Times New Roman"/>
          <w:bCs/>
          <w:sz w:val="21"/>
          <w:szCs w:val="21"/>
        </w:rPr>
        <w:t xml:space="preserve"> mahkumiyet gerekçesi; sırasıyla </w:t>
      </w:r>
      <w:r w:rsidR="0070131E" w:rsidRPr="00693DB3">
        <w:rPr>
          <w:rFonts w:ascii="Palatino Linotype" w:hAnsi="Palatino Linotype" w:cs="Times New Roman"/>
          <w:bCs/>
          <w:sz w:val="21"/>
          <w:szCs w:val="21"/>
          <w:highlight w:val="yellow"/>
        </w:rPr>
        <w:t>(herkes kendi mahkumiyet gerekçesini yaz</w:t>
      </w:r>
      <w:r w:rsidR="00C65CE9">
        <w:rPr>
          <w:rFonts w:ascii="Palatino Linotype" w:hAnsi="Palatino Linotype" w:cs="Times New Roman"/>
          <w:bCs/>
          <w:sz w:val="21"/>
          <w:szCs w:val="21"/>
          <w:highlight w:val="yellow"/>
        </w:rPr>
        <w:t>malı</w:t>
      </w:r>
      <w:r w:rsidR="0070131E" w:rsidRPr="00693DB3">
        <w:rPr>
          <w:rFonts w:ascii="Palatino Linotype" w:hAnsi="Palatino Linotype" w:cs="Times New Roman"/>
          <w:bCs/>
          <w:sz w:val="21"/>
          <w:szCs w:val="21"/>
          <w:highlight w:val="yellow"/>
        </w:rPr>
        <w:t>)</w:t>
      </w:r>
      <w:r w:rsidR="0070131E" w:rsidRPr="00693DB3">
        <w:rPr>
          <w:rFonts w:ascii="Palatino Linotype" w:hAnsi="Palatino Linotype" w:cs="Times New Roman"/>
          <w:bCs/>
          <w:sz w:val="21"/>
          <w:szCs w:val="21"/>
        </w:rPr>
        <w:t xml:space="preserve"> </w:t>
      </w:r>
      <w:r w:rsidR="0070131E" w:rsidRPr="00693DB3">
        <w:rPr>
          <w:rFonts w:ascii="Palatino Linotype" w:hAnsi="Palatino Linotype" w:cs="Times New Roman"/>
          <w:bCs/>
          <w:sz w:val="21"/>
          <w:szCs w:val="21"/>
          <w:highlight w:val="yellow"/>
        </w:rPr>
        <w:t xml:space="preserve">ByLock uygulamasını indirmek, </w:t>
      </w:r>
      <w:r w:rsidR="00C7633D" w:rsidRPr="00693DB3">
        <w:rPr>
          <w:rFonts w:ascii="Palatino Linotype" w:hAnsi="Palatino Linotype" w:cs="Times New Roman"/>
          <w:bCs/>
          <w:sz w:val="21"/>
          <w:szCs w:val="21"/>
          <w:highlight w:val="yellow"/>
        </w:rPr>
        <w:t xml:space="preserve">Bank Asya’da hesap açmak, …derneğine ve …sendikasına üye olmak, …x okulunda okumak, …x gazetesi ve dergisine abone olmak, …x aboneliğini sonlandırmak, … 1dolar bulundurmak, …x derneğine yardım etmek, …x tanığın beyanı ile cemaat sohbetlerine katılmak, çocuğunu …x okulunda okutturmak, örgüte üyelikten hakkında soruşturma açılmış olan </w:t>
      </w:r>
      <w:proofErr w:type="spellStart"/>
      <w:r w:rsidR="00C7633D" w:rsidRPr="00693DB3">
        <w:rPr>
          <w:rFonts w:ascii="Palatino Linotype" w:hAnsi="Palatino Linotype" w:cs="Times New Roman"/>
          <w:bCs/>
          <w:sz w:val="21"/>
          <w:szCs w:val="21"/>
          <w:highlight w:val="yellow"/>
        </w:rPr>
        <w:t>xyz</w:t>
      </w:r>
      <w:proofErr w:type="spellEnd"/>
      <w:r w:rsidR="00C7633D" w:rsidRPr="00693DB3">
        <w:rPr>
          <w:rFonts w:ascii="Palatino Linotype" w:hAnsi="Palatino Linotype" w:cs="Times New Roman"/>
          <w:bCs/>
          <w:sz w:val="21"/>
          <w:szCs w:val="21"/>
          <w:highlight w:val="yellow"/>
        </w:rPr>
        <w:t xml:space="preserve"> kişiler ile görüşmek</w:t>
      </w:r>
      <w:r w:rsidR="00454D63" w:rsidRPr="00693DB3">
        <w:rPr>
          <w:rFonts w:ascii="Palatino Linotype" w:hAnsi="Palatino Linotype" w:cs="Times New Roman"/>
          <w:bCs/>
          <w:sz w:val="21"/>
          <w:szCs w:val="21"/>
          <w:highlight w:val="yellow"/>
        </w:rPr>
        <w:t>, seçimlerde …x partisine veya (HSK ve vb kurum seçimlerinde) x grubuna destek vermek (vb)</w:t>
      </w:r>
      <w:r w:rsidR="00454D63" w:rsidRPr="00693DB3">
        <w:rPr>
          <w:rFonts w:ascii="Palatino Linotype" w:hAnsi="Palatino Linotype" w:cs="Times New Roman"/>
          <w:bCs/>
          <w:sz w:val="21"/>
          <w:szCs w:val="21"/>
        </w:rPr>
        <w:t xml:space="preserve"> hususlarına dayan</w:t>
      </w:r>
      <w:r w:rsidRPr="00693DB3">
        <w:rPr>
          <w:rFonts w:ascii="Palatino Linotype" w:hAnsi="Palatino Linotype" w:cs="Times New Roman"/>
          <w:bCs/>
          <w:sz w:val="21"/>
          <w:szCs w:val="21"/>
        </w:rPr>
        <w:t>dırılmıştır</w:t>
      </w:r>
      <w:r w:rsidR="00454D63" w:rsidRPr="00693DB3">
        <w:rPr>
          <w:rFonts w:ascii="Palatino Linotype" w:hAnsi="Palatino Linotype" w:cs="Times New Roman"/>
          <w:bCs/>
          <w:sz w:val="21"/>
          <w:szCs w:val="21"/>
        </w:rPr>
        <w:t xml:space="preserve">. </w:t>
      </w:r>
    </w:p>
    <w:p w14:paraId="2EBBFE0E" w14:textId="68081404" w:rsidR="007A42D5" w:rsidRPr="00693DB3" w:rsidRDefault="007A42D5" w:rsidP="00C65CE9">
      <w:pPr>
        <w:tabs>
          <w:tab w:val="left" w:pos="3870"/>
        </w:tabs>
        <w:spacing w:line="360" w:lineRule="auto"/>
        <w:ind w:left="-142" w:right="-378"/>
        <w:jc w:val="both"/>
        <w:rPr>
          <w:rFonts w:ascii="Palatino Linotype" w:hAnsi="Palatino Linotype" w:cs="Times New Roman"/>
          <w:b/>
          <w:sz w:val="21"/>
          <w:szCs w:val="21"/>
        </w:rPr>
      </w:pPr>
      <w:r w:rsidRPr="00693DB3">
        <w:rPr>
          <w:rFonts w:ascii="Palatino Linotype" w:hAnsi="Palatino Linotype" w:cs="Times New Roman"/>
          <w:b/>
          <w:sz w:val="21"/>
          <w:szCs w:val="21"/>
        </w:rPr>
        <w:t>II. Yargılamanın Yenilenmesi Talebin</w:t>
      </w:r>
      <w:r w:rsidR="00762D0A" w:rsidRPr="00693DB3">
        <w:rPr>
          <w:rFonts w:ascii="Palatino Linotype" w:hAnsi="Palatino Linotype" w:cs="Times New Roman"/>
          <w:b/>
          <w:sz w:val="21"/>
          <w:szCs w:val="21"/>
        </w:rPr>
        <w:t>in Dayandığı Hukuki Kurallar</w:t>
      </w:r>
    </w:p>
    <w:p w14:paraId="467DB0EE" w14:textId="77777777" w:rsidR="00762D0A" w:rsidRPr="00693DB3" w:rsidRDefault="00762D0A" w:rsidP="008A5BF2">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s="Times New Roman"/>
          <w:bCs/>
          <w:sz w:val="21"/>
          <w:szCs w:val="21"/>
        </w:rPr>
        <w:t xml:space="preserve">Hükümlü lehine yargılamanın yenilenmesi nedenleri CMK’nın 311. Maddesinde düzenlenmiştir. Müvekkil açısından yargılamanın yenilenmesi dayanağını oluşturacak düzenleme aşağıdaki gibidir: </w:t>
      </w:r>
    </w:p>
    <w:p w14:paraId="2662C5D8" w14:textId="77777777" w:rsidR="00875E34" w:rsidRPr="00693DB3" w:rsidRDefault="00762D0A" w:rsidP="008A5BF2">
      <w:pPr>
        <w:pStyle w:val="ListeParagraf"/>
        <w:tabs>
          <w:tab w:val="left" w:pos="3870"/>
        </w:tabs>
        <w:spacing w:line="360" w:lineRule="auto"/>
        <w:ind w:left="630" w:right="-378"/>
        <w:jc w:val="both"/>
        <w:rPr>
          <w:rFonts w:ascii="Palatino Linotype" w:hAnsi="Palatino Linotype" w:cs="Times New Roman"/>
          <w:i/>
          <w:iCs/>
          <w:sz w:val="21"/>
          <w:szCs w:val="21"/>
        </w:rPr>
      </w:pPr>
      <w:r w:rsidRPr="00693DB3">
        <w:rPr>
          <w:rFonts w:ascii="Palatino Linotype" w:hAnsi="Palatino Linotype" w:cs="Times New Roman"/>
          <w:bCs/>
          <w:i/>
          <w:iCs/>
          <w:sz w:val="21"/>
          <w:szCs w:val="21"/>
        </w:rPr>
        <w:t>“Madde 311 – (1) Kesinleşen bir hükümle sonuçlanmış bir dava, aşağıda yazılı hâllerde hükümlü lehine olarak yargılamanın yenilenmesi yoluyla tekrar görülür:</w:t>
      </w:r>
      <w:r w:rsidRPr="00693DB3">
        <w:rPr>
          <w:rFonts w:ascii="Palatino Linotype" w:hAnsi="Palatino Linotype" w:cs="Times New Roman"/>
          <w:i/>
          <w:iCs/>
          <w:sz w:val="21"/>
          <w:szCs w:val="21"/>
        </w:rPr>
        <w:t xml:space="preserve"> </w:t>
      </w:r>
    </w:p>
    <w:p w14:paraId="376414F2" w14:textId="77777777" w:rsidR="00875E34" w:rsidRPr="00693DB3" w:rsidRDefault="00762D0A" w:rsidP="008A5BF2">
      <w:pPr>
        <w:pStyle w:val="ListeParagraf"/>
        <w:tabs>
          <w:tab w:val="left" w:pos="3870"/>
        </w:tabs>
        <w:spacing w:line="360" w:lineRule="auto"/>
        <w:ind w:left="630" w:right="-378"/>
        <w:jc w:val="both"/>
        <w:rPr>
          <w:rFonts w:ascii="Palatino Linotype" w:hAnsi="Palatino Linotype" w:cs="Times New Roman"/>
          <w:bCs/>
          <w:i/>
          <w:iCs/>
          <w:sz w:val="21"/>
          <w:szCs w:val="21"/>
        </w:rPr>
      </w:pPr>
      <w:r w:rsidRPr="00693DB3">
        <w:rPr>
          <w:rFonts w:ascii="Palatino Linotype" w:hAnsi="Palatino Linotype" w:cs="Times New Roman"/>
          <w:bCs/>
          <w:i/>
          <w:iCs/>
          <w:sz w:val="21"/>
          <w:szCs w:val="21"/>
        </w:rPr>
        <w:t xml:space="preserve">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 </w:t>
      </w:r>
    </w:p>
    <w:p w14:paraId="6C865AAD" w14:textId="364CB261" w:rsidR="007A42D5" w:rsidRPr="00693DB3" w:rsidRDefault="00762D0A" w:rsidP="008A5BF2">
      <w:pPr>
        <w:pStyle w:val="ListeParagraf"/>
        <w:tabs>
          <w:tab w:val="left" w:pos="3870"/>
        </w:tabs>
        <w:spacing w:line="360" w:lineRule="auto"/>
        <w:ind w:left="630" w:right="-378"/>
        <w:jc w:val="both"/>
        <w:rPr>
          <w:rFonts w:ascii="Palatino Linotype" w:hAnsi="Palatino Linotype" w:cs="Times New Roman"/>
          <w:bCs/>
          <w:i/>
          <w:iCs/>
          <w:sz w:val="21"/>
          <w:szCs w:val="21"/>
        </w:rPr>
      </w:pPr>
      <w:r w:rsidRPr="00693DB3">
        <w:rPr>
          <w:rFonts w:ascii="Palatino Linotype" w:hAnsi="Palatino Linotype" w:cs="Times New Roman"/>
          <w:bCs/>
          <w:i/>
          <w:iCs/>
          <w:sz w:val="21"/>
          <w:szCs w:val="21"/>
        </w:rPr>
        <w:t>f)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Bu hâlde yargılamanın yenilenmesi, Avrupa İnsan Hakları Mahkemesi kararının kesinleştiği tarihten itibaren bir yıl içinde istenebilir.”</w:t>
      </w:r>
    </w:p>
    <w:p w14:paraId="04976590" w14:textId="77777777" w:rsidR="00F83122" w:rsidRPr="00693DB3" w:rsidRDefault="00F83122" w:rsidP="008A5BF2">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s="Times New Roman"/>
          <w:bCs/>
          <w:sz w:val="21"/>
          <w:szCs w:val="21"/>
        </w:rPr>
        <w:t>Avrupa İnsan Hakları Sözleşmesi dahil Milletlerarası Anlaşmalar ile ilgili Anayasa’nın 90. Maddesinin ilgili fıkrası şöyledir:</w:t>
      </w:r>
    </w:p>
    <w:p w14:paraId="3EBC25B5" w14:textId="7CECB657" w:rsidR="00F83122" w:rsidRPr="00693DB3" w:rsidRDefault="00D97B5F" w:rsidP="008A5BF2">
      <w:pPr>
        <w:pStyle w:val="ListeParagraf"/>
        <w:tabs>
          <w:tab w:val="left" w:pos="3870"/>
        </w:tabs>
        <w:spacing w:line="360" w:lineRule="auto"/>
        <w:ind w:left="630" w:right="-378"/>
        <w:jc w:val="both"/>
        <w:rPr>
          <w:rFonts w:ascii="Palatino Linotype" w:hAnsi="Palatino Linotype" w:cs="Times New Roman"/>
          <w:bCs/>
          <w:i/>
          <w:iCs/>
          <w:sz w:val="21"/>
          <w:szCs w:val="21"/>
        </w:rPr>
      </w:pPr>
      <w:r w:rsidRPr="00693DB3">
        <w:rPr>
          <w:rFonts w:ascii="Palatino Linotype" w:hAnsi="Palatino Linotype" w:cs="Times New Roman"/>
          <w:bCs/>
          <w:i/>
          <w:iCs/>
          <w:sz w:val="21"/>
          <w:szCs w:val="21"/>
        </w:rPr>
        <w:t>“</w:t>
      </w:r>
      <w:r w:rsidR="00F83122" w:rsidRPr="00693DB3">
        <w:rPr>
          <w:rFonts w:ascii="Palatino Linotype" w:hAnsi="Palatino Linotype" w:cs="Times New Roman"/>
          <w:bCs/>
          <w:i/>
          <w:iCs/>
          <w:sz w:val="21"/>
          <w:szCs w:val="21"/>
        </w:rPr>
        <w:t xml:space="preserve">Usulüne göre yürürlüğe konulmuş Milletlerarası </w:t>
      </w:r>
      <w:proofErr w:type="spellStart"/>
      <w:r w:rsidR="00F83122" w:rsidRPr="00693DB3">
        <w:rPr>
          <w:rFonts w:ascii="Palatino Linotype" w:hAnsi="Palatino Linotype" w:cs="Times New Roman"/>
          <w:bCs/>
          <w:i/>
          <w:iCs/>
          <w:sz w:val="21"/>
          <w:szCs w:val="21"/>
        </w:rPr>
        <w:t>andlaşmalar</w:t>
      </w:r>
      <w:proofErr w:type="spellEnd"/>
      <w:r w:rsidR="00F83122" w:rsidRPr="00693DB3">
        <w:rPr>
          <w:rFonts w:ascii="Palatino Linotype" w:hAnsi="Palatino Linotype" w:cs="Times New Roman"/>
          <w:bCs/>
          <w:i/>
          <w:iCs/>
          <w:sz w:val="21"/>
          <w:szCs w:val="21"/>
        </w:rPr>
        <w:t xml:space="preserve"> kanun hükmündedir. Bunlar hakkında Anayasaya aykırılık iddiası ile Anayasa Mahkemesine başvurulamaz. (Ek cümle: 7/5/2004- 5170/7 md.) Usulüne göre yürürlüğe konulmuş temel hak ve özgürlüklere ilişkin milletlerarası </w:t>
      </w:r>
      <w:proofErr w:type="spellStart"/>
      <w:r w:rsidR="00F83122" w:rsidRPr="00693DB3">
        <w:rPr>
          <w:rFonts w:ascii="Palatino Linotype" w:hAnsi="Palatino Linotype" w:cs="Times New Roman"/>
          <w:bCs/>
          <w:i/>
          <w:iCs/>
          <w:sz w:val="21"/>
          <w:szCs w:val="21"/>
        </w:rPr>
        <w:t>andlaşmalarla</w:t>
      </w:r>
      <w:proofErr w:type="spellEnd"/>
      <w:r w:rsidR="00F83122" w:rsidRPr="00693DB3">
        <w:rPr>
          <w:rFonts w:ascii="Palatino Linotype" w:hAnsi="Palatino Linotype" w:cs="Times New Roman"/>
          <w:bCs/>
          <w:i/>
          <w:iCs/>
          <w:sz w:val="21"/>
          <w:szCs w:val="21"/>
        </w:rPr>
        <w:t xml:space="preserve"> kanunların aynı konuda farklı hükümler içermesi nedeniyle çıkabilecek uyuşmazlıklarda milletlerarası </w:t>
      </w:r>
      <w:proofErr w:type="spellStart"/>
      <w:r w:rsidR="00F83122" w:rsidRPr="00693DB3">
        <w:rPr>
          <w:rFonts w:ascii="Palatino Linotype" w:hAnsi="Palatino Linotype" w:cs="Times New Roman"/>
          <w:bCs/>
          <w:i/>
          <w:iCs/>
          <w:sz w:val="21"/>
          <w:szCs w:val="21"/>
        </w:rPr>
        <w:t>andlaşma</w:t>
      </w:r>
      <w:proofErr w:type="spellEnd"/>
      <w:r w:rsidR="00F83122" w:rsidRPr="00693DB3">
        <w:rPr>
          <w:rFonts w:ascii="Palatino Linotype" w:hAnsi="Palatino Linotype" w:cs="Times New Roman"/>
          <w:bCs/>
          <w:i/>
          <w:iCs/>
          <w:sz w:val="21"/>
          <w:szCs w:val="21"/>
        </w:rPr>
        <w:t xml:space="preserve"> hükümleri esas alınır.</w:t>
      </w:r>
      <w:r w:rsidRPr="00693DB3">
        <w:rPr>
          <w:rFonts w:ascii="Palatino Linotype" w:hAnsi="Palatino Linotype" w:cs="Times New Roman"/>
          <w:bCs/>
          <w:i/>
          <w:iCs/>
          <w:sz w:val="21"/>
          <w:szCs w:val="21"/>
        </w:rPr>
        <w:t>”</w:t>
      </w:r>
    </w:p>
    <w:p w14:paraId="1FA142D1" w14:textId="16AD402F" w:rsidR="00F83122" w:rsidRPr="00693DB3" w:rsidRDefault="003A6719" w:rsidP="00C61BA4">
      <w:pPr>
        <w:tabs>
          <w:tab w:val="left" w:pos="3870"/>
        </w:tabs>
        <w:spacing w:line="360" w:lineRule="auto"/>
        <w:ind w:right="-378"/>
        <w:jc w:val="both"/>
        <w:rPr>
          <w:rFonts w:ascii="Palatino Linotype" w:hAnsi="Palatino Linotype" w:cs="Times New Roman"/>
          <w:b/>
          <w:sz w:val="21"/>
          <w:szCs w:val="21"/>
        </w:rPr>
      </w:pPr>
      <w:r w:rsidRPr="00693DB3">
        <w:rPr>
          <w:rFonts w:ascii="Palatino Linotype" w:hAnsi="Palatino Linotype" w:cs="Times New Roman"/>
          <w:b/>
          <w:sz w:val="21"/>
          <w:szCs w:val="21"/>
        </w:rPr>
        <w:t>III. Yargılamanın Yenilenmesi Talebine Neden Olan Yeni Olay</w:t>
      </w:r>
    </w:p>
    <w:p w14:paraId="7E37E5DB" w14:textId="55616295" w:rsidR="0000402A" w:rsidRPr="00693DB3"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s="Times New Roman"/>
          <w:bCs/>
          <w:sz w:val="21"/>
          <w:szCs w:val="21"/>
        </w:rPr>
        <w:lastRenderedPageBreak/>
        <w:t xml:space="preserve">Avrupa İnsan Hakları Mahkemesi </w:t>
      </w:r>
      <w:r w:rsidR="00693DB3" w:rsidRPr="00693DB3">
        <w:rPr>
          <w:rFonts w:ascii="Palatino Linotype" w:hAnsi="Palatino Linotype" w:cs="Times New Roman"/>
          <w:bCs/>
          <w:sz w:val="21"/>
          <w:szCs w:val="21"/>
        </w:rPr>
        <w:t>5 Mayıs</w:t>
      </w:r>
      <w:r w:rsidRPr="00693DB3">
        <w:rPr>
          <w:rFonts w:ascii="Palatino Linotype" w:hAnsi="Palatino Linotype" w:cs="Times New Roman"/>
          <w:bCs/>
          <w:sz w:val="21"/>
          <w:szCs w:val="21"/>
        </w:rPr>
        <w:t xml:space="preserve"> </w:t>
      </w:r>
      <w:r w:rsidR="00693DB3" w:rsidRPr="00693DB3">
        <w:rPr>
          <w:rFonts w:ascii="Palatino Linotype" w:hAnsi="Palatino Linotype" w:cs="Times New Roman"/>
          <w:bCs/>
          <w:sz w:val="21"/>
          <w:szCs w:val="21"/>
        </w:rPr>
        <w:t xml:space="preserve">2026 </w:t>
      </w:r>
      <w:r w:rsidRPr="00693DB3">
        <w:rPr>
          <w:rFonts w:ascii="Palatino Linotype" w:hAnsi="Palatino Linotype" w:cs="Times New Roman"/>
          <w:bCs/>
          <w:sz w:val="21"/>
          <w:szCs w:val="21"/>
        </w:rPr>
        <w:t xml:space="preserve">tarihinde müvekkil ile aynı suçlamaya maruz kalmış, aynı deliller ile </w:t>
      </w:r>
      <w:proofErr w:type="gramStart"/>
      <w:r w:rsidRPr="00693DB3">
        <w:rPr>
          <w:rFonts w:ascii="Palatino Linotype" w:hAnsi="Palatino Linotype" w:cs="Times New Roman"/>
          <w:bCs/>
          <w:sz w:val="21"/>
          <w:szCs w:val="21"/>
        </w:rPr>
        <w:t>mahkum</w:t>
      </w:r>
      <w:proofErr w:type="gramEnd"/>
      <w:r w:rsidRPr="00693DB3">
        <w:rPr>
          <w:rFonts w:ascii="Palatino Linotype" w:hAnsi="Palatino Linotype" w:cs="Times New Roman"/>
          <w:bCs/>
          <w:sz w:val="21"/>
          <w:szCs w:val="21"/>
        </w:rPr>
        <w:t xml:space="preserve"> olmuş ve hakkındaki karar kesinleşmiş olan </w:t>
      </w:r>
      <w:r w:rsidR="00693DB3" w:rsidRPr="00693DB3">
        <w:rPr>
          <w:rFonts w:ascii="Palatino Linotype" w:hAnsi="Palatino Linotype" w:cs="Times New Roman"/>
          <w:bCs/>
          <w:sz w:val="21"/>
          <w:szCs w:val="21"/>
        </w:rPr>
        <w:t>Şaban Yasak</w:t>
      </w:r>
      <w:r w:rsidRPr="00693DB3">
        <w:rPr>
          <w:rFonts w:ascii="Palatino Linotype" w:hAnsi="Palatino Linotype" w:cs="Times New Roman"/>
          <w:bCs/>
          <w:sz w:val="21"/>
          <w:szCs w:val="21"/>
        </w:rPr>
        <w:t xml:space="preserve"> başvurusunda temel hak ihlali tespiti yapmıştır.</w:t>
      </w:r>
    </w:p>
    <w:p w14:paraId="7C1F5FA2" w14:textId="140FC0A1" w:rsidR="00F83122" w:rsidRPr="00693DB3" w:rsidRDefault="009C3F9F" w:rsidP="008A5BF2">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s="Times New Roman"/>
          <w:bCs/>
          <w:sz w:val="21"/>
          <w:szCs w:val="21"/>
        </w:rPr>
        <w:t>AİHM kararları CMK 311/1-f gereği yargılamanın yenilenmesine konu olduğu gibi, bu durum, aynı zamanda Anayasa Mahkemesi’nin İbrahim Er ve Diğerleri kararında</w:t>
      </w:r>
      <w:r w:rsidR="00D4338F" w:rsidRPr="00693DB3">
        <w:rPr>
          <w:rFonts w:ascii="Palatino Linotype" w:hAnsi="Palatino Linotype" w:cs="Times New Roman"/>
          <w:bCs/>
          <w:sz w:val="21"/>
          <w:szCs w:val="21"/>
        </w:rPr>
        <w:t>,</w:t>
      </w:r>
      <w:r w:rsidRPr="00693DB3">
        <w:rPr>
          <w:rFonts w:ascii="Palatino Linotype" w:hAnsi="Palatino Linotype" w:cs="Times New Roman"/>
          <w:bCs/>
          <w:sz w:val="21"/>
          <w:szCs w:val="21"/>
        </w:rPr>
        <w:t xml:space="preserve"> yine bir terör örgütü üyeliği ve yargılamanın yenilenmesi bağlamında</w:t>
      </w:r>
      <w:r w:rsidR="00D4338F" w:rsidRPr="00693DB3">
        <w:rPr>
          <w:rFonts w:ascii="Palatino Linotype" w:hAnsi="Palatino Linotype" w:cs="Times New Roman"/>
          <w:bCs/>
          <w:sz w:val="21"/>
          <w:szCs w:val="21"/>
        </w:rPr>
        <w:t>,</w:t>
      </w:r>
      <w:r w:rsidRPr="00693DB3">
        <w:rPr>
          <w:rFonts w:ascii="Palatino Linotype" w:hAnsi="Palatino Linotype" w:cs="Times New Roman"/>
          <w:bCs/>
          <w:sz w:val="21"/>
          <w:szCs w:val="21"/>
        </w:rPr>
        <w:t xml:space="preserve"> ortaya konulduğu gibi </w:t>
      </w:r>
      <w:r w:rsidRPr="00693DB3">
        <w:rPr>
          <w:rFonts w:ascii="Palatino Linotype" w:hAnsi="Palatino Linotype" w:cs="Times New Roman"/>
          <w:bCs/>
          <w:i/>
          <w:iCs/>
          <w:sz w:val="21"/>
          <w:szCs w:val="21"/>
        </w:rPr>
        <w:t>“yeni bir olay”</w:t>
      </w:r>
      <w:r w:rsidRPr="00693DB3">
        <w:rPr>
          <w:rFonts w:ascii="Palatino Linotype" w:hAnsi="Palatino Linotype" w:cs="Times New Roman"/>
          <w:bCs/>
          <w:sz w:val="21"/>
          <w:szCs w:val="21"/>
        </w:rPr>
        <w:t xml:space="preserve"> olduğundan, CMK 311/1-e kapsamında da hukuki dayanağa sahiptir.</w:t>
      </w:r>
    </w:p>
    <w:p w14:paraId="1778DEE0" w14:textId="77777777" w:rsidR="00693DB3" w:rsidRDefault="009F089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s="Times New Roman"/>
          <w:bCs/>
          <w:sz w:val="21"/>
          <w:szCs w:val="21"/>
          <w:highlight w:val="yellow"/>
        </w:rPr>
        <w:t>D</w:t>
      </w:r>
      <w:r w:rsidR="00D4338F" w:rsidRPr="00693DB3">
        <w:rPr>
          <w:rFonts w:ascii="Palatino Linotype" w:hAnsi="Palatino Linotype" w:cs="Times New Roman"/>
          <w:bCs/>
          <w:sz w:val="21"/>
          <w:szCs w:val="21"/>
          <w:highlight w:val="yellow"/>
        </w:rPr>
        <w:t>urumu</w:t>
      </w:r>
      <w:r w:rsidRPr="00693DB3">
        <w:rPr>
          <w:rFonts w:ascii="Palatino Linotype" w:hAnsi="Palatino Linotype" w:cs="Times New Roman"/>
          <w:bCs/>
          <w:sz w:val="21"/>
          <w:szCs w:val="21"/>
          <w:highlight w:val="yellow"/>
        </w:rPr>
        <w:t>m</w:t>
      </w:r>
      <w:r w:rsidR="008B6FFF" w:rsidRPr="00693DB3">
        <w:rPr>
          <w:rFonts w:ascii="Palatino Linotype" w:hAnsi="Palatino Linotype" w:cs="Times New Roman"/>
          <w:bCs/>
          <w:sz w:val="21"/>
          <w:szCs w:val="21"/>
          <w:highlight w:val="yellow"/>
        </w:rPr>
        <w:t>/eşimin/vasisi olduğum …’in durumu</w:t>
      </w:r>
      <w:r w:rsidRPr="00693DB3">
        <w:rPr>
          <w:rFonts w:ascii="Palatino Linotype" w:hAnsi="Palatino Linotype" w:cs="Times New Roman"/>
          <w:bCs/>
          <w:sz w:val="21"/>
          <w:szCs w:val="21"/>
        </w:rPr>
        <w:t>,</w:t>
      </w:r>
      <w:r w:rsidR="00D4338F" w:rsidRPr="00693DB3">
        <w:rPr>
          <w:rFonts w:ascii="Palatino Linotype" w:hAnsi="Palatino Linotype" w:cs="Times New Roman"/>
          <w:bCs/>
          <w:sz w:val="21"/>
          <w:szCs w:val="21"/>
        </w:rPr>
        <w:t xml:space="preserve"> AİHM kararına konu olan suçlama ile yüzde yüz örtüşmektedir. </w:t>
      </w:r>
      <w:r w:rsidRPr="00693DB3">
        <w:rPr>
          <w:rFonts w:ascii="Palatino Linotype" w:hAnsi="Palatino Linotype" w:cs="Times New Roman"/>
          <w:bCs/>
          <w:sz w:val="21"/>
          <w:szCs w:val="21"/>
          <w:highlight w:val="yellow"/>
        </w:rPr>
        <w:t>Ben de</w:t>
      </w:r>
      <w:r w:rsidR="008B6FFF" w:rsidRPr="00693DB3">
        <w:rPr>
          <w:rFonts w:ascii="Palatino Linotype" w:hAnsi="Palatino Linotype" w:cs="Times New Roman"/>
          <w:bCs/>
          <w:sz w:val="21"/>
          <w:szCs w:val="21"/>
          <w:highlight w:val="yellow"/>
        </w:rPr>
        <w:t>/eşim/vasisi olduğum</w:t>
      </w:r>
      <w:proofErr w:type="gramStart"/>
      <w:r w:rsidR="008B6FFF" w:rsidRPr="00693DB3">
        <w:rPr>
          <w:rFonts w:ascii="Palatino Linotype" w:hAnsi="Palatino Linotype" w:cs="Times New Roman"/>
          <w:bCs/>
          <w:sz w:val="21"/>
          <w:szCs w:val="21"/>
          <w:highlight w:val="yellow"/>
        </w:rPr>
        <w:t xml:space="preserve"> ….</w:t>
      </w:r>
      <w:proofErr w:type="gramEnd"/>
      <w:r w:rsidR="00D4338F" w:rsidRPr="00693DB3">
        <w:rPr>
          <w:rFonts w:ascii="Palatino Linotype" w:hAnsi="Palatino Linotype" w:cs="Times New Roman"/>
          <w:bCs/>
          <w:sz w:val="21"/>
          <w:szCs w:val="21"/>
          <w:highlight w:val="yellow"/>
        </w:rPr>
        <w:t>,</w:t>
      </w:r>
      <w:r w:rsidR="00D4338F" w:rsidRPr="00693DB3">
        <w:rPr>
          <w:rFonts w:ascii="Palatino Linotype" w:hAnsi="Palatino Linotype" w:cs="Times New Roman"/>
          <w:bCs/>
          <w:sz w:val="21"/>
          <w:szCs w:val="21"/>
        </w:rPr>
        <w:t xml:space="preserve"> AİHM’in kastettiği sistemik sorunun bir </w:t>
      </w:r>
      <w:r w:rsidR="00D4338F" w:rsidRPr="00693DB3">
        <w:rPr>
          <w:rFonts w:ascii="Palatino Linotype" w:hAnsi="Palatino Linotype" w:cs="Times New Roman"/>
          <w:bCs/>
          <w:sz w:val="21"/>
          <w:szCs w:val="21"/>
          <w:highlight w:val="yellow"/>
        </w:rPr>
        <w:t>parçası</w:t>
      </w:r>
      <w:r w:rsidRPr="00693DB3">
        <w:rPr>
          <w:rFonts w:ascii="Palatino Linotype" w:hAnsi="Palatino Linotype" w:cs="Times New Roman"/>
          <w:bCs/>
          <w:sz w:val="21"/>
          <w:szCs w:val="21"/>
          <w:highlight w:val="yellow"/>
        </w:rPr>
        <w:t>yım</w:t>
      </w:r>
      <w:r w:rsidR="008B6FFF" w:rsidRPr="00693DB3">
        <w:rPr>
          <w:rFonts w:ascii="Palatino Linotype" w:hAnsi="Palatino Linotype" w:cs="Times New Roman"/>
          <w:bCs/>
          <w:sz w:val="21"/>
          <w:szCs w:val="21"/>
          <w:highlight w:val="yellow"/>
        </w:rPr>
        <w:t>/parçasıdır</w:t>
      </w:r>
      <w:r w:rsidR="00D4338F" w:rsidRPr="00693DB3">
        <w:rPr>
          <w:rFonts w:ascii="Palatino Linotype" w:hAnsi="Palatino Linotype" w:cs="Times New Roman"/>
          <w:bCs/>
          <w:sz w:val="21"/>
          <w:szCs w:val="21"/>
        </w:rPr>
        <w:t xml:space="preserve">. AİHM, verdiği kararının benzer dosyalara, kesinleşen kararlara da uygulanmasını ve yargılamalarının yenilenmesini istemiştir. </w:t>
      </w:r>
      <w:r w:rsidR="00CD76E1" w:rsidRPr="00693DB3">
        <w:rPr>
          <w:rFonts w:ascii="Palatino Linotype" w:hAnsi="Palatino Linotype" w:cs="Times New Roman"/>
          <w:bCs/>
          <w:sz w:val="21"/>
          <w:szCs w:val="21"/>
        </w:rPr>
        <w:t>Bu nedenle mahkemenin</w:t>
      </w:r>
      <w:r w:rsidRPr="00693DB3">
        <w:rPr>
          <w:rFonts w:ascii="Palatino Linotype" w:hAnsi="Palatino Linotype" w:cs="Times New Roman"/>
          <w:bCs/>
          <w:sz w:val="21"/>
          <w:szCs w:val="21"/>
        </w:rPr>
        <w:t xml:space="preserve"> </w:t>
      </w:r>
      <w:r w:rsidR="00CD76E1" w:rsidRPr="00693DB3">
        <w:rPr>
          <w:rFonts w:ascii="Palatino Linotype" w:hAnsi="Palatino Linotype" w:cs="Times New Roman"/>
          <w:bCs/>
          <w:sz w:val="21"/>
          <w:szCs w:val="21"/>
          <w:highlight w:val="yellow"/>
        </w:rPr>
        <w:t>hakkı</w:t>
      </w:r>
      <w:r w:rsidRPr="00693DB3">
        <w:rPr>
          <w:rFonts w:ascii="Palatino Linotype" w:hAnsi="Palatino Linotype" w:cs="Times New Roman"/>
          <w:bCs/>
          <w:sz w:val="21"/>
          <w:szCs w:val="21"/>
          <w:highlight w:val="yellow"/>
        </w:rPr>
        <w:t>m</w:t>
      </w:r>
      <w:r w:rsidR="00CD76E1" w:rsidRPr="00693DB3">
        <w:rPr>
          <w:rFonts w:ascii="Palatino Linotype" w:hAnsi="Palatino Linotype" w:cs="Times New Roman"/>
          <w:bCs/>
          <w:sz w:val="21"/>
          <w:szCs w:val="21"/>
          <w:highlight w:val="yellow"/>
        </w:rPr>
        <w:t>da</w:t>
      </w:r>
      <w:r w:rsidR="008B6FFF" w:rsidRPr="00693DB3">
        <w:rPr>
          <w:rFonts w:ascii="Palatino Linotype" w:hAnsi="Palatino Linotype" w:cs="Times New Roman"/>
          <w:bCs/>
          <w:sz w:val="21"/>
          <w:szCs w:val="21"/>
          <w:highlight w:val="yellow"/>
        </w:rPr>
        <w:t>/hakkında</w:t>
      </w:r>
      <w:r w:rsidR="00CD76E1" w:rsidRPr="00693DB3">
        <w:rPr>
          <w:rFonts w:ascii="Palatino Linotype" w:hAnsi="Palatino Linotype" w:cs="Times New Roman"/>
          <w:bCs/>
          <w:sz w:val="21"/>
          <w:szCs w:val="21"/>
        </w:rPr>
        <w:t xml:space="preserve"> yeniden yargılama yapması Anayasanın ve Sözleşme hukukunun üstünlüğünün gereğidir.</w:t>
      </w:r>
      <w:r w:rsidR="00D4338F" w:rsidRPr="00693DB3">
        <w:rPr>
          <w:rFonts w:ascii="Palatino Linotype" w:hAnsi="Palatino Linotype" w:cs="Times New Roman"/>
          <w:bCs/>
          <w:sz w:val="21"/>
          <w:szCs w:val="21"/>
        </w:rPr>
        <w:t xml:space="preserve"> </w:t>
      </w:r>
    </w:p>
    <w:p w14:paraId="3496C42A" w14:textId="1D35CF9D" w:rsidR="00693DB3" w:rsidRPr="003E353F" w:rsidRDefault="00C61BA4" w:rsidP="003E353F">
      <w:pPr>
        <w:tabs>
          <w:tab w:val="left" w:pos="3870"/>
        </w:tabs>
        <w:spacing w:line="360" w:lineRule="auto"/>
        <w:ind w:left="270" w:right="-378"/>
        <w:jc w:val="both"/>
        <w:rPr>
          <w:rFonts w:ascii="Palatino Linotype" w:hAnsi="Palatino Linotype" w:cs="Times New Roman"/>
          <w:bCs/>
          <w:sz w:val="21"/>
          <w:szCs w:val="21"/>
        </w:rPr>
      </w:pPr>
      <w:r w:rsidRPr="003E353F">
        <w:rPr>
          <w:rFonts w:ascii="Palatino Linotype" w:hAnsi="Palatino Linotype" w:cs="Times New Roman"/>
          <w:b/>
          <w:sz w:val="21"/>
          <w:szCs w:val="21"/>
          <w:lang w:val="tr"/>
        </w:rPr>
        <w:t xml:space="preserve">A- </w:t>
      </w:r>
      <w:r w:rsidR="008A5BF2" w:rsidRPr="003E353F">
        <w:rPr>
          <w:rFonts w:ascii="Palatino Linotype" w:hAnsi="Palatino Linotype" w:cs="Times New Roman"/>
          <w:b/>
          <w:sz w:val="21"/>
          <w:szCs w:val="21"/>
          <w:lang w:val="tr"/>
        </w:rPr>
        <w:t xml:space="preserve">AİHM’in </w:t>
      </w:r>
      <w:r w:rsidR="003E353F" w:rsidRPr="003E353F">
        <w:rPr>
          <w:rFonts w:ascii="Palatino Linotype" w:hAnsi="Palatino Linotype" w:cs="Times New Roman"/>
          <w:b/>
          <w:sz w:val="21"/>
          <w:szCs w:val="21"/>
          <w:lang w:val="tr"/>
        </w:rPr>
        <w:t>Yasak</w:t>
      </w:r>
      <w:r w:rsidR="008A5BF2" w:rsidRPr="003E353F">
        <w:rPr>
          <w:rFonts w:ascii="Palatino Linotype" w:hAnsi="Palatino Linotype" w:cs="Times New Roman"/>
          <w:b/>
          <w:sz w:val="21"/>
          <w:szCs w:val="21"/>
          <w:lang w:val="tr"/>
        </w:rPr>
        <w:t xml:space="preserve"> / Türkiye Davasının </w:t>
      </w:r>
      <w:r w:rsidRPr="003E353F">
        <w:rPr>
          <w:rFonts w:ascii="Palatino Linotype" w:hAnsi="Palatino Linotype" w:cs="Times New Roman"/>
          <w:b/>
          <w:sz w:val="21"/>
          <w:szCs w:val="21"/>
          <w:lang w:val="tr"/>
        </w:rPr>
        <w:t xml:space="preserve">Süreci </w:t>
      </w:r>
      <w:r w:rsidR="008A5BF2" w:rsidRPr="003E353F">
        <w:rPr>
          <w:rFonts w:ascii="Palatino Linotype" w:hAnsi="Palatino Linotype" w:cs="Times New Roman"/>
          <w:i/>
          <w:sz w:val="21"/>
          <w:szCs w:val="21"/>
          <w:lang w:val="tr"/>
        </w:rPr>
        <w:t xml:space="preserve">(Büyük </w:t>
      </w:r>
      <w:proofErr w:type="gramStart"/>
      <w:r w:rsidR="008A5BF2" w:rsidRPr="003E353F">
        <w:rPr>
          <w:rFonts w:ascii="Palatino Linotype" w:hAnsi="Palatino Linotype" w:cs="Times New Roman"/>
          <w:i/>
          <w:sz w:val="21"/>
          <w:szCs w:val="21"/>
          <w:lang w:val="tr"/>
        </w:rPr>
        <w:t>Daire -</w:t>
      </w:r>
      <w:proofErr w:type="gramEnd"/>
      <w:r w:rsidR="008A5BF2" w:rsidRPr="003E353F">
        <w:rPr>
          <w:rFonts w:ascii="Palatino Linotype" w:hAnsi="Palatino Linotype" w:cs="Times New Roman"/>
          <w:i/>
          <w:sz w:val="21"/>
          <w:szCs w:val="21"/>
          <w:lang w:val="tr"/>
        </w:rPr>
        <w:t xml:space="preserve"> Başvuru No.</w:t>
      </w:r>
      <w:r w:rsidR="003E353F" w:rsidRPr="003E353F">
        <w:rPr>
          <w:rFonts w:ascii="Palatino Linotype" w:hAnsi="Palatino Linotype" w:cs="Times New Roman"/>
          <w:i/>
          <w:sz w:val="21"/>
          <w:szCs w:val="21"/>
          <w:lang w:val="tr"/>
        </w:rPr>
        <w:t>17389/20</w:t>
      </w:r>
      <w:r w:rsidR="008A5BF2" w:rsidRPr="003E353F">
        <w:rPr>
          <w:rFonts w:ascii="Palatino Linotype" w:hAnsi="Palatino Linotype" w:cs="Times New Roman"/>
          <w:i/>
          <w:sz w:val="21"/>
          <w:szCs w:val="21"/>
          <w:lang w:val="tr"/>
        </w:rPr>
        <w:t xml:space="preserve">; </w:t>
      </w:r>
      <w:r w:rsidR="003E353F" w:rsidRPr="003E353F">
        <w:rPr>
          <w:rFonts w:ascii="Palatino Linotype" w:hAnsi="Palatino Linotype" w:cs="Times New Roman"/>
          <w:i/>
          <w:sz w:val="21"/>
          <w:szCs w:val="21"/>
          <w:lang w:val="tr"/>
        </w:rPr>
        <w:t>5 Eylül 2026</w:t>
      </w:r>
      <w:r w:rsidR="008A5BF2" w:rsidRPr="003E353F">
        <w:rPr>
          <w:rFonts w:ascii="Palatino Linotype" w:hAnsi="Palatino Linotype" w:cs="Times New Roman"/>
          <w:i/>
          <w:sz w:val="21"/>
          <w:szCs w:val="21"/>
          <w:lang w:val="tr"/>
        </w:rPr>
        <w:t>)</w:t>
      </w:r>
    </w:p>
    <w:p w14:paraId="5B8CA148" w14:textId="52865E8C"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C65CE9">
        <w:rPr>
          <w:rFonts w:ascii="Palatino Linotype" w:hAnsi="Palatino Linotype"/>
          <w:color w:val="000000"/>
          <w:sz w:val="21"/>
          <w:szCs w:val="21"/>
          <w:highlight w:val="yellow"/>
        </w:rPr>
        <w:t>Müvekkil hakkında</w:t>
      </w:r>
      <w:r w:rsidR="00C65CE9" w:rsidRPr="00C65CE9">
        <w:rPr>
          <w:rFonts w:ascii="Palatino Linotype" w:hAnsi="Palatino Linotype"/>
          <w:color w:val="000000"/>
          <w:sz w:val="21"/>
          <w:szCs w:val="21"/>
          <w:highlight w:val="yellow"/>
        </w:rPr>
        <w:t>/hakkımda</w:t>
      </w:r>
      <w:r w:rsidRPr="00693DB3">
        <w:rPr>
          <w:rFonts w:ascii="Palatino Linotype" w:hAnsi="Palatino Linotype"/>
          <w:color w:val="000000"/>
          <w:sz w:val="21"/>
          <w:szCs w:val="21"/>
        </w:rPr>
        <w:t xml:space="preserve"> "silahlı terör örgütü üyeliği" (TCK </w:t>
      </w:r>
      <w:proofErr w:type="spellStart"/>
      <w:r w:rsidRPr="00693DB3">
        <w:rPr>
          <w:rFonts w:ascii="Palatino Linotype" w:hAnsi="Palatino Linotype"/>
          <w:color w:val="000000"/>
          <w:sz w:val="21"/>
          <w:szCs w:val="21"/>
        </w:rPr>
        <w:t>md.</w:t>
      </w:r>
      <w:proofErr w:type="spellEnd"/>
      <w:r w:rsidRPr="00693DB3">
        <w:rPr>
          <w:rFonts w:ascii="Palatino Linotype" w:hAnsi="Palatino Linotype"/>
          <w:color w:val="000000"/>
          <w:sz w:val="21"/>
          <w:szCs w:val="21"/>
        </w:rPr>
        <w:t xml:space="preserve"> 314/2) suçlamasıyla </w:t>
      </w:r>
      <w:r w:rsidR="00C65CE9">
        <w:rPr>
          <w:rFonts w:ascii="Palatino Linotype" w:hAnsi="Palatino Linotype"/>
          <w:color w:val="000000"/>
          <w:sz w:val="21"/>
          <w:szCs w:val="21"/>
        </w:rPr>
        <w:t>verilen mahkumiyete gerekçe yapılan hususlar</w:t>
      </w:r>
      <w:r w:rsidRPr="00693DB3">
        <w:rPr>
          <w:rFonts w:ascii="Palatino Linotype" w:hAnsi="Palatino Linotype"/>
          <w:color w:val="000000"/>
          <w:sz w:val="21"/>
          <w:szCs w:val="21"/>
        </w:rPr>
        <w:t>, esasen 15 Temmuz 2016 tarihi öncesinde gerçekleştirildiği iddia edilen ve o dönem itibarıyla tamamen yasal olan veya yasal bir görünüm arz eden, devletin denetimi altındaki rutin faaliyetlere dayanmaktadır. AİHM Büyük Dairesi'nin 5 Mayıs 2026 tarihinde verdiği</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 v. Türkiye</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 bu nitelikteki dosyalarda cezai sorumluluğun tespiti için gerekli olan "manevi unsur" (</w:t>
      </w:r>
      <w:proofErr w:type="spellStart"/>
      <w:r w:rsidRPr="00693DB3">
        <w:rPr>
          <w:rFonts w:ascii="Palatino Linotype" w:hAnsi="Palatino Linotype"/>
          <w:color w:val="000000"/>
          <w:sz w:val="21"/>
          <w:szCs w:val="21"/>
        </w:rPr>
        <w:t>mens</w:t>
      </w:r>
      <w:proofErr w:type="spellEnd"/>
      <w:r w:rsidRPr="00693DB3">
        <w:rPr>
          <w:rFonts w:ascii="Palatino Linotype" w:hAnsi="Palatino Linotype"/>
          <w:color w:val="000000"/>
          <w:sz w:val="21"/>
          <w:szCs w:val="21"/>
        </w:rPr>
        <w:t xml:space="preserve"> </w:t>
      </w:r>
      <w:proofErr w:type="spellStart"/>
      <w:r w:rsidRPr="00693DB3">
        <w:rPr>
          <w:rFonts w:ascii="Palatino Linotype" w:hAnsi="Palatino Linotype"/>
          <w:color w:val="000000"/>
          <w:sz w:val="21"/>
          <w:szCs w:val="21"/>
        </w:rPr>
        <w:t>rea</w:t>
      </w:r>
      <w:proofErr w:type="spellEnd"/>
      <w:r w:rsidRPr="00693DB3">
        <w:rPr>
          <w:rFonts w:ascii="Palatino Linotype" w:hAnsi="Palatino Linotype"/>
          <w:color w:val="000000"/>
          <w:sz w:val="21"/>
          <w:szCs w:val="21"/>
        </w:rPr>
        <w:t xml:space="preserve">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Sayın Mahkemenizce</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yürütülen</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kovuşturmada,</w:t>
      </w:r>
      <w:r w:rsidRPr="00693DB3">
        <w:rPr>
          <w:rFonts w:ascii="-webkit-standard" w:hAnsi="-webkit-standard"/>
          <w:color w:val="000000"/>
          <w:sz w:val="21"/>
          <w:szCs w:val="21"/>
        </w:rPr>
        <w:t xml:space="preserve"> </w:t>
      </w:r>
      <w:r w:rsidRPr="00693DB3">
        <w:rPr>
          <w:rFonts w:ascii="Palatino Linotype" w:hAnsi="Palatino Linotype"/>
          <w:color w:val="000000"/>
          <w:sz w:val="21"/>
          <w:szCs w:val="21"/>
        </w:rPr>
        <w:t>atılı suçun maddi ve manevi unsurlarının oluşmadığı, bilhassa bu emsal karar ışığında tartışmasız biçimde ortaya çıkmıştır.</w:t>
      </w:r>
    </w:p>
    <w:p w14:paraId="43746D45" w14:textId="1414A7F3"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AİHM Büyük Dairesi,</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w:t>
      </w:r>
      <w:r w:rsidRPr="00693DB3">
        <w:rPr>
          <w:rStyle w:val="apple-converted-space"/>
          <w:rFonts w:ascii="Palatino Linotype" w:eastAsiaTheme="majorEastAsia" w:hAnsi="Palatino Linotype"/>
          <w:color w:val="000000"/>
          <w:sz w:val="21"/>
          <w:szCs w:val="21"/>
        </w:rPr>
        <w:t> </w:t>
      </w:r>
      <w:r w:rsidR="003E353F" w:rsidRPr="00693DB3">
        <w:rPr>
          <w:rFonts w:ascii="Palatino Linotype" w:hAnsi="Palatino Linotype"/>
          <w:color w:val="000000"/>
          <w:sz w:val="21"/>
          <w:szCs w:val="21"/>
        </w:rPr>
        <w:t>kararında</w:t>
      </w:r>
      <w:r w:rsidRPr="00693DB3">
        <w:rPr>
          <w:rFonts w:ascii="Palatino Linotype" w:hAnsi="Palatino Linotype"/>
          <w:color w:val="000000"/>
          <w:sz w:val="21"/>
          <w:szCs w:val="21"/>
        </w:rPr>
        <w:t xml:space="preserve"> hem maddi hem de manevi unsurların somut bir biçimde incelenmeksizin ihlal kararı verilen</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Yalçınkaya</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kararından farklı ve daha spesifik bir inceleme yapmıştır.</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Yalçınkaya</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kararında salt ByLock kullanımından otomatik mahkûmiyet verilmesi ihlal sebebi sayılmışken,</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dosyasında çok daha geniş bir delil yelpazesi temelinde aynı suçtan mahkûmiyet kurulmuş olmasına rağmen, konunun yine</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Yalçınkaya</w:t>
      </w:r>
      <w:r w:rsidRPr="00693DB3">
        <w:rPr>
          <w:rFonts w:ascii="Palatino Linotype" w:hAnsi="Palatino Linotype"/>
          <w:color w:val="000000"/>
          <w:sz w:val="21"/>
          <w:szCs w:val="21"/>
        </w:rPr>
        <w:t xml:space="preserve">’daki aynı yapısal sorunu gündeme getirdiği belirtilmiştir (§§ 201-202). AİHM, bu kararda ulusal mahkemelerin suçun maddi ve manevi unsurlarını bireyselleştirme yaparak ortaya koyup koymadıklarını inceleyeceğini </w:t>
      </w:r>
      <w:r w:rsidRPr="00693DB3">
        <w:rPr>
          <w:rFonts w:ascii="Palatino Linotype" w:hAnsi="Palatino Linotype"/>
          <w:color w:val="000000"/>
          <w:sz w:val="21"/>
          <w:szCs w:val="21"/>
        </w:rPr>
        <w:lastRenderedPageBreak/>
        <w:t>belirtmiş ve devamında manevi unsur (kasıt) yokluğu bakımından çok kapsamlı bir değerlendirme yaparak ihlal olduğu sonucuna varmıştır (§§ 200-201). Bu durum, eylemleri ne denli çeşitli olursa olsun, kastın yokluğu halinde suçun oluşmayacağının en net göstergesidir.</w:t>
      </w:r>
    </w:p>
    <w:p w14:paraId="422FDF84"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Mahkeme, söz konusu kararda eylemlerin zamansal yönü (15 Temmuz öncesi olması) ve türü (örneğin eğitim alanında veya yasal zeminde olması) bakımından manevi unsurun titizlikle değerlendirilmesini özellikle önemsemiş ve bu unsurun değerlendirmesinin somut delillerle yapılmamış olmasını doğrudan 7. maddenin ihlaline dayanak yapmıştır. Kararda 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14:paraId="1BAE967A" w14:textId="701869DA"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Kararda bilhassa vurgulanan bir diğer </w:t>
      </w:r>
      <w:r w:rsidR="00C65CE9">
        <w:rPr>
          <w:rFonts w:ascii="Palatino Linotype" w:hAnsi="Palatino Linotype"/>
          <w:color w:val="000000"/>
          <w:sz w:val="21"/>
          <w:szCs w:val="21"/>
        </w:rPr>
        <w:t xml:space="preserve">önemli </w:t>
      </w:r>
      <w:r w:rsidRPr="00693DB3">
        <w:rPr>
          <w:rFonts w:ascii="Palatino Linotype" w:hAnsi="Palatino Linotype"/>
          <w:color w:val="000000"/>
          <w:sz w:val="21"/>
          <w:szCs w:val="21"/>
        </w:rPr>
        <w:t xml:space="preserve">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w:t>
      </w:r>
      <w:proofErr w:type="gramStart"/>
      <w:r w:rsidRPr="00693DB3">
        <w:rPr>
          <w:rFonts w:ascii="Palatino Linotype" w:hAnsi="Palatino Linotype"/>
          <w:color w:val="000000"/>
          <w:sz w:val="21"/>
          <w:szCs w:val="21"/>
        </w:rPr>
        <w:t>yegane</w:t>
      </w:r>
      <w:proofErr w:type="gramEnd"/>
      <w:r w:rsidRPr="00693DB3">
        <w:rPr>
          <w:rFonts w:ascii="Palatino Linotype" w:hAnsi="Palatino Linotype"/>
          <w:color w:val="000000"/>
          <w:sz w:val="21"/>
          <w:szCs w:val="21"/>
        </w:rPr>
        <w:t xml:space="preserve"> husus budur (§ 203). Yani Mahkeme, salt yapı üyeliğinin değil, ancak amaçları ve şiddet içeren yöntemlerinden haberdar olunduğu kanıtlanabilen kişilerin terör örgütü üyesi olarak cezalandırılabileceğini belirtmektedir.</w:t>
      </w:r>
    </w:p>
    <w:p w14:paraId="4F50CFBD"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14:paraId="7FEF9571" w14:textId="20E200FA"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lastRenderedPageBreak/>
        <w:t xml:space="preserve">Büyük Daire, kararında çok önemli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w:t>
      </w:r>
      <w:r w:rsidR="00C65CE9">
        <w:rPr>
          <w:rFonts w:ascii="Palatino Linotype" w:hAnsi="Palatino Linotype"/>
          <w:color w:val="000000"/>
          <w:sz w:val="21"/>
          <w:szCs w:val="21"/>
        </w:rPr>
        <w:t>2016</w:t>
      </w:r>
      <w:r w:rsidRPr="00693DB3">
        <w:rPr>
          <w:rFonts w:ascii="Palatino Linotype" w:hAnsi="Palatino Linotype"/>
          <w:color w:val="000000"/>
          <w:sz w:val="21"/>
          <w:szCs w:val="21"/>
        </w:rPr>
        <w:t xml:space="preserve">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14:paraId="440D4F64" w14:textId="41600943"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Mahkeme, kişilerin 17/25 Aralık sürecinden sonra da bağlarını sürdürmesini ulusal mahkemelerin bir faktör olarak ele almasını ikincillik ilkesi gereği ulusal takdir marjında görse </w:t>
      </w:r>
      <w:proofErr w:type="gramStart"/>
      <w:r w:rsidRPr="00693DB3">
        <w:rPr>
          <w:rFonts w:ascii="Palatino Linotype" w:hAnsi="Palatino Linotype"/>
          <w:color w:val="000000"/>
          <w:sz w:val="21"/>
          <w:szCs w:val="21"/>
        </w:rPr>
        <w:t>de,</w:t>
      </w:r>
      <w:proofErr w:type="gramEnd"/>
      <w:r w:rsidRPr="00693DB3">
        <w:rPr>
          <w:rFonts w:ascii="Palatino Linotype" w:hAnsi="Palatino Linotype"/>
          <w:color w:val="000000"/>
          <w:sz w:val="21"/>
          <w:szCs w:val="21"/>
        </w:rPr>
        <w:t xml:space="preserv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w:t>
      </w:r>
      <w:proofErr w:type="spellStart"/>
      <w:r w:rsidR="00C65CE9">
        <w:rPr>
          <w:rFonts w:ascii="Palatino Linotype" w:hAnsi="Palatino Linotype"/>
          <w:color w:val="000000"/>
          <w:sz w:val="21"/>
          <w:szCs w:val="21"/>
        </w:rPr>
        <w:t>AİHS’e</w:t>
      </w:r>
      <w:proofErr w:type="spellEnd"/>
      <w:r w:rsidRPr="00693DB3">
        <w:rPr>
          <w:rFonts w:ascii="Palatino Linotype" w:hAnsi="Palatino Linotype"/>
          <w:color w:val="000000"/>
          <w:sz w:val="21"/>
          <w:szCs w:val="21"/>
        </w:rPr>
        <w:t xml:space="preserve"> açıkça aykırıdır.</w:t>
      </w:r>
    </w:p>
    <w:p w14:paraId="7A036747" w14:textId="480F74FD"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Mahkeme, suç veya terör örgütlerine üyelikle ilgili davalarda kişinin belirli bir süre devam eden davranışlarının bir bütün olarak değerlendirilip kasıt çıkarımı yapılmasını teorik olarak kabul edilebilir bulsa </w:t>
      </w:r>
      <w:r w:rsidR="00C65CE9" w:rsidRPr="00693DB3">
        <w:rPr>
          <w:rFonts w:ascii="Palatino Linotype" w:hAnsi="Palatino Linotype"/>
          <w:color w:val="000000"/>
          <w:sz w:val="21"/>
          <w:szCs w:val="21"/>
        </w:rPr>
        <w:t>da</w:t>
      </w:r>
      <w:r w:rsidRPr="00693DB3">
        <w:rPr>
          <w:rFonts w:ascii="Palatino Linotype" w:hAnsi="Palatino Linotype"/>
          <w:color w:val="000000"/>
          <w:sz w:val="21"/>
          <w:szCs w:val="21"/>
        </w:rPr>
        <w:t xml:space="preserve">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14:paraId="3F5163AD"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14:paraId="1D047652" w14:textId="02157FFC"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lastRenderedPageBreak/>
        <w:t>AİHM, yargılama makamlarının "kişinin bir görev üstlendiği veya şiddet kullanımını öngörebilecek durumda olduğu" şeklindeki niyet okuyucu yaklaşımını açıkça ve kesin bir dille reddetmiştir. Mahkeme burada çok temel bir ilke ortaya koym</w:t>
      </w:r>
      <w:r w:rsidR="00C65CE9">
        <w:rPr>
          <w:rFonts w:ascii="Palatino Linotype" w:hAnsi="Palatino Linotype"/>
          <w:color w:val="000000"/>
          <w:sz w:val="21"/>
          <w:szCs w:val="21"/>
        </w:rPr>
        <w:t>uştur</w:t>
      </w:r>
      <w:r w:rsidRPr="00693DB3">
        <w:rPr>
          <w:rFonts w:ascii="Palatino Linotype" w:hAnsi="Palatino Linotype"/>
          <w:color w:val="000000"/>
          <w:sz w:val="21"/>
          <w:szCs w:val="21"/>
        </w:rPr>
        <w:t xml:space="preserve">: </w:t>
      </w:r>
      <w:r w:rsidRPr="00C65CE9">
        <w:rPr>
          <w:rFonts w:ascii="Palatino Linotype" w:hAnsi="Palatino Linotype"/>
          <w:b/>
          <w:bCs/>
          <w:color w:val="000000"/>
          <w:sz w:val="21"/>
          <w:szCs w:val="21"/>
        </w:rPr>
        <w:t>Ulusal mahkemelerin, kişinin örgütün merkezi veya stratejik bileşenleri arasında fiili bir bağlantısı olduğunu ileri sürmeleri veya ortaya koymaları dahi cezalandırma için yeterli değildir.</w:t>
      </w:r>
      <w:r w:rsidRPr="00693DB3">
        <w:rPr>
          <w:rFonts w:ascii="Palatino Linotype" w:hAnsi="Palatino Linotype"/>
          <w:color w:val="000000"/>
          <w:sz w:val="21"/>
          <w:szCs w:val="21"/>
        </w:rPr>
        <w:t xml:space="preserve"> Aynı zamanda bu bağlantının niteliğini ortaya koymalı; </w:t>
      </w:r>
      <w:r w:rsidRPr="00C65CE9">
        <w:rPr>
          <w:rFonts w:ascii="Palatino Linotype" w:hAnsi="Palatino Linotype"/>
          <w:b/>
          <w:bCs/>
          <w:color w:val="000000"/>
          <w:sz w:val="21"/>
          <w:szCs w:val="21"/>
        </w:rPr>
        <w:t>tespit edilen bu niteliğin ise kişinin kasta sahip olduğunun (şiddet amacını bildiğinin ve benimsediğ</w:t>
      </w:r>
      <w:r w:rsidRPr="00693DB3">
        <w:rPr>
          <w:rFonts w:ascii="Palatino Linotype" w:hAnsi="Palatino Linotype"/>
          <w:color w:val="000000"/>
          <w:sz w:val="21"/>
          <w:szCs w:val="21"/>
        </w:rPr>
        <w:t>inin) meşru bir biçimde çıkarılmasını sağlayacak ağırlıkta olup olmadığını tespit etmeleri gerekir. Yani kişinin eyleminin bir "terörist projeye" katılma kastı ve bilinciyle olduğu şüpheye mahal bırakmayacak şekilde ispatlanmalıdır.</w:t>
      </w:r>
    </w:p>
    <w:p w14:paraId="31642142"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w:t>
      </w:r>
      <w:r w:rsidRPr="00C65CE9">
        <w:rPr>
          <w:rFonts w:ascii="Palatino Linotype" w:hAnsi="Palatino Linotype"/>
          <w:b/>
          <w:bCs/>
          <w:color w:val="000000"/>
          <w:sz w:val="21"/>
          <w:szCs w:val="21"/>
        </w:rPr>
        <w:t>bu bağlantının somut içeriğini ve suç kastını ortaya koyup koymadığını araştırması gerektiğini açıkça emretmektedir.</w:t>
      </w:r>
      <w:r w:rsidRPr="00693DB3">
        <w:rPr>
          <w:rFonts w:ascii="Palatino Linotype" w:hAnsi="Palatino Linotype"/>
          <w:color w:val="000000"/>
          <w:sz w:val="21"/>
          <w:szCs w:val="21"/>
        </w:rPr>
        <w:t xml:space="preserve"> Buna göre yargılama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w:t>
      </w:r>
      <w:r w:rsidRPr="00C65CE9">
        <w:rPr>
          <w:rFonts w:ascii="Palatino Linotype" w:hAnsi="Palatino Linotype"/>
          <w:b/>
          <w:bCs/>
          <w:color w:val="000000"/>
          <w:sz w:val="21"/>
          <w:szCs w:val="21"/>
        </w:rPr>
        <w:t xml:space="preserve">yalnızca fiillerin işlendiği o dönemdeki bilgi, kast ve bağlam üzerinden değerlendirilebilir. </w:t>
      </w:r>
      <w:r w:rsidRPr="00693DB3">
        <w:rPr>
          <w:rFonts w:ascii="Palatino Linotype" w:hAnsi="Palatino Linotype"/>
          <w:color w:val="000000"/>
          <w:sz w:val="21"/>
          <w:szCs w:val="21"/>
        </w:rPr>
        <w:t>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14:paraId="7A8EB500"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14:paraId="38DD79B4"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w:t>
      </w:r>
      <w:r w:rsidRPr="00693DB3">
        <w:rPr>
          <w:rFonts w:ascii="Palatino Linotype" w:hAnsi="Palatino Linotype"/>
          <w:color w:val="000000"/>
          <w:sz w:val="21"/>
          <w:szCs w:val="21"/>
        </w:rPr>
        <w:lastRenderedPageBreak/>
        <w:t xml:space="preserve">unsuruna sahip olduğu sonucuna asla yol açamaz. </w:t>
      </w:r>
      <w:r w:rsidRPr="00C65CE9">
        <w:rPr>
          <w:rFonts w:ascii="Palatino Linotype" w:hAnsi="Palatino Linotype"/>
          <w:b/>
          <w:bCs/>
          <w:color w:val="000000"/>
          <w:sz w:val="21"/>
          <w:szCs w:val="21"/>
        </w:rPr>
        <w:t>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w:t>
      </w:r>
      <w:r w:rsidRPr="00693DB3">
        <w:rPr>
          <w:rFonts w:ascii="Palatino Linotype" w:hAnsi="Palatino Linotype"/>
          <w:color w:val="000000"/>
          <w:sz w:val="21"/>
          <w:szCs w:val="21"/>
        </w:rPr>
        <w:t xml:space="preserve"> kabul edilemez (§ 211).</w:t>
      </w:r>
    </w:p>
    <w:p w14:paraId="39A316D7"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14:paraId="6249928D"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AİHM'in</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14:paraId="49E58321" w14:textId="1298AE1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Artık AİHM'in bağlayıcı standardına göre; 15 Temmuz öncesi döneme ilişkin atılı bir fiilin suça vücut verdiğinin </w:t>
      </w:r>
      <w:proofErr w:type="spellStart"/>
      <w:r w:rsidR="00C65CE9">
        <w:rPr>
          <w:rFonts w:ascii="Palatino Linotype" w:hAnsi="Palatino Linotype"/>
          <w:color w:val="000000"/>
          <w:sz w:val="21"/>
          <w:szCs w:val="21"/>
        </w:rPr>
        <w:t>AİHS’e</w:t>
      </w:r>
      <w:proofErr w:type="spellEnd"/>
      <w:r w:rsidR="00C65CE9">
        <w:rPr>
          <w:rFonts w:ascii="Palatino Linotype" w:hAnsi="Palatino Linotype"/>
          <w:color w:val="000000"/>
          <w:sz w:val="21"/>
          <w:szCs w:val="21"/>
        </w:rPr>
        <w:t xml:space="preserve"> </w:t>
      </w:r>
      <w:r w:rsidRPr="00693DB3">
        <w:rPr>
          <w:rFonts w:ascii="Palatino Linotype" w:hAnsi="Palatino Linotype"/>
          <w:color w:val="000000"/>
          <w:sz w:val="21"/>
          <w:szCs w:val="21"/>
        </w:rPr>
        <w:t xml:space="preserve">uygun kabul edilebilmesi için, </w:t>
      </w:r>
      <w:r w:rsidRPr="00C65CE9">
        <w:rPr>
          <w:rFonts w:ascii="Palatino Linotype" w:hAnsi="Palatino Linotype"/>
          <w:b/>
          <w:bCs/>
          <w:color w:val="000000"/>
          <w:sz w:val="21"/>
          <w:szCs w:val="21"/>
        </w:rPr>
        <w:t>kişinin tam da o dönemde söz konusu yapının şiddet içeren iddia edilen amaçlarını "bildiğinin" hiçbir şüpheye yer bırakmayacak şekilde somut delillerle ortaya konulması gerekmektedir.</w:t>
      </w:r>
      <w:r w:rsidRPr="00693DB3">
        <w:rPr>
          <w:rFonts w:ascii="Palatino Linotype" w:hAnsi="Palatino Linotype"/>
          <w:color w:val="000000"/>
          <w:sz w:val="21"/>
          <w:szCs w:val="21"/>
        </w:rPr>
        <w:t xml:space="preserve"> Dahası, bu bilgiye rağmen yapıyla bağın "bilerek ve isteyerek" sürdüğü ve bu bağın salt sosyal ya da mesleki bir ilişki olmanın ötesinde, doğrudan bu yapının iddia edilen suç teşkil eden amaçlarına "bilinçli bir bağlılık ve katkı" gösterecek nitelikte olduğu kanıtlanmak zorundadır. Bu unsurlar varsayımla, genellemeyle, aidiyet kavramıyla veya yasal faaliyetlerin birikimiyle değil, </w:t>
      </w:r>
      <w:r w:rsidRPr="00016C4D">
        <w:rPr>
          <w:rFonts w:ascii="Palatino Linotype" w:hAnsi="Palatino Linotype"/>
          <w:b/>
          <w:bCs/>
          <w:color w:val="000000"/>
          <w:sz w:val="21"/>
          <w:szCs w:val="21"/>
        </w:rPr>
        <w:t xml:space="preserve">bireyselleştirilmiş somut delillerle </w:t>
      </w:r>
      <w:r w:rsidRPr="00693DB3">
        <w:rPr>
          <w:rFonts w:ascii="Palatino Linotype" w:hAnsi="Palatino Linotype"/>
          <w:color w:val="000000"/>
          <w:sz w:val="21"/>
          <w:szCs w:val="21"/>
        </w:rPr>
        <w:t>ortaya konulmadıkça yürütülecek hiçbir cezai süreç Anayasa'nın 90. maddesi delaletiyle AİHS 7. maddeyle bağdaşmayacaktır.</w:t>
      </w:r>
    </w:p>
    <w:p w14:paraId="61616E93" w14:textId="253384DA"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016C4D">
        <w:rPr>
          <w:rFonts w:ascii="Palatino Linotype" w:hAnsi="Palatino Linotype"/>
          <w:color w:val="000000"/>
          <w:sz w:val="21"/>
          <w:szCs w:val="21"/>
          <w:highlight w:val="yellow"/>
        </w:rPr>
        <w:t>Müvekkil hakkında</w:t>
      </w:r>
      <w:r w:rsidR="00016C4D" w:rsidRPr="00016C4D">
        <w:rPr>
          <w:rFonts w:ascii="Palatino Linotype" w:hAnsi="Palatino Linotype"/>
          <w:color w:val="000000"/>
          <w:sz w:val="21"/>
          <w:szCs w:val="21"/>
          <w:highlight w:val="yellow"/>
        </w:rPr>
        <w:t>/hakkımda/eşim/vasisi olduğum … hakkında</w:t>
      </w:r>
      <w:r w:rsidRPr="00693DB3">
        <w:rPr>
          <w:rFonts w:ascii="Palatino Linotype" w:hAnsi="Palatino Linotype"/>
          <w:color w:val="000000"/>
          <w:sz w:val="21"/>
          <w:szCs w:val="21"/>
        </w:rPr>
        <w:t xml:space="preserve"> yürütülen yargılamada bu bağlayıcı kararlar ekseninde temel mesele, </w:t>
      </w:r>
      <w:r w:rsidRPr="00016C4D">
        <w:rPr>
          <w:rFonts w:ascii="Palatino Linotype" w:hAnsi="Palatino Linotype"/>
          <w:color w:val="000000"/>
          <w:sz w:val="21"/>
          <w:szCs w:val="21"/>
          <w:highlight w:val="yellow"/>
        </w:rPr>
        <w:t>müvekkilin</w:t>
      </w:r>
      <w:r w:rsidR="00016C4D" w:rsidRPr="00016C4D">
        <w:rPr>
          <w:rFonts w:ascii="Palatino Linotype" w:hAnsi="Palatino Linotype"/>
          <w:color w:val="000000"/>
          <w:sz w:val="21"/>
          <w:szCs w:val="21"/>
          <w:highlight w:val="yellow"/>
        </w:rPr>
        <w:t xml:space="preserve"> </w:t>
      </w:r>
      <w:r w:rsidRPr="00016C4D">
        <w:rPr>
          <w:rFonts w:ascii="Palatino Linotype" w:hAnsi="Palatino Linotype"/>
          <w:color w:val="000000"/>
          <w:sz w:val="21"/>
          <w:szCs w:val="21"/>
          <w:highlight w:val="yellow"/>
        </w:rPr>
        <w:t>fiillerinin</w:t>
      </w:r>
      <w:r w:rsidR="00016C4D" w:rsidRPr="00016C4D">
        <w:rPr>
          <w:rFonts w:ascii="Palatino Linotype" w:hAnsi="Palatino Linotype"/>
          <w:color w:val="000000"/>
          <w:sz w:val="21"/>
          <w:szCs w:val="21"/>
          <w:highlight w:val="yellow"/>
        </w:rPr>
        <w:t xml:space="preserve">/fiillerimin/eşimin fiillerinin/ </w:t>
      </w:r>
      <w:r w:rsidR="00016C4D" w:rsidRPr="00016C4D">
        <w:rPr>
          <w:rFonts w:ascii="Palatino Linotype" w:hAnsi="Palatino Linotype"/>
          <w:color w:val="000000"/>
          <w:sz w:val="21"/>
          <w:szCs w:val="21"/>
          <w:highlight w:val="yellow"/>
        </w:rPr>
        <w:lastRenderedPageBreak/>
        <w:t>vasisi olduğum… fiillerinin</w:t>
      </w:r>
      <w:r w:rsidRPr="00693DB3">
        <w:rPr>
          <w:rFonts w:ascii="Palatino Linotype" w:hAnsi="Palatino Linotype"/>
          <w:color w:val="000000"/>
          <w:sz w:val="21"/>
          <w:szCs w:val="21"/>
        </w:rPr>
        <w:t xml:space="preserve"> suç olup olmadığının tartışılmasından ziyade, bu eylemlerin "suç kastını" gösterip göstermediğidir. </w:t>
      </w:r>
      <w:r w:rsidRPr="00016C4D">
        <w:rPr>
          <w:rFonts w:ascii="Palatino Linotype" w:hAnsi="Palatino Linotype"/>
          <w:color w:val="000000"/>
          <w:sz w:val="21"/>
          <w:szCs w:val="21"/>
          <w:highlight w:val="yellow"/>
        </w:rPr>
        <w:t>Müvekkil</w:t>
      </w:r>
      <w:r w:rsidR="00016C4D" w:rsidRPr="00016C4D">
        <w:rPr>
          <w:rFonts w:ascii="Palatino Linotype" w:hAnsi="Palatino Linotype"/>
          <w:color w:val="000000"/>
          <w:sz w:val="21"/>
          <w:szCs w:val="21"/>
          <w:highlight w:val="yellow"/>
        </w:rPr>
        <w:t xml:space="preserve">/eşim/vasisi </w:t>
      </w:r>
      <w:proofErr w:type="gramStart"/>
      <w:r w:rsidR="00016C4D" w:rsidRPr="00016C4D">
        <w:rPr>
          <w:rFonts w:ascii="Palatino Linotype" w:hAnsi="Palatino Linotype"/>
          <w:color w:val="000000"/>
          <w:sz w:val="21"/>
          <w:szCs w:val="21"/>
          <w:highlight w:val="yellow"/>
        </w:rPr>
        <w:t>olduğum..</w:t>
      </w:r>
      <w:proofErr w:type="gramEnd"/>
      <w:r w:rsidRPr="00693DB3">
        <w:rPr>
          <w:rFonts w:ascii="Palatino Linotype" w:hAnsi="Palatino Linotype"/>
          <w:color w:val="000000"/>
          <w:sz w:val="21"/>
          <w:szCs w:val="21"/>
        </w:rPr>
        <w:t xml:space="preserve"> </w:t>
      </w:r>
      <w:proofErr w:type="gramStart"/>
      <w:r w:rsidRPr="00693DB3">
        <w:rPr>
          <w:rFonts w:ascii="Palatino Linotype" w:hAnsi="Palatino Linotype"/>
          <w:color w:val="000000"/>
          <w:sz w:val="21"/>
          <w:szCs w:val="21"/>
        </w:rPr>
        <w:t>söz</w:t>
      </w:r>
      <w:proofErr w:type="gramEnd"/>
      <w:r w:rsidRPr="00693DB3">
        <w:rPr>
          <w:rFonts w:ascii="Palatino Linotype" w:hAnsi="Palatino Linotype"/>
          <w:color w:val="000000"/>
          <w:sz w:val="21"/>
          <w:szCs w:val="21"/>
        </w:rPr>
        <w:t xml:space="preserve"> konusu yapının sonradan ilan edilen şiddet amaçlarını hiçbir zaman bilmemiş, hissetmemiş ve bu amaçlara yönelik en ufak bir suç iradesi taşımamıştır. Fiillerin </w:t>
      </w:r>
      <w:r w:rsidRPr="00693DB3">
        <w:rPr>
          <w:rFonts w:ascii="Palatino Linotype" w:hAnsi="Palatino Linotype"/>
          <w:color w:val="000000"/>
          <w:sz w:val="21"/>
          <w:szCs w:val="21"/>
          <w:highlight w:val="yellow"/>
        </w:rPr>
        <w:t>(dernek/sendika üyeliği, banka hesabı kullanımı, eğitim kurumu faaliyetleri, dini sohbetler vb. yasal faaliyetlerin)</w:t>
      </w:r>
      <w:r w:rsidRPr="00693DB3">
        <w:rPr>
          <w:rFonts w:ascii="Palatino Linotype" w:hAnsi="Palatino Linotype"/>
          <w:color w:val="000000"/>
          <w:sz w:val="21"/>
          <w:szCs w:val="21"/>
        </w:rPr>
        <w:t xml:space="preserve"> işlendiği o dönemde, yapının bir terör örgütü niteliğinde olduğunun vatandaşlar tarafından öngörülebilmesi imkansızdır. </w:t>
      </w:r>
      <w:r w:rsidR="00016C4D">
        <w:rPr>
          <w:rFonts w:ascii="Palatino Linotype" w:hAnsi="Palatino Linotype"/>
          <w:color w:val="000000"/>
          <w:sz w:val="21"/>
          <w:szCs w:val="21"/>
        </w:rPr>
        <w:t>K</w:t>
      </w:r>
      <w:r w:rsidRPr="00693DB3">
        <w:rPr>
          <w:rFonts w:ascii="Palatino Linotype" w:hAnsi="Palatino Linotype"/>
          <w:color w:val="000000"/>
          <w:sz w:val="21"/>
          <w:szCs w:val="21"/>
        </w:rPr>
        <w:t>ur</w:t>
      </w:r>
      <w:r w:rsidR="00016C4D">
        <w:rPr>
          <w:rFonts w:ascii="Palatino Linotype" w:hAnsi="Palatino Linotype"/>
          <w:color w:val="000000"/>
          <w:sz w:val="21"/>
          <w:szCs w:val="21"/>
        </w:rPr>
        <w:t>ulan</w:t>
      </w:r>
      <w:r w:rsidRPr="00693DB3">
        <w:rPr>
          <w:rFonts w:ascii="Palatino Linotype" w:hAnsi="Palatino Linotype"/>
          <w:color w:val="000000"/>
          <w:sz w:val="21"/>
          <w:szCs w:val="21"/>
        </w:rPr>
        <w:t xml:space="preserve"> temas, hukuki çerçevede işlevsel, hiyerarşik veya şiddet amaçlı stratejik bir nitelik taşımamaktadır.</w:t>
      </w:r>
    </w:p>
    <w:p w14:paraId="695A5550" w14:textId="77777777" w:rsidR="00693DB3" w:rsidRPr="00693DB3"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i/>
          <w:iCs/>
          <w:color w:val="000000"/>
          <w:sz w:val="21"/>
          <w:szCs w:val="21"/>
        </w:rPr>
        <w:t>Yalçınkaya</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ve</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Büyük Daire kararları birbirinden bağımsız kararlar değil, yargı sistemimizdeki aynı yapısal sorunun birbirini tamamlayan iki farklı görünümüne aittir ve birlikte uygulanmak zorundadır.</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Yalçınkaya</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 otomatik mahkûmiyet, öngörülebilirlik, kanunilik ve delillerin bireyselleştirilmeden kullanılmasının hukuka aykırılığını tespit etmişken;</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i/>
          <w:iCs/>
          <w:color w:val="000000"/>
          <w:sz w:val="21"/>
          <w:szCs w:val="21"/>
        </w:rPr>
        <w:t>Yasak</w:t>
      </w:r>
      <w:r w:rsidRPr="00693DB3">
        <w:rPr>
          <w:rStyle w:val="apple-converted-space"/>
          <w:rFonts w:ascii="Palatino Linotype" w:eastAsiaTheme="majorEastAsia" w:hAnsi="Palatino Linotype"/>
          <w:color w:val="000000"/>
          <w:sz w:val="21"/>
          <w:szCs w:val="21"/>
        </w:rPr>
        <w:t> </w:t>
      </w:r>
      <w:r w:rsidRPr="00693DB3">
        <w:rPr>
          <w:rFonts w:ascii="Palatino Linotype" w:hAnsi="Palatino Linotype"/>
          <w:color w:val="000000"/>
          <w:sz w:val="21"/>
          <w:szCs w:val="21"/>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14:paraId="5D1E40F8" w14:textId="77777777" w:rsidR="004D331F" w:rsidRPr="004D331F" w:rsidRDefault="00693DB3" w:rsidP="00693DB3">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693DB3">
        <w:rPr>
          <w:rFonts w:ascii="Palatino Linotype" w:hAnsi="Palatino Linotype"/>
          <w:color w:val="000000"/>
          <w:sz w:val="21"/>
          <w:szCs w:val="21"/>
        </w:rPr>
        <w:t xml:space="preserve">Tüm bu hukuki ve fiili gerçekler muvacehesinde; </w:t>
      </w:r>
      <w:r w:rsidR="00016C4D">
        <w:rPr>
          <w:rFonts w:ascii="Palatino Linotype" w:hAnsi="Palatino Linotype"/>
          <w:color w:val="000000"/>
          <w:sz w:val="21"/>
          <w:szCs w:val="21"/>
        </w:rPr>
        <w:t>işbu başvuruya konu</w:t>
      </w:r>
      <w:r w:rsidRPr="00693DB3">
        <w:rPr>
          <w:rFonts w:ascii="Palatino Linotype" w:hAnsi="Palatino Linotype"/>
          <w:color w:val="000000"/>
          <w:sz w:val="21"/>
          <w:szCs w:val="21"/>
        </w:rPr>
        <w:t xml:space="preserve"> dosya</w:t>
      </w:r>
      <w:r w:rsidR="00016C4D">
        <w:rPr>
          <w:rFonts w:ascii="Palatino Linotype" w:hAnsi="Palatino Linotype"/>
          <w:color w:val="000000"/>
          <w:sz w:val="21"/>
          <w:szCs w:val="21"/>
        </w:rPr>
        <w:t>ya</w:t>
      </w:r>
      <w:r w:rsidRPr="00693DB3">
        <w:rPr>
          <w:rFonts w:ascii="Palatino Linotype" w:hAnsi="Palatino Linotype"/>
          <w:color w:val="000000"/>
          <w:sz w:val="21"/>
          <w:szCs w:val="21"/>
        </w:rPr>
        <w:t xml:space="preserve"> yansıyan, esasen devletin izni ve bilgisi dahilinde gerçekleşen rutin, sosyal, yasal ve sivil nitelikteki eylemlerden hareketle TCK </w:t>
      </w:r>
      <w:proofErr w:type="spellStart"/>
      <w:r w:rsidRPr="00693DB3">
        <w:rPr>
          <w:rFonts w:ascii="Palatino Linotype" w:hAnsi="Palatino Linotype"/>
          <w:color w:val="000000"/>
          <w:sz w:val="21"/>
          <w:szCs w:val="21"/>
        </w:rPr>
        <w:t>md.</w:t>
      </w:r>
      <w:proofErr w:type="spellEnd"/>
      <w:r w:rsidRPr="00693DB3">
        <w:rPr>
          <w:rFonts w:ascii="Palatino Linotype" w:hAnsi="Palatino Linotype"/>
          <w:color w:val="000000"/>
          <w:sz w:val="21"/>
          <w:szCs w:val="21"/>
        </w:rPr>
        <w:t xml:space="preserve"> 314/2 anlamında "silahlı terör örgütüne üye olma" kastı çıkarılamaz. Failin fiili işlediği sıradaki kastı, sonradan yaşanan olaylara ve yapının sonradan kazandığı terör örgütü statüsüne bakılarak geriye dönük olarak var sayılamaz. </w:t>
      </w:r>
      <w:r w:rsidRPr="00016C4D">
        <w:rPr>
          <w:rFonts w:ascii="Palatino Linotype" w:hAnsi="Palatino Linotype"/>
          <w:color w:val="000000"/>
          <w:sz w:val="21"/>
          <w:szCs w:val="21"/>
          <w:highlight w:val="yellow"/>
        </w:rPr>
        <w:t>Müvekkilin</w:t>
      </w:r>
      <w:r w:rsidR="00016C4D" w:rsidRPr="00016C4D">
        <w:rPr>
          <w:rFonts w:ascii="Palatino Linotype" w:hAnsi="Palatino Linotype"/>
          <w:color w:val="000000"/>
          <w:sz w:val="21"/>
          <w:szCs w:val="21"/>
          <w:highlight w:val="yellow"/>
        </w:rPr>
        <w:t>/eşimin/benim/vasisi olduğum…</w:t>
      </w:r>
      <w:r w:rsidRPr="00693DB3">
        <w:rPr>
          <w:rFonts w:ascii="Palatino Linotype" w:hAnsi="Palatino Linotype"/>
          <w:color w:val="000000"/>
          <w:sz w:val="21"/>
          <w:szCs w:val="21"/>
        </w:rPr>
        <w:t xml:space="preserve"> </w:t>
      </w:r>
      <w:r w:rsidR="00016C4D" w:rsidRPr="00016C4D">
        <w:rPr>
          <w:rFonts w:ascii="Palatino Linotype" w:hAnsi="Palatino Linotype"/>
          <w:color w:val="000000"/>
          <w:sz w:val="21"/>
          <w:szCs w:val="21"/>
        </w:rPr>
        <w:t xml:space="preserve">hiçbir şiddet eylemine karışmadığı, örgütün stratejik veya merkezi yapısıyla hiyerarşik bir bağının bulunmadığı ve suç işleme kastıyla hareket etmediği açıkça ortadadır. Bu nedenle, Sayın Mahkemenizce yeniden yargılama talebinin kabulü ile varsayımlara ve kolektif suçluluk anlayışına dayalı bir cezalandırma yoluna gidilmemesi, hukukun ve hakkaniyetin </w:t>
      </w:r>
      <w:proofErr w:type="gramStart"/>
      <w:r w:rsidR="00016C4D" w:rsidRPr="00016C4D">
        <w:rPr>
          <w:rFonts w:ascii="Palatino Linotype" w:hAnsi="Palatino Linotype"/>
          <w:color w:val="000000"/>
          <w:sz w:val="21"/>
          <w:szCs w:val="21"/>
        </w:rPr>
        <w:t>gereğidir.</w:t>
      </w:r>
      <w:r w:rsidRPr="00016C4D">
        <w:rPr>
          <w:rFonts w:ascii="Palatino Linotype" w:hAnsi="Palatino Linotype"/>
          <w:color w:val="000000"/>
          <w:sz w:val="21"/>
          <w:szCs w:val="21"/>
        </w:rPr>
        <w:t>.</w:t>
      </w:r>
      <w:proofErr w:type="gramEnd"/>
    </w:p>
    <w:p w14:paraId="59711F11" w14:textId="0F83EB29" w:rsidR="004D331F" w:rsidRPr="003E353F" w:rsidRDefault="008D184C" w:rsidP="003E353F">
      <w:pPr>
        <w:tabs>
          <w:tab w:val="left" w:pos="3870"/>
        </w:tabs>
        <w:spacing w:line="360" w:lineRule="auto"/>
        <w:ind w:left="270" w:right="-378"/>
        <w:jc w:val="both"/>
        <w:rPr>
          <w:rFonts w:ascii="Palatino Linotype" w:hAnsi="Palatino Linotype" w:cs="Times New Roman"/>
          <w:bCs/>
          <w:sz w:val="21"/>
          <w:szCs w:val="21"/>
        </w:rPr>
      </w:pPr>
      <w:r>
        <w:rPr>
          <w:rFonts w:ascii="Palatino Linotype" w:hAnsi="Palatino Linotype"/>
          <w:b/>
          <w:bCs/>
          <w:color w:val="000000"/>
          <w:sz w:val="21"/>
          <w:szCs w:val="21"/>
        </w:rPr>
        <w:t xml:space="preserve">IV. </w:t>
      </w:r>
      <w:r w:rsidR="00693DB3" w:rsidRPr="003E353F">
        <w:rPr>
          <w:rFonts w:ascii="Palatino Linotype" w:hAnsi="Palatino Linotype"/>
          <w:b/>
          <w:bCs/>
          <w:color w:val="000000"/>
          <w:sz w:val="21"/>
          <w:szCs w:val="21"/>
        </w:rPr>
        <w:t>S</w:t>
      </w:r>
      <w:r w:rsidR="00DD64B9">
        <w:rPr>
          <w:rFonts w:ascii="Palatino Linotype" w:hAnsi="Palatino Linotype"/>
          <w:b/>
          <w:bCs/>
          <w:color w:val="000000"/>
          <w:sz w:val="21"/>
          <w:szCs w:val="21"/>
        </w:rPr>
        <w:t>onuç</w:t>
      </w:r>
    </w:p>
    <w:p w14:paraId="37CBFB00" w14:textId="67E18850" w:rsidR="008D5592" w:rsidRPr="00693DB3"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A</w:t>
      </w:r>
      <w:r w:rsidR="008D5592" w:rsidRPr="00693DB3">
        <w:rPr>
          <w:rFonts w:ascii="Palatino Linotype" w:hAnsi="Palatino Linotype" w:cs="Times New Roman"/>
          <w:sz w:val="21"/>
          <w:szCs w:val="21"/>
        </w:rPr>
        <w:t xml:space="preserve">İHM ve </w:t>
      </w:r>
      <w:r w:rsidRPr="00693DB3">
        <w:rPr>
          <w:rFonts w:ascii="Palatino Linotype" w:hAnsi="Palatino Linotype" w:cs="Times New Roman"/>
          <w:sz w:val="21"/>
          <w:szCs w:val="21"/>
        </w:rPr>
        <w:t xml:space="preserve">AYM’ye </w:t>
      </w:r>
      <w:r w:rsidR="008D5592" w:rsidRPr="00693DB3">
        <w:rPr>
          <w:rFonts w:ascii="Palatino Linotype" w:hAnsi="Palatino Linotype" w:cs="Times New Roman"/>
          <w:sz w:val="21"/>
          <w:szCs w:val="21"/>
        </w:rPr>
        <w:t xml:space="preserve">yapılan </w:t>
      </w:r>
      <w:r w:rsidRPr="00693DB3">
        <w:rPr>
          <w:rFonts w:ascii="Palatino Linotype" w:hAnsi="Palatino Linotype" w:cs="Times New Roman"/>
          <w:sz w:val="21"/>
          <w:szCs w:val="21"/>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w:t>
      </w:r>
      <w:r w:rsidRPr="00693DB3">
        <w:rPr>
          <w:rFonts w:ascii="Palatino Linotype" w:hAnsi="Palatino Linotype" w:cs="Times New Roman"/>
          <w:sz w:val="21"/>
          <w:szCs w:val="21"/>
        </w:rPr>
        <w:lastRenderedPageBreak/>
        <w:t xml:space="preserve">bireysel başvuruya konu olan eylem veya eylemsizliğin tekrarı halinde, bu eylem ve eylemsizliğin </w:t>
      </w:r>
      <w:r w:rsidR="005D1E85" w:rsidRPr="00693DB3">
        <w:rPr>
          <w:rFonts w:ascii="Palatino Linotype" w:hAnsi="Palatino Linotype" w:cs="Times New Roman"/>
          <w:sz w:val="21"/>
          <w:szCs w:val="21"/>
        </w:rPr>
        <w:t>A</w:t>
      </w:r>
      <w:r w:rsidRPr="00693DB3">
        <w:rPr>
          <w:rFonts w:ascii="Palatino Linotype" w:hAnsi="Palatino Linotype" w:cs="Times New Roman"/>
          <w:sz w:val="21"/>
          <w:szCs w:val="21"/>
        </w:rPr>
        <w:t>nayasa</w:t>
      </w:r>
      <w:r w:rsidR="005D1E85" w:rsidRPr="00693DB3">
        <w:rPr>
          <w:rFonts w:ascii="Palatino Linotype" w:hAnsi="Palatino Linotype" w:cs="Times New Roman"/>
          <w:sz w:val="21"/>
          <w:szCs w:val="21"/>
        </w:rPr>
        <w:t>’</w:t>
      </w:r>
      <w:r w:rsidRPr="00693DB3">
        <w:rPr>
          <w:rFonts w:ascii="Palatino Linotype" w:hAnsi="Palatino Linotype" w:cs="Times New Roman"/>
          <w:sz w:val="21"/>
          <w:szCs w:val="21"/>
        </w:rPr>
        <w:t xml:space="preserve">ya aykırı sonuçları olacağını görebilir. Bu nedenle, ihlalden kaçınmak ve AYM/AİHM kararına uygun biçimde </w:t>
      </w:r>
      <w:r w:rsidR="005D1E85" w:rsidRPr="00693DB3">
        <w:rPr>
          <w:rFonts w:ascii="Palatino Linotype" w:hAnsi="Palatino Linotype" w:cs="Times New Roman"/>
          <w:sz w:val="21"/>
          <w:szCs w:val="21"/>
        </w:rPr>
        <w:t>A</w:t>
      </w:r>
      <w:r w:rsidRPr="00693DB3">
        <w:rPr>
          <w:rFonts w:ascii="Palatino Linotype" w:hAnsi="Palatino Linotype" w:cs="Times New Roman"/>
          <w:sz w:val="21"/>
          <w:szCs w:val="21"/>
        </w:rPr>
        <w:t>nayasa</w:t>
      </w:r>
      <w:r w:rsidR="005D1E85" w:rsidRPr="00693DB3">
        <w:rPr>
          <w:rFonts w:ascii="Palatino Linotype" w:hAnsi="Palatino Linotype" w:cs="Times New Roman"/>
          <w:sz w:val="21"/>
          <w:szCs w:val="21"/>
        </w:rPr>
        <w:t>’</w:t>
      </w:r>
      <w:r w:rsidRPr="00693DB3">
        <w:rPr>
          <w:rFonts w:ascii="Palatino Linotype" w:hAnsi="Palatino Linotype" w:cs="Times New Roman"/>
          <w:sz w:val="21"/>
          <w:szCs w:val="21"/>
        </w:rPr>
        <w:t>ya/</w:t>
      </w:r>
      <w:r w:rsidR="005D1E85" w:rsidRPr="00693DB3">
        <w:rPr>
          <w:rFonts w:ascii="Palatino Linotype" w:hAnsi="Palatino Linotype" w:cs="Times New Roman"/>
          <w:sz w:val="21"/>
          <w:szCs w:val="21"/>
        </w:rPr>
        <w:t>S</w:t>
      </w:r>
      <w:r w:rsidRPr="00693DB3">
        <w:rPr>
          <w:rFonts w:ascii="Palatino Linotype" w:hAnsi="Palatino Linotype" w:cs="Times New Roman"/>
          <w:sz w:val="21"/>
          <w:szCs w:val="21"/>
        </w:rPr>
        <w:t>özleşme</w:t>
      </w:r>
      <w:r w:rsidR="005D1E85" w:rsidRPr="00693DB3">
        <w:rPr>
          <w:rFonts w:ascii="Palatino Linotype" w:hAnsi="Palatino Linotype" w:cs="Times New Roman"/>
          <w:sz w:val="21"/>
          <w:szCs w:val="21"/>
        </w:rPr>
        <w:t>’</w:t>
      </w:r>
      <w:r w:rsidRPr="00693DB3">
        <w:rPr>
          <w:rFonts w:ascii="Palatino Linotype" w:hAnsi="Palatino Linotype" w:cs="Times New Roman"/>
          <w:sz w:val="21"/>
          <w:szCs w:val="21"/>
        </w:rPr>
        <w:t xml:space="preserve">ye </w:t>
      </w:r>
      <w:r w:rsidRPr="00693DB3">
        <w:rPr>
          <w:rFonts w:ascii="Palatino Linotype" w:hAnsi="Palatino Linotype" w:cs="Times New Roman"/>
          <w:i/>
          <w:iCs/>
          <w:sz w:val="21"/>
          <w:szCs w:val="21"/>
        </w:rPr>
        <w:t>“dikkat etmek”</w:t>
      </w:r>
      <w:r w:rsidRPr="00693DB3">
        <w:rPr>
          <w:rFonts w:ascii="Palatino Linotype" w:hAnsi="Palatino Linotype" w:cs="Times New Roman"/>
          <w:sz w:val="21"/>
          <w:szCs w:val="21"/>
        </w:rPr>
        <w:t xml:space="preserve"> durumunda kalır.</w:t>
      </w:r>
    </w:p>
    <w:p w14:paraId="547AAA1B" w14:textId="0FEE1D50" w:rsidR="00CC34E0" w:rsidRPr="00693DB3"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AYM hem de AİHM</w:t>
      </w:r>
      <w:r w:rsidR="00DD4EB8" w:rsidRPr="00693DB3">
        <w:rPr>
          <w:rFonts w:ascii="Palatino Linotype" w:hAnsi="Palatino Linotype" w:cs="Times New Roman"/>
          <w:sz w:val="21"/>
          <w:szCs w:val="21"/>
        </w:rPr>
        <w:t xml:space="preserve"> </w:t>
      </w:r>
      <w:r w:rsidR="00DD4EB8" w:rsidRPr="00693DB3">
        <w:rPr>
          <w:rFonts w:ascii="Palatino Linotype" w:hAnsi="Palatino Linotype" w:cs="Times New Roman"/>
          <w:b/>
          <w:bCs/>
          <w:sz w:val="21"/>
          <w:szCs w:val="21"/>
        </w:rPr>
        <w:t>mahkeme kararının objektif etkisi</w:t>
      </w:r>
      <w:r w:rsidRPr="00693DB3">
        <w:rPr>
          <w:rFonts w:ascii="Palatino Linotype" w:hAnsi="Palatino Linotype" w:cs="Times New Roman"/>
          <w:b/>
          <w:bCs/>
          <w:sz w:val="21"/>
          <w:szCs w:val="21"/>
        </w:rPr>
        <w:t>nin</w:t>
      </w:r>
      <w:r w:rsidR="00DD4EB8" w:rsidRPr="00693DB3">
        <w:rPr>
          <w:rFonts w:ascii="Palatino Linotype" w:hAnsi="Palatino Linotype" w:cs="Times New Roman"/>
          <w:sz w:val="21"/>
          <w:szCs w:val="21"/>
        </w:rPr>
        <w:t xml:space="preserve"> </w:t>
      </w:r>
      <w:r w:rsidRPr="00693DB3">
        <w:rPr>
          <w:rFonts w:ascii="Palatino Linotype" w:hAnsi="Palatino Linotype" w:cs="Times New Roman"/>
          <w:sz w:val="21"/>
          <w:szCs w:val="21"/>
        </w:rPr>
        <w:t xml:space="preserve">olduğunu, benzer davalara ve işlemlere uygulanması gerektiğini </w:t>
      </w:r>
      <w:r w:rsidR="00DD4EB8" w:rsidRPr="00693DB3">
        <w:rPr>
          <w:rFonts w:ascii="Palatino Linotype" w:hAnsi="Palatino Linotype" w:cs="Times New Roman"/>
          <w:sz w:val="21"/>
          <w:szCs w:val="21"/>
        </w:rPr>
        <w:t xml:space="preserve">açıkça </w:t>
      </w:r>
      <w:r w:rsidRPr="00693DB3">
        <w:rPr>
          <w:rFonts w:ascii="Palatino Linotype" w:hAnsi="Palatino Linotype" w:cs="Times New Roman"/>
          <w:sz w:val="21"/>
          <w:szCs w:val="21"/>
        </w:rPr>
        <w:t xml:space="preserve">ortaya koymuşlardır. </w:t>
      </w:r>
      <w:r w:rsidR="00DD4EB8" w:rsidRPr="00693DB3">
        <w:rPr>
          <w:rFonts w:ascii="Palatino Linotype" w:hAnsi="Palatino Linotype" w:cs="Times New Roman"/>
          <w:sz w:val="21"/>
          <w:szCs w:val="21"/>
        </w:rPr>
        <w:t xml:space="preserve">Mahkemenin objektif işlevi, Anayasa’nın </w:t>
      </w:r>
      <w:r w:rsidR="00A5622E" w:rsidRPr="00693DB3">
        <w:rPr>
          <w:rFonts w:ascii="Palatino Linotype" w:hAnsi="Palatino Linotype" w:cs="Times New Roman"/>
          <w:sz w:val="21"/>
          <w:szCs w:val="21"/>
        </w:rPr>
        <w:t xml:space="preserve">ve Sözleşme’nin </w:t>
      </w:r>
      <w:r w:rsidR="00DD4EB8" w:rsidRPr="00693DB3">
        <w:rPr>
          <w:rFonts w:ascii="Palatino Linotype" w:hAnsi="Palatino Linotype" w:cs="Times New Roman"/>
          <w:sz w:val="21"/>
          <w:szCs w:val="21"/>
        </w:rPr>
        <w:t>temel hak ve özgürlükleri düzenleyen hükümlerini yorumlamak ve bunların uygulanmasını gözetmektir.</w:t>
      </w:r>
      <w:r w:rsidR="00A5622E" w:rsidRPr="00693DB3">
        <w:rPr>
          <w:rFonts w:ascii="Palatino Linotype" w:hAnsi="Palatino Linotype" w:cs="Times New Roman"/>
          <w:sz w:val="21"/>
          <w:szCs w:val="21"/>
        </w:rPr>
        <w:t xml:space="preserve"> Dolayısıyla</w:t>
      </w:r>
      <w:r w:rsidR="005D1E85" w:rsidRPr="00693DB3">
        <w:rPr>
          <w:rFonts w:ascii="Palatino Linotype" w:hAnsi="Palatino Linotype" w:cs="Times New Roman"/>
          <w:sz w:val="21"/>
          <w:szCs w:val="21"/>
        </w:rPr>
        <w:t>,</w:t>
      </w:r>
      <w:r w:rsidR="00A5622E" w:rsidRPr="00693DB3">
        <w:rPr>
          <w:rFonts w:ascii="Palatino Linotype" w:hAnsi="Palatino Linotype" w:cs="Times New Roman"/>
          <w:sz w:val="21"/>
          <w:szCs w:val="21"/>
        </w:rPr>
        <w:t xml:space="preserve"> </w:t>
      </w:r>
      <w:r w:rsidR="00AE78E5" w:rsidRPr="00693DB3">
        <w:rPr>
          <w:rFonts w:ascii="Palatino Linotype" w:hAnsi="Palatino Linotype" w:cs="Times New Roman"/>
          <w:bCs/>
          <w:sz w:val="21"/>
          <w:szCs w:val="21"/>
        </w:rPr>
        <w:t>AYM/AİHM’in bir bireysel başvuruda verdiği ihlâl kararı benzer diğer olaylar açısından da bağlayıcıdır ve kamu otoriteleri ve mahkemelerce dikkate alın</w:t>
      </w:r>
      <w:r w:rsidR="00A5622E" w:rsidRPr="00693DB3">
        <w:rPr>
          <w:rFonts w:ascii="Palatino Linotype" w:hAnsi="Palatino Linotype" w:cs="Times New Roman"/>
          <w:bCs/>
          <w:sz w:val="21"/>
          <w:szCs w:val="21"/>
        </w:rPr>
        <w:t>malıdır</w:t>
      </w:r>
      <w:r w:rsidR="00AE78E5" w:rsidRPr="00693DB3">
        <w:rPr>
          <w:rFonts w:ascii="Palatino Linotype" w:hAnsi="Palatino Linotype" w:cs="Times New Roman"/>
          <w:bCs/>
          <w:sz w:val="21"/>
          <w:szCs w:val="21"/>
        </w:rPr>
        <w:t>. Bu nedenle bireysel başvurudan beklenen faydanın sağlanabilmesi için bireysel başvurunun objektif işlevi ön plana çıkarılmalı ve bireysel başvuru kararlarının genel (</w:t>
      </w:r>
      <w:proofErr w:type="spellStart"/>
      <w:r w:rsidR="00AE78E5" w:rsidRPr="00693DB3">
        <w:rPr>
          <w:rFonts w:ascii="Palatino Linotype" w:hAnsi="Palatino Linotype" w:cs="Times New Roman"/>
          <w:bCs/>
          <w:i/>
          <w:iCs/>
          <w:sz w:val="21"/>
          <w:szCs w:val="21"/>
        </w:rPr>
        <w:t>erga</w:t>
      </w:r>
      <w:proofErr w:type="spellEnd"/>
      <w:r w:rsidR="00AE78E5" w:rsidRPr="00693DB3">
        <w:rPr>
          <w:rFonts w:ascii="Palatino Linotype" w:hAnsi="Palatino Linotype" w:cs="Times New Roman"/>
          <w:bCs/>
          <w:i/>
          <w:iCs/>
          <w:sz w:val="21"/>
          <w:szCs w:val="21"/>
        </w:rPr>
        <w:t xml:space="preserve"> </w:t>
      </w:r>
      <w:proofErr w:type="spellStart"/>
      <w:r w:rsidR="00AE78E5" w:rsidRPr="00693DB3">
        <w:rPr>
          <w:rFonts w:ascii="Palatino Linotype" w:hAnsi="Palatino Linotype" w:cs="Times New Roman"/>
          <w:bCs/>
          <w:i/>
          <w:iCs/>
          <w:sz w:val="21"/>
          <w:szCs w:val="21"/>
        </w:rPr>
        <w:t>omnes</w:t>
      </w:r>
      <w:proofErr w:type="spellEnd"/>
      <w:r w:rsidR="00AE78E5" w:rsidRPr="00693DB3">
        <w:rPr>
          <w:rFonts w:ascii="Palatino Linotype" w:hAnsi="Palatino Linotype" w:cs="Times New Roman"/>
          <w:bCs/>
          <w:sz w:val="21"/>
          <w:szCs w:val="21"/>
        </w:rPr>
        <w:t>) bağlayıcılığı hayata geçiril</w:t>
      </w:r>
      <w:r w:rsidR="00A5622E" w:rsidRPr="00693DB3">
        <w:rPr>
          <w:rFonts w:ascii="Palatino Linotype" w:hAnsi="Palatino Linotype" w:cs="Times New Roman"/>
          <w:bCs/>
          <w:sz w:val="21"/>
          <w:szCs w:val="21"/>
        </w:rPr>
        <w:t xml:space="preserve">melidir. </w:t>
      </w:r>
      <w:r w:rsidR="00AE78E5" w:rsidRPr="00693DB3">
        <w:rPr>
          <w:rFonts w:ascii="Palatino Linotype" w:hAnsi="Palatino Linotype" w:cs="Times New Roman"/>
          <w:bCs/>
          <w:sz w:val="21"/>
          <w:szCs w:val="21"/>
        </w:rPr>
        <w:t xml:space="preserve">Yani AYM/AİHM bir konuda ihlâl kararı verdikten sonra kamu idareleri uygulamalarını, diğer mahkemeler de kararlarını AYM/AİHM kararı ile uyumlu hale getirmelidir. Esasen bu, </w:t>
      </w:r>
      <w:r w:rsidR="00A5622E" w:rsidRPr="00693DB3">
        <w:rPr>
          <w:rFonts w:ascii="Palatino Linotype" w:hAnsi="Palatino Linotype" w:cs="Times New Roman"/>
          <w:bCs/>
          <w:sz w:val="21"/>
          <w:szCs w:val="21"/>
        </w:rPr>
        <w:t>AİHM/</w:t>
      </w:r>
      <w:r w:rsidR="00AE78E5" w:rsidRPr="00693DB3">
        <w:rPr>
          <w:rFonts w:ascii="Palatino Linotype" w:hAnsi="Palatino Linotype" w:cs="Times New Roman"/>
          <w:bCs/>
          <w:sz w:val="21"/>
          <w:szCs w:val="21"/>
        </w:rPr>
        <w:t xml:space="preserve">AYM’nin de belirttiği gibi, bireysel başvuru yolunun ve AYM/AİHM’in yetkisinin </w:t>
      </w:r>
      <w:r w:rsidR="00AE78E5" w:rsidRPr="00693DB3">
        <w:rPr>
          <w:rFonts w:ascii="Palatino Linotype" w:hAnsi="Palatino Linotype" w:cs="Times New Roman"/>
          <w:bCs/>
          <w:i/>
          <w:iCs/>
          <w:sz w:val="21"/>
          <w:szCs w:val="21"/>
        </w:rPr>
        <w:t>“ikincilliği”</w:t>
      </w:r>
      <w:r w:rsidR="00AE78E5" w:rsidRPr="00693DB3">
        <w:rPr>
          <w:rFonts w:ascii="Palatino Linotype" w:hAnsi="Palatino Linotype" w:cs="Times New Roman"/>
          <w:bCs/>
          <w:sz w:val="21"/>
          <w:szCs w:val="21"/>
        </w:rPr>
        <w:t xml:space="preserve"> ilkesinin de gereğidir. Bu nedenle</w:t>
      </w:r>
      <w:r w:rsidR="008B6FFF" w:rsidRPr="00693DB3">
        <w:rPr>
          <w:rFonts w:ascii="Palatino Linotype" w:hAnsi="Palatino Linotype" w:cs="Times New Roman"/>
          <w:bCs/>
          <w:sz w:val="21"/>
          <w:szCs w:val="21"/>
        </w:rPr>
        <w:t>,</w:t>
      </w:r>
      <w:r w:rsidR="00AE78E5" w:rsidRPr="00693DB3">
        <w:rPr>
          <w:rFonts w:ascii="Palatino Linotype" w:hAnsi="Palatino Linotype" w:cs="Times New Roman"/>
          <w:bCs/>
          <w:sz w:val="21"/>
          <w:szCs w:val="21"/>
        </w:rPr>
        <w:t xml:space="preserve"> zaten Anayasa Mahkemesine</w:t>
      </w:r>
      <w:r w:rsidR="00A5622E" w:rsidRPr="00693DB3">
        <w:rPr>
          <w:rFonts w:ascii="Palatino Linotype" w:hAnsi="Palatino Linotype" w:cs="Times New Roman"/>
          <w:bCs/>
          <w:sz w:val="21"/>
          <w:szCs w:val="21"/>
        </w:rPr>
        <w:t xml:space="preserve"> ve dolayısıyla AİHM’e</w:t>
      </w:r>
      <w:r w:rsidR="00AE78E5" w:rsidRPr="00693DB3">
        <w:rPr>
          <w:rFonts w:ascii="Palatino Linotype" w:hAnsi="Palatino Linotype" w:cs="Times New Roman"/>
          <w:bCs/>
          <w:sz w:val="21"/>
          <w:szCs w:val="21"/>
        </w:rPr>
        <w:t xml:space="preserve"> başvurmadan önce diğer hukuk yollarının tüketilmesi koşulu getirilmiştir. Temel hak ve özgürlüklerin öncelikle kamu makamları ve derece mahkemeleri tarafından korunması gerekir.</w:t>
      </w:r>
    </w:p>
    <w:p w14:paraId="30756F25" w14:textId="77777777" w:rsidR="00CC34E0" w:rsidRPr="00693DB3"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Anayasa’nın 138. maddesi genel olarak yargı kararlarının, 153. maddesi ise özel olarak Anayasa Mahkemesi kararlarının bağlayıcılığını açık ve kesin bir dille düzenlemektedir. Buna göre, “</w:t>
      </w:r>
      <w:r w:rsidRPr="00693DB3">
        <w:rPr>
          <w:rFonts w:ascii="Palatino Linotype" w:hAnsi="Palatino Linotype" w:cs="Times New Roman"/>
          <w:i/>
          <w:iCs/>
          <w:sz w:val="21"/>
          <w:szCs w:val="21"/>
        </w:rPr>
        <w:t>yasama ve yürütme organları ile idare, mahkeme kararlarına uymak zorundadır</w:t>
      </w:r>
      <w:r w:rsidRPr="00693DB3">
        <w:rPr>
          <w:rFonts w:ascii="Palatino Linotype" w:hAnsi="Palatino Linotype" w:cs="Times New Roman"/>
          <w:sz w:val="21"/>
          <w:szCs w:val="21"/>
        </w:rPr>
        <w:t>” (m. 138) ve Anayasa Mahkemesinin kararları “</w:t>
      </w:r>
      <w:r w:rsidRPr="00693DB3">
        <w:rPr>
          <w:rFonts w:ascii="Palatino Linotype" w:hAnsi="Palatino Linotype" w:cs="Times New Roman"/>
          <w:i/>
          <w:iCs/>
          <w:sz w:val="21"/>
          <w:szCs w:val="21"/>
        </w:rPr>
        <w:t>yasama, yürütme ve yargı organlarını, idare makamlarını, gerçek ve tüzelkişileri bağlar</w:t>
      </w:r>
      <w:r w:rsidRPr="00693DB3">
        <w:rPr>
          <w:rFonts w:ascii="Palatino Linotype" w:hAnsi="Palatino Linotype" w:cs="Times New Roman"/>
          <w:sz w:val="21"/>
          <w:szCs w:val="21"/>
        </w:rPr>
        <w:t>” (m.153).</w:t>
      </w:r>
      <w:r w:rsidRPr="00693DB3">
        <w:rPr>
          <w:rFonts w:ascii="Palatino Linotype" w:hAnsi="Palatino Linotype" w:cs="Times New Roman"/>
          <w:color w:val="323232"/>
          <w:sz w:val="21"/>
          <w:szCs w:val="21"/>
          <w:shd w:val="clear" w:color="auto" w:fill="FFFFFF"/>
        </w:rPr>
        <w:t xml:space="preserve"> </w:t>
      </w:r>
      <w:r w:rsidRPr="00693DB3">
        <w:rPr>
          <w:rFonts w:ascii="Palatino Linotype" w:hAnsi="Palatino Linotype" w:cs="Times New Roman"/>
          <w:sz w:val="21"/>
          <w:szCs w:val="21"/>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693DB3">
        <w:rPr>
          <w:rFonts w:ascii="Palatino Linotype" w:hAnsi="Palatino Linotype" w:cs="Times New Roman"/>
          <w:sz w:val="21"/>
          <w:szCs w:val="21"/>
        </w:rPr>
        <w:t xml:space="preserve"> </w:t>
      </w:r>
      <w:r w:rsidRPr="00693DB3">
        <w:rPr>
          <w:rFonts w:ascii="Palatino Linotype" w:hAnsi="Palatino Linotype" w:cs="Times New Roman"/>
          <w:sz w:val="21"/>
          <w:szCs w:val="21"/>
        </w:rPr>
        <w:t>(Aym:</w:t>
      </w:r>
      <w:r w:rsidRPr="00693DB3">
        <w:rPr>
          <w:rFonts w:ascii="Palatino Linotype" w:hAnsi="Palatino Linotype" w:cs="Times New Roman"/>
          <w:i/>
          <w:iCs/>
          <w:color w:val="323232"/>
          <w:sz w:val="21"/>
          <w:szCs w:val="21"/>
          <w:shd w:val="clear" w:color="auto" w:fill="FFFFFF"/>
        </w:rPr>
        <w:t xml:space="preserve"> </w:t>
      </w:r>
      <w:r w:rsidRPr="00693DB3">
        <w:rPr>
          <w:rFonts w:ascii="Palatino Linotype" w:hAnsi="Palatino Linotype" w:cs="Times New Roman"/>
          <w:i/>
          <w:iCs/>
          <w:sz w:val="21"/>
          <w:szCs w:val="21"/>
        </w:rPr>
        <w:t>Şahin Alpay (2)</w:t>
      </w:r>
      <w:r w:rsidRPr="00693DB3">
        <w:rPr>
          <w:rFonts w:ascii="Palatino Linotype" w:hAnsi="Palatino Linotype" w:cs="Times New Roman"/>
          <w:sz w:val="21"/>
          <w:szCs w:val="21"/>
        </w:rPr>
        <w:t> [GK], B. No: 2018/3007, 15/3/2018, § 63; </w:t>
      </w:r>
      <w:r w:rsidRPr="00693DB3">
        <w:rPr>
          <w:rFonts w:ascii="Palatino Linotype" w:hAnsi="Palatino Linotype" w:cs="Times New Roman"/>
          <w:i/>
          <w:iCs/>
          <w:sz w:val="21"/>
          <w:szCs w:val="21"/>
        </w:rPr>
        <w:t>Kadri Enis Berberoğlu (3)</w:t>
      </w:r>
      <w:r w:rsidRPr="00693DB3">
        <w:rPr>
          <w:rFonts w:ascii="Palatino Linotype" w:hAnsi="Palatino Linotype" w:cs="Times New Roman"/>
          <w:sz w:val="21"/>
          <w:szCs w:val="21"/>
        </w:rPr>
        <w:t>, § 102).</w:t>
      </w:r>
    </w:p>
    <w:p w14:paraId="38871179" w14:textId="064A79E4" w:rsidR="00CC34E0" w:rsidRPr="00693DB3"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A</w:t>
      </w:r>
      <w:r w:rsidR="008D184C">
        <w:rPr>
          <w:rFonts w:ascii="Palatino Linotype" w:hAnsi="Palatino Linotype" w:cs="Times New Roman"/>
          <w:sz w:val="21"/>
          <w:szCs w:val="21"/>
        </w:rPr>
        <w:t xml:space="preserve">İHM </w:t>
      </w:r>
      <w:r w:rsidRPr="00693DB3">
        <w:rPr>
          <w:rFonts w:ascii="Palatino Linotype" w:hAnsi="Palatino Linotype" w:cs="Times New Roman"/>
          <w:sz w:val="21"/>
          <w:szCs w:val="21"/>
        </w:rPr>
        <w:t>kararları, A</w:t>
      </w:r>
      <w:r w:rsidR="008D184C">
        <w:rPr>
          <w:rFonts w:ascii="Palatino Linotype" w:hAnsi="Palatino Linotype" w:cs="Times New Roman"/>
          <w:sz w:val="21"/>
          <w:szCs w:val="21"/>
        </w:rPr>
        <w:t>İHM’e</w:t>
      </w:r>
      <w:r w:rsidRPr="00693DB3">
        <w:rPr>
          <w:rFonts w:ascii="Palatino Linotype" w:hAnsi="Palatino Linotype" w:cs="Times New Roman"/>
          <w:sz w:val="21"/>
          <w:szCs w:val="21"/>
        </w:rPr>
        <w:t xml:space="preserve"> taraf Devletler açısından bağlayıcıdır. Sözleşmesi’nin 46. </w:t>
      </w:r>
      <w:r w:rsidR="005D1E85" w:rsidRPr="00693DB3">
        <w:rPr>
          <w:rFonts w:ascii="Palatino Linotype" w:hAnsi="Palatino Linotype" w:cs="Times New Roman"/>
          <w:sz w:val="21"/>
          <w:szCs w:val="21"/>
        </w:rPr>
        <w:t>m</w:t>
      </w:r>
      <w:r w:rsidRPr="00693DB3">
        <w:rPr>
          <w:rFonts w:ascii="Palatino Linotype" w:hAnsi="Palatino Linotype" w:cs="Times New Roman"/>
          <w:sz w:val="21"/>
          <w:szCs w:val="21"/>
        </w:rPr>
        <w:t>addesinin 1. fıkrasına göre, Sözleşmeci Taraflar, taraf oldukları davalarda Mahkemenin kesinleşmiş kararlarına uymayı taahhüt ederler</w:t>
      </w:r>
      <w:r w:rsidR="00CC34E0" w:rsidRPr="00693DB3">
        <w:rPr>
          <w:rFonts w:ascii="Palatino Linotype" w:hAnsi="Palatino Linotype" w:cs="Times New Roman"/>
          <w:sz w:val="21"/>
          <w:szCs w:val="21"/>
        </w:rPr>
        <w:t>.</w:t>
      </w:r>
    </w:p>
    <w:p w14:paraId="73F62854" w14:textId="77777777" w:rsidR="00060B5D" w:rsidRPr="00693DB3"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İlgili Devlet ihlali sona erdirmek ve mümkün olduğunca ihlal öncesi durumu yeniden sağlayacak şekilde ihlalin sonuçlarını giderme yükümlülüğü altındadır</w:t>
      </w:r>
      <w:r w:rsidR="00CC34E0" w:rsidRPr="00693DB3">
        <w:rPr>
          <w:rFonts w:ascii="Palatino Linotype" w:hAnsi="Palatino Linotype" w:cs="Times New Roman"/>
          <w:sz w:val="21"/>
          <w:szCs w:val="21"/>
        </w:rPr>
        <w:t xml:space="preserve">. </w:t>
      </w:r>
      <w:r w:rsidRPr="00693DB3">
        <w:rPr>
          <w:rFonts w:ascii="Palatino Linotype" w:hAnsi="Palatino Linotype" w:cs="Times New Roman"/>
          <w:sz w:val="21"/>
          <w:szCs w:val="21"/>
        </w:rPr>
        <w:t xml:space="preserve">Türkiye Cumhuriyeti AİHS’e taraf bir devlettir. AİHS’e taraf devlet olmak, AİHM’in zorunlu yargı yetkisini tanımayı ve bu yargı yetkisinin kullanılması sonucu verilen ihlal kararlarının gerektirdiği ihlal giderici tedbirleri almayı </w:t>
      </w:r>
      <w:r w:rsidRPr="00693DB3">
        <w:rPr>
          <w:rFonts w:ascii="Palatino Linotype" w:hAnsi="Palatino Linotype" w:cs="Times New Roman"/>
          <w:sz w:val="21"/>
          <w:szCs w:val="21"/>
        </w:rPr>
        <w:lastRenderedPageBreak/>
        <w:t>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AİHM’in kararının anlamı, uluslararası hukuka aykırılığın ulusal hukuk tarafından ortadan kaldırılması gerekliliğinin saptanmasıdır. Bu saptamanın ardından ihlali giderme ödevi ulusal mercilerindir.</w:t>
      </w:r>
    </w:p>
    <w:p w14:paraId="25F0213A" w14:textId="77777777" w:rsidR="00AE4031" w:rsidRPr="00693DB3" w:rsidRDefault="00060B5D" w:rsidP="004978F0">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Türkiye</w:t>
      </w:r>
      <w:r w:rsidR="00AE4031" w:rsidRPr="00693DB3">
        <w:rPr>
          <w:rFonts w:ascii="Palatino Linotype" w:hAnsi="Palatino Linotype" w:cs="Times New Roman"/>
          <w:sz w:val="21"/>
          <w:szCs w:val="21"/>
        </w:rPr>
        <w:t>’de</w:t>
      </w:r>
      <w:r w:rsidRPr="00693DB3">
        <w:rPr>
          <w:rFonts w:ascii="Palatino Linotype" w:hAnsi="Palatino Linotype" w:cs="Times New Roman"/>
          <w:sz w:val="21"/>
          <w:szCs w:val="21"/>
        </w:rPr>
        <w:t xml:space="preserve"> de, </w:t>
      </w:r>
      <w:r w:rsidR="00AE4031" w:rsidRPr="00693DB3">
        <w:rPr>
          <w:rFonts w:ascii="Palatino Linotype" w:hAnsi="Palatino Linotype" w:cs="Times New Roman"/>
          <w:sz w:val="21"/>
          <w:szCs w:val="21"/>
        </w:rPr>
        <w:t xml:space="preserve">Yasama, Yürütme ve Yargı </w:t>
      </w:r>
      <w:r w:rsidRPr="00693DB3">
        <w:rPr>
          <w:rFonts w:ascii="Palatino Linotype" w:hAnsi="Palatino Linotype" w:cs="Times New Roman"/>
          <w:sz w:val="21"/>
          <w:szCs w:val="21"/>
        </w:rPr>
        <w:t xml:space="preserve">Anayasanın 90. </w:t>
      </w:r>
      <w:r w:rsidR="00AE4031" w:rsidRPr="00693DB3">
        <w:rPr>
          <w:rFonts w:ascii="Palatino Linotype" w:hAnsi="Palatino Linotype" w:cs="Times New Roman"/>
          <w:sz w:val="21"/>
          <w:szCs w:val="21"/>
        </w:rPr>
        <w:t>m</w:t>
      </w:r>
      <w:r w:rsidRPr="00693DB3">
        <w:rPr>
          <w:rFonts w:ascii="Palatino Linotype" w:hAnsi="Palatino Linotype" w:cs="Times New Roman"/>
          <w:sz w:val="21"/>
          <w:szCs w:val="21"/>
        </w:rPr>
        <w:t>addesi ve Sözleşme’nin 46 ile CMK’nın 311/1-e,f maddesi gereği</w:t>
      </w:r>
      <w:r w:rsidR="00AE4031" w:rsidRPr="00693DB3">
        <w:rPr>
          <w:rFonts w:ascii="Palatino Linotype" w:hAnsi="Palatino Linotype" w:cs="Times New Roman"/>
          <w:sz w:val="21"/>
          <w:szCs w:val="21"/>
        </w:rPr>
        <w:t xml:space="preserve"> tespit edilen ihlali gidermekle yükümlüdürler.</w:t>
      </w:r>
    </w:p>
    <w:p w14:paraId="46336AE6" w14:textId="77777777" w:rsidR="00960E79" w:rsidRPr="00693DB3" w:rsidRDefault="00960E79" w:rsidP="00960E79">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 xml:space="preserve">Anayasa Mahkemesi’nin İbrahim Er kararına konu olan olayda, </w:t>
      </w:r>
      <w:r w:rsidRPr="00693DB3">
        <w:rPr>
          <w:rFonts w:ascii="Palatino Linotype" w:hAnsi="Palatino Linotype" w:cs="Times New Roman"/>
          <w:b/>
          <w:bCs/>
          <w:sz w:val="21"/>
          <w:szCs w:val="21"/>
          <w:u w:val="single"/>
        </w:rPr>
        <w:t xml:space="preserve">AYM’nin Yılmaz Çelik kararı “yeni olay” (olgu) olarak mahkemeye sunulup yargılamanın yenilenmesi talep edilmiş, ilgili mahkemeler ise bu kararın CMK madde 311/e’de belirtilen yeni olaylar ibaresi içerisine girmeyeceğini belirterek bu talebi reddetmiştir </w:t>
      </w:r>
      <w:r w:rsidRPr="00693DB3">
        <w:rPr>
          <w:rFonts w:ascii="Palatino Linotype" w:hAnsi="Palatino Linotype" w:cs="Times New Roman"/>
          <w:sz w:val="21"/>
          <w:szCs w:val="21"/>
        </w:rPr>
        <w:t xml:space="preserve">(Bkz. Karşı Oy Gerekçesi § 7). Bu karar üzerine yapılan itiraz da reddedilmiş ve ilgililer AYM’ye bireysel başvuruda bulunmuşlardır. </w:t>
      </w:r>
    </w:p>
    <w:p w14:paraId="3D98C888" w14:textId="77777777" w:rsidR="00960E79" w:rsidRPr="00693DB3" w:rsidRDefault="00960E79" w:rsidP="00960E79">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693DB3">
        <w:rPr>
          <w:rFonts w:ascii="Palatino Linotype" w:hAnsi="Palatino Linotype" w:cs="Times New Roman"/>
          <w:sz w:val="21"/>
          <w:szCs w:val="21"/>
        </w:rPr>
        <w:t xml:space="preserve">AYM Genel Kurulu konuyla ilgili verdiği kararında; Bursa 2. Ağır Ceza Mahkemesi yeniden yargılama talebini </w:t>
      </w:r>
      <w:r w:rsidRPr="00693DB3">
        <w:rPr>
          <w:rFonts w:ascii="Palatino Linotype" w:hAnsi="Palatino Linotype" w:cs="Times New Roman"/>
          <w:b/>
          <w:bCs/>
          <w:sz w:val="21"/>
          <w:szCs w:val="21"/>
          <w:u w:val="single"/>
        </w:rPr>
        <w:t xml:space="preserve">başvurucuların aldıkları cezanın sonucunu değiştirebilecek iddialarına herhangi bir cevap vermeden reddettiğini (§ 54), başvurucular tarafından ileri sürülen ve yargılamanın sonucunu değiştirme ihtimali bulunan iddiaların dikkate alınmaması ve gereği gibi değerlendirilmemesi nedeniyle Anayasa’nın 36. maddesinde güvence altına alınan adil yargılanma hakkı kapsamında gerekçeli karar hakkının ihlal edildiğine karar verilmesi gerekir ((§ 55) </w:t>
      </w:r>
      <w:r w:rsidRPr="00693DB3">
        <w:rPr>
          <w:rFonts w:ascii="Palatino Linotype" w:hAnsi="Palatino Linotype" w:cs="Times New Roman"/>
          <w:sz w:val="21"/>
          <w:szCs w:val="21"/>
        </w:rPr>
        <w:t>demiş ve ihlal kararı vermiştir.</w:t>
      </w:r>
    </w:p>
    <w:p w14:paraId="2951D995" w14:textId="426F73B4" w:rsidR="00960E79" w:rsidRPr="00693DB3" w:rsidRDefault="00960E79" w:rsidP="00960E79">
      <w:pPr>
        <w:pStyle w:val="ListeParagraf"/>
        <w:numPr>
          <w:ilvl w:val="0"/>
          <w:numId w:val="2"/>
        </w:numPr>
        <w:tabs>
          <w:tab w:val="left" w:pos="3870"/>
        </w:tabs>
        <w:spacing w:line="360" w:lineRule="auto"/>
        <w:ind w:left="630" w:right="-378"/>
        <w:jc w:val="both"/>
        <w:rPr>
          <w:rFonts w:ascii="Palatino Linotype" w:hAnsi="Palatino Linotype" w:cs="Times New Roman"/>
          <w:b/>
          <w:bCs/>
          <w:sz w:val="21"/>
          <w:szCs w:val="21"/>
          <w:u w:val="single"/>
        </w:rPr>
      </w:pPr>
      <w:r w:rsidRPr="00693DB3">
        <w:rPr>
          <w:rFonts w:ascii="Palatino Linotype" w:hAnsi="Palatino Linotype" w:cs="Times New Roman"/>
          <w:b/>
          <w:bCs/>
          <w:sz w:val="21"/>
          <w:szCs w:val="21"/>
          <w:u w:val="single"/>
        </w:rPr>
        <w:t xml:space="preserve">Başvurumuza konu olay ile AYM’nin İbrahim Er kararına konu olay aynıdır. AİHM’in </w:t>
      </w:r>
      <w:r w:rsidR="008D184C">
        <w:rPr>
          <w:rFonts w:ascii="Palatino Linotype" w:hAnsi="Palatino Linotype" w:cs="Times New Roman"/>
          <w:b/>
          <w:bCs/>
          <w:sz w:val="21"/>
          <w:szCs w:val="21"/>
          <w:u w:val="single"/>
        </w:rPr>
        <w:t xml:space="preserve">Yasak ve </w:t>
      </w:r>
      <w:r w:rsidRPr="00693DB3">
        <w:rPr>
          <w:rFonts w:ascii="Palatino Linotype" w:hAnsi="Palatino Linotype" w:cs="Times New Roman"/>
          <w:b/>
          <w:bCs/>
          <w:sz w:val="21"/>
          <w:szCs w:val="21"/>
          <w:u w:val="single"/>
        </w:rPr>
        <w:t>Yalçınkaya</w:t>
      </w:r>
      <w:r w:rsidR="008D184C">
        <w:rPr>
          <w:rFonts w:ascii="Palatino Linotype" w:hAnsi="Palatino Linotype" w:cs="Times New Roman"/>
          <w:b/>
          <w:bCs/>
          <w:sz w:val="21"/>
          <w:szCs w:val="21"/>
          <w:u w:val="single"/>
        </w:rPr>
        <w:t>/Türkiye</w:t>
      </w:r>
      <w:r w:rsidRPr="00693DB3">
        <w:rPr>
          <w:rFonts w:ascii="Palatino Linotype" w:hAnsi="Palatino Linotype" w:cs="Times New Roman"/>
          <w:b/>
          <w:bCs/>
          <w:sz w:val="21"/>
          <w:szCs w:val="21"/>
          <w:u w:val="single"/>
        </w:rPr>
        <w:t xml:space="preserve"> karar</w:t>
      </w:r>
      <w:r w:rsidR="008D184C">
        <w:rPr>
          <w:rFonts w:ascii="Palatino Linotype" w:hAnsi="Palatino Linotype" w:cs="Times New Roman"/>
          <w:b/>
          <w:bCs/>
          <w:sz w:val="21"/>
          <w:szCs w:val="21"/>
          <w:u w:val="single"/>
        </w:rPr>
        <w:t>lar</w:t>
      </w:r>
      <w:r w:rsidRPr="00693DB3">
        <w:rPr>
          <w:rFonts w:ascii="Palatino Linotype" w:hAnsi="Palatino Linotype" w:cs="Times New Roman"/>
          <w:b/>
          <w:bCs/>
          <w:sz w:val="21"/>
          <w:szCs w:val="21"/>
          <w:u w:val="single"/>
        </w:rPr>
        <w:t xml:space="preserve">ında ortaya konulan ilkeler, </w:t>
      </w:r>
      <w:r w:rsidRPr="00693DB3">
        <w:rPr>
          <w:rFonts w:ascii="Palatino Linotype" w:hAnsi="Palatino Linotype" w:cs="Times New Roman"/>
          <w:b/>
          <w:bCs/>
          <w:sz w:val="21"/>
          <w:szCs w:val="21"/>
          <w:highlight w:val="yellow"/>
          <w:u w:val="single"/>
        </w:rPr>
        <w:t>aldığım/eşimin aldığı/ vasisi olduğum …’in aldığı</w:t>
      </w:r>
      <w:r w:rsidRPr="00693DB3">
        <w:rPr>
          <w:rFonts w:ascii="Palatino Linotype" w:hAnsi="Palatino Linotype" w:cs="Times New Roman"/>
          <w:b/>
          <w:bCs/>
          <w:sz w:val="21"/>
          <w:szCs w:val="21"/>
          <w:u w:val="single"/>
        </w:rPr>
        <w:t xml:space="preserve"> cezanın sonucunu değiştirecek niteliktedir. Zira Yalçınkaya </w:t>
      </w:r>
      <w:r w:rsidR="008D184C">
        <w:rPr>
          <w:rFonts w:ascii="Palatino Linotype" w:hAnsi="Palatino Linotype" w:cs="Times New Roman"/>
          <w:b/>
          <w:bCs/>
          <w:sz w:val="21"/>
          <w:szCs w:val="21"/>
          <w:u w:val="single"/>
        </w:rPr>
        <w:t xml:space="preserve">ve Yasak Türkiye </w:t>
      </w:r>
      <w:r w:rsidRPr="00693DB3">
        <w:rPr>
          <w:rFonts w:ascii="Palatino Linotype" w:hAnsi="Palatino Linotype" w:cs="Times New Roman"/>
          <w:b/>
          <w:bCs/>
          <w:sz w:val="21"/>
          <w:szCs w:val="21"/>
          <w:u w:val="single"/>
        </w:rPr>
        <w:t>karar</w:t>
      </w:r>
      <w:r w:rsidR="008D184C">
        <w:rPr>
          <w:rFonts w:ascii="Palatino Linotype" w:hAnsi="Palatino Linotype" w:cs="Times New Roman"/>
          <w:b/>
          <w:bCs/>
          <w:sz w:val="21"/>
          <w:szCs w:val="21"/>
          <w:u w:val="single"/>
        </w:rPr>
        <w:t>lar</w:t>
      </w:r>
      <w:r w:rsidRPr="00693DB3">
        <w:rPr>
          <w:rFonts w:ascii="Palatino Linotype" w:hAnsi="Palatino Linotype" w:cs="Times New Roman"/>
          <w:b/>
          <w:bCs/>
          <w:sz w:val="21"/>
          <w:szCs w:val="21"/>
          <w:u w:val="single"/>
        </w:rPr>
        <w:t xml:space="preserve">ına konu olayda olduğu gibi </w:t>
      </w:r>
      <w:r w:rsidRPr="00693DB3">
        <w:rPr>
          <w:rFonts w:ascii="Palatino Linotype" w:hAnsi="Palatino Linotype" w:cs="Times New Roman"/>
          <w:b/>
          <w:bCs/>
          <w:sz w:val="21"/>
          <w:szCs w:val="21"/>
          <w:highlight w:val="yellow"/>
          <w:u w:val="single"/>
        </w:rPr>
        <w:t>yargılandığım/eşimin yargılandığı/vasisi olduğum …’in yargılandığı</w:t>
      </w:r>
      <w:r w:rsidRPr="00693DB3">
        <w:rPr>
          <w:rFonts w:ascii="Palatino Linotype" w:hAnsi="Palatino Linotype" w:cs="Times New Roman"/>
          <w:b/>
          <w:bCs/>
          <w:sz w:val="21"/>
          <w:szCs w:val="21"/>
          <w:u w:val="single"/>
        </w:rPr>
        <w:t xml:space="preserve"> dosyada da suçun unsurlarının oluşup oluşmadığı dahi araştırılmamış ve kriter kabul edilen deliller suçun unsuru yerine ikame edilerek </w:t>
      </w:r>
      <w:r w:rsidRPr="00693DB3">
        <w:rPr>
          <w:rFonts w:ascii="Palatino Linotype" w:hAnsi="Palatino Linotype" w:cs="Times New Roman"/>
          <w:b/>
          <w:bCs/>
          <w:sz w:val="21"/>
          <w:szCs w:val="21"/>
          <w:highlight w:val="yellow"/>
          <w:u w:val="single"/>
        </w:rPr>
        <w:t>cezalandırıldım/eşim cezalandırıldı/vasisi olduğum … cezalandırıldı.</w:t>
      </w:r>
      <w:r w:rsidRPr="00693DB3">
        <w:rPr>
          <w:rFonts w:ascii="Palatino Linotype" w:hAnsi="Palatino Linotype" w:cs="Times New Roman"/>
          <w:b/>
          <w:bCs/>
          <w:sz w:val="21"/>
          <w:szCs w:val="21"/>
          <w:u w:val="single"/>
        </w:rPr>
        <w:t xml:space="preserve"> Bu durum da hiç kuskusuz suç ve cezaların </w:t>
      </w:r>
      <w:r w:rsidRPr="00693DB3">
        <w:rPr>
          <w:rFonts w:ascii="Palatino Linotype" w:hAnsi="Palatino Linotype" w:cs="Times New Roman"/>
          <w:b/>
          <w:bCs/>
          <w:sz w:val="21"/>
          <w:szCs w:val="21"/>
          <w:u w:val="single"/>
        </w:rPr>
        <w:lastRenderedPageBreak/>
        <w:t>yasallığı ilkesine aykırıdır. AİHM’in Yalçınkaya</w:t>
      </w:r>
      <w:r w:rsidR="008D184C">
        <w:rPr>
          <w:rFonts w:ascii="Palatino Linotype" w:hAnsi="Palatino Linotype" w:cs="Times New Roman"/>
          <w:b/>
          <w:bCs/>
          <w:sz w:val="21"/>
          <w:szCs w:val="21"/>
          <w:u w:val="single"/>
        </w:rPr>
        <w:t xml:space="preserve"> ve Yasak/Türkiye</w:t>
      </w:r>
      <w:r w:rsidRPr="00693DB3">
        <w:rPr>
          <w:rFonts w:ascii="Palatino Linotype" w:hAnsi="Palatino Linotype" w:cs="Times New Roman"/>
          <w:b/>
          <w:bCs/>
          <w:sz w:val="21"/>
          <w:szCs w:val="21"/>
          <w:u w:val="single"/>
        </w:rPr>
        <w:t xml:space="preserve"> karar</w:t>
      </w:r>
      <w:r w:rsidR="008D184C">
        <w:rPr>
          <w:rFonts w:ascii="Palatino Linotype" w:hAnsi="Palatino Linotype" w:cs="Times New Roman"/>
          <w:b/>
          <w:bCs/>
          <w:sz w:val="21"/>
          <w:szCs w:val="21"/>
          <w:u w:val="single"/>
        </w:rPr>
        <w:t>lar</w:t>
      </w:r>
      <w:r w:rsidRPr="00693DB3">
        <w:rPr>
          <w:rFonts w:ascii="Palatino Linotype" w:hAnsi="Palatino Linotype" w:cs="Times New Roman"/>
          <w:b/>
          <w:bCs/>
          <w:sz w:val="21"/>
          <w:szCs w:val="21"/>
          <w:u w:val="single"/>
        </w:rPr>
        <w:t xml:space="preserve">ındaki ihlal sebeplerini gerekçe yaparak ileri sürdüğümüz hususlar hiç kuşkusuz yargılamanın sonucunu değiştirecek niteliktedir ve </w:t>
      </w:r>
      <w:r w:rsidR="008D184C">
        <w:rPr>
          <w:rFonts w:ascii="Palatino Linotype" w:hAnsi="Palatino Linotype" w:cs="Times New Roman"/>
          <w:b/>
          <w:bCs/>
          <w:sz w:val="21"/>
          <w:szCs w:val="21"/>
          <w:u w:val="single"/>
        </w:rPr>
        <w:t>bu kararlardaki</w:t>
      </w:r>
      <w:r w:rsidRPr="00693DB3">
        <w:rPr>
          <w:rFonts w:ascii="Palatino Linotype" w:hAnsi="Palatino Linotype" w:cs="Times New Roman"/>
          <w:b/>
          <w:bCs/>
          <w:sz w:val="21"/>
          <w:szCs w:val="21"/>
          <w:u w:val="single"/>
        </w:rPr>
        <w:t xml:space="preserve"> ihlal gerekçelerinin </w:t>
      </w:r>
      <w:r w:rsidRPr="00693DB3">
        <w:rPr>
          <w:rFonts w:ascii="Palatino Linotype" w:hAnsi="Palatino Linotype" w:cs="Times New Roman"/>
          <w:b/>
          <w:bCs/>
          <w:sz w:val="21"/>
          <w:szCs w:val="21"/>
          <w:highlight w:val="yellow"/>
          <w:u w:val="single"/>
        </w:rPr>
        <w:t>dosyamda/eşimin dosyasında/vasisi olduğum …’in dosyasında</w:t>
      </w:r>
      <w:r w:rsidRPr="00693DB3">
        <w:rPr>
          <w:rFonts w:ascii="Palatino Linotype" w:hAnsi="Palatino Linotype" w:cs="Times New Roman"/>
          <w:b/>
          <w:bCs/>
          <w:sz w:val="21"/>
          <w:szCs w:val="21"/>
          <w:u w:val="single"/>
        </w:rPr>
        <w:t xml:space="preserve"> tatbiki halinde müvekkil hakkında beraatı kararı verilmesi gerekmektedir. </w:t>
      </w:r>
    </w:p>
    <w:p w14:paraId="766FC6AC" w14:textId="77777777" w:rsidR="004D331F" w:rsidRDefault="00960E79" w:rsidP="004D331F">
      <w:pPr>
        <w:pStyle w:val="ListeParagraf"/>
        <w:numPr>
          <w:ilvl w:val="0"/>
          <w:numId w:val="2"/>
        </w:numPr>
        <w:tabs>
          <w:tab w:val="left" w:pos="3870"/>
        </w:tabs>
        <w:spacing w:line="360" w:lineRule="auto"/>
        <w:ind w:left="630" w:right="-378"/>
        <w:jc w:val="both"/>
        <w:rPr>
          <w:rFonts w:ascii="Palatino Linotype" w:hAnsi="Palatino Linotype" w:cs="Times New Roman"/>
          <w:b/>
          <w:bCs/>
          <w:sz w:val="21"/>
          <w:szCs w:val="21"/>
          <w:u w:val="single"/>
        </w:rPr>
      </w:pPr>
      <w:r w:rsidRPr="00693DB3">
        <w:rPr>
          <w:rFonts w:ascii="Palatino Linotype" w:hAnsi="Palatino Linotype" w:cs="Times New Roman"/>
          <w:sz w:val="21"/>
          <w:szCs w:val="21"/>
        </w:rPr>
        <w:t xml:space="preserve">Yaptığımız yeniden yargılanma talebi değerlendirilirken, </w:t>
      </w:r>
      <w:r w:rsidRPr="00693DB3">
        <w:rPr>
          <w:rFonts w:ascii="Palatino Linotype" w:hAnsi="Palatino Linotype" w:cs="Times New Roman"/>
          <w:b/>
          <w:bCs/>
          <w:sz w:val="21"/>
          <w:szCs w:val="21"/>
          <w:u w:val="single"/>
        </w:rPr>
        <w:t xml:space="preserve">yukarıda ayrıntılı şekilde yer verilen hususlar ve iddialarımız dikkate alınarak karar verilmelidir. Aksi durumun kabulü, AYM’nin İbrahim Er kararında belirttiği üzere Anayasanın 36 ve AİHS’in 6. maddelerinde düzenlenen gerekçeli karar hakkının ihlaline sebebiyet verecektir.  </w:t>
      </w:r>
    </w:p>
    <w:p w14:paraId="4EB5A3A1" w14:textId="54CC3620" w:rsidR="004D331F" w:rsidRPr="004D331F" w:rsidRDefault="00AE4031" w:rsidP="004D331F">
      <w:pPr>
        <w:tabs>
          <w:tab w:val="left" w:pos="3870"/>
        </w:tabs>
        <w:spacing w:line="360" w:lineRule="auto"/>
        <w:ind w:left="270" w:right="-378"/>
        <w:jc w:val="both"/>
        <w:rPr>
          <w:rFonts w:ascii="Palatino Linotype" w:hAnsi="Palatino Linotype" w:cs="Times New Roman"/>
          <w:b/>
          <w:bCs/>
          <w:sz w:val="21"/>
          <w:szCs w:val="21"/>
          <w:u w:val="single"/>
        </w:rPr>
      </w:pPr>
      <w:r w:rsidRPr="004D331F">
        <w:rPr>
          <w:rFonts w:ascii="Palatino Linotype" w:hAnsi="Palatino Linotype" w:cs="Times New Roman"/>
          <w:b/>
          <w:bCs/>
          <w:sz w:val="21"/>
          <w:szCs w:val="21"/>
        </w:rPr>
        <w:t>V. T</w:t>
      </w:r>
      <w:r w:rsidR="00DD64B9">
        <w:rPr>
          <w:rFonts w:ascii="Palatino Linotype" w:hAnsi="Palatino Linotype" w:cs="Times New Roman"/>
          <w:b/>
          <w:bCs/>
          <w:sz w:val="21"/>
          <w:szCs w:val="21"/>
        </w:rPr>
        <w:t>alep</w:t>
      </w:r>
    </w:p>
    <w:p w14:paraId="662E7258" w14:textId="07973414" w:rsidR="004D331F" w:rsidRPr="004D331F" w:rsidRDefault="00AE4031" w:rsidP="004D331F">
      <w:pPr>
        <w:pStyle w:val="ListeParagraf"/>
        <w:numPr>
          <w:ilvl w:val="0"/>
          <w:numId w:val="2"/>
        </w:numPr>
        <w:tabs>
          <w:tab w:val="left" w:pos="3870"/>
        </w:tabs>
        <w:spacing w:line="360" w:lineRule="auto"/>
        <w:ind w:left="630" w:right="-378"/>
        <w:jc w:val="both"/>
        <w:rPr>
          <w:rFonts w:ascii="Palatino Linotype" w:hAnsi="Palatino Linotype" w:cs="Times New Roman"/>
          <w:b/>
          <w:bCs/>
          <w:sz w:val="21"/>
          <w:szCs w:val="21"/>
          <w:u w:val="single"/>
        </w:rPr>
      </w:pPr>
      <w:r w:rsidRPr="004D331F">
        <w:rPr>
          <w:rFonts w:ascii="Palatino Linotype" w:hAnsi="Palatino Linotype" w:cs="Times New Roman"/>
          <w:color w:val="010000"/>
          <w:sz w:val="21"/>
          <w:szCs w:val="21"/>
          <w:shd w:val="clear" w:color="auto" w:fill="FFFFFF"/>
        </w:rPr>
        <w:t xml:space="preserve">Yukarıda yer verilen </w:t>
      </w:r>
      <w:r w:rsidR="004D331F" w:rsidRPr="004D331F">
        <w:rPr>
          <w:rFonts w:ascii="Palatino Linotype" w:hAnsi="Palatino Linotype"/>
          <w:color w:val="000000"/>
          <w:sz w:val="21"/>
          <w:szCs w:val="21"/>
        </w:rPr>
        <w:t>Anayasa'nın 90. maddesi uyarınca iç hukukumuzun bir parçası olan ve bağlayıcılığı tartışmasız olan Avrupa İnsan Hakları Mahkemesi Büyük Dairesi'nin</w:t>
      </w:r>
      <w:r w:rsidR="004D331F" w:rsidRPr="004D331F">
        <w:rPr>
          <w:rStyle w:val="apple-converted-space"/>
          <w:rFonts w:ascii="Palatino Linotype" w:eastAsiaTheme="majorEastAsia" w:hAnsi="Palatino Linotype"/>
          <w:color w:val="000000"/>
          <w:sz w:val="21"/>
          <w:szCs w:val="21"/>
        </w:rPr>
        <w:t> </w:t>
      </w:r>
      <w:r w:rsidR="004D331F" w:rsidRPr="004D331F">
        <w:rPr>
          <w:rFonts w:ascii="Palatino Linotype" w:hAnsi="Palatino Linotype"/>
          <w:i/>
          <w:iCs/>
          <w:color w:val="000000"/>
          <w:sz w:val="21"/>
          <w:szCs w:val="21"/>
        </w:rPr>
        <w:t>Yasak v. Türkiye</w:t>
      </w:r>
      <w:r w:rsidR="004D331F" w:rsidRPr="004D331F">
        <w:rPr>
          <w:rStyle w:val="apple-converted-space"/>
          <w:rFonts w:ascii="Palatino Linotype" w:eastAsiaTheme="majorEastAsia" w:hAnsi="Palatino Linotype"/>
          <w:color w:val="000000"/>
          <w:sz w:val="21"/>
          <w:szCs w:val="21"/>
        </w:rPr>
        <w:t> </w:t>
      </w:r>
      <w:r w:rsidR="004D331F" w:rsidRPr="004D331F">
        <w:rPr>
          <w:rFonts w:ascii="Palatino Linotype" w:hAnsi="Palatino Linotype"/>
          <w:color w:val="000000"/>
          <w:sz w:val="21"/>
          <w:szCs w:val="21"/>
        </w:rPr>
        <w:t>ve</w:t>
      </w:r>
      <w:r w:rsidR="004D331F" w:rsidRPr="004D331F">
        <w:rPr>
          <w:rStyle w:val="apple-converted-space"/>
          <w:rFonts w:ascii="Palatino Linotype" w:eastAsiaTheme="majorEastAsia" w:hAnsi="Palatino Linotype"/>
          <w:color w:val="000000"/>
          <w:sz w:val="21"/>
          <w:szCs w:val="21"/>
        </w:rPr>
        <w:t> </w:t>
      </w:r>
      <w:r w:rsidR="004D331F" w:rsidRPr="004D331F">
        <w:rPr>
          <w:rFonts w:ascii="Palatino Linotype" w:hAnsi="Palatino Linotype"/>
          <w:i/>
          <w:iCs/>
          <w:color w:val="000000"/>
          <w:sz w:val="21"/>
          <w:szCs w:val="21"/>
        </w:rPr>
        <w:t>Yalçınkaya v. Türkiye</w:t>
      </w:r>
      <w:r w:rsidR="004D331F" w:rsidRPr="004D331F">
        <w:rPr>
          <w:rStyle w:val="apple-converted-space"/>
          <w:rFonts w:ascii="Palatino Linotype" w:eastAsiaTheme="majorEastAsia" w:hAnsi="Palatino Linotype"/>
          <w:color w:val="000000"/>
          <w:sz w:val="21"/>
          <w:szCs w:val="21"/>
        </w:rPr>
        <w:t> </w:t>
      </w:r>
      <w:r w:rsidR="004D331F" w:rsidRPr="004D331F">
        <w:rPr>
          <w:rFonts w:ascii="Palatino Linotype" w:hAnsi="Palatino Linotype"/>
          <w:color w:val="000000"/>
          <w:sz w:val="21"/>
          <w:szCs w:val="21"/>
        </w:rPr>
        <w:t>kararlarında ortaya konulan evrensel hukuk standartları ışığında; müvekkile atfedilen 15 Temmuz öncesine ait yasal eylemlerin suçun "manevi unsurunu (kasıt)" hiçbir şekilde ihtiva etmediği, fiillerin işlendiği o dönem itibarıyla yapının şiddet ve terör amacının müvekkil tarafından bilinmesinin hukuken ve fiilen mümkün olmadığı, varsayıma veya aidiyete dayalı kolektif cezalandırma yapılamayacağı hususları ve şüpheden sanık yararlanır evrensel ilkesi gözetilerek;</w:t>
      </w:r>
    </w:p>
    <w:p w14:paraId="1418B145" w14:textId="01F8B04A" w:rsidR="00B64CC8" w:rsidRPr="00693DB3" w:rsidRDefault="00AE4031" w:rsidP="006112FE">
      <w:pPr>
        <w:pStyle w:val="ListeParagraf"/>
        <w:numPr>
          <w:ilvl w:val="0"/>
          <w:numId w:val="3"/>
        </w:numPr>
        <w:tabs>
          <w:tab w:val="left" w:pos="3870"/>
        </w:tabs>
        <w:spacing w:line="360" w:lineRule="auto"/>
        <w:ind w:left="990" w:right="-378"/>
        <w:jc w:val="both"/>
        <w:rPr>
          <w:rFonts w:ascii="Palatino Linotype" w:hAnsi="Palatino Linotype" w:cs="Times New Roman"/>
          <w:b/>
          <w:color w:val="010000"/>
          <w:sz w:val="21"/>
          <w:szCs w:val="21"/>
          <w:u w:val="thick"/>
          <w:shd w:val="clear" w:color="auto" w:fill="FFFFFF"/>
        </w:rPr>
      </w:pPr>
      <w:r w:rsidRPr="00693DB3">
        <w:rPr>
          <w:rFonts w:ascii="Palatino Linotype" w:hAnsi="Palatino Linotype" w:cs="Times New Roman"/>
          <w:color w:val="010000"/>
          <w:sz w:val="21"/>
          <w:szCs w:val="21"/>
          <w:shd w:val="clear" w:color="auto" w:fill="FFFFFF"/>
        </w:rPr>
        <w:t>AİHM</w:t>
      </w:r>
      <w:r w:rsidR="008D184C">
        <w:rPr>
          <w:rFonts w:ascii="Palatino Linotype" w:hAnsi="Palatino Linotype" w:cs="Times New Roman"/>
          <w:color w:val="010000"/>
          <w:sz w:val="21"/>
          <w:szCs w:val="21"/>
          <w:shd w:val="clear" w:color="auto" w:fill="FFFFFF"/>
        </w:rPr>
        <w:t>’in Yasak/Türkiye</w:t>
      </w:r>
      <w:r w:rsidRPr="00693DB3">
        <w:rPr>
          <w:rFonts w:ascii="Palatino Linotype" w:hAnsi="Palatino Linotype" w:cs="Times New Roman"/>
          <w:color w:val="010000"/>
          <w:sz w:val="21"/>
          <w:szCs w:val="21"/>
          <w:shd w:val="clear" w:color="auto" w:fill="FFFFFF"/>
        </w:rPr>
        <w:t xml:space="preserve"> kararı ve açıklamalar gereği, </w:t>
      </w:r>
      <w:r w:rsidR="00B64CC8" w:rsidRPr="00693DB3">
        <w:rPr>
          <w:rFonts w:ascii="Palatino Linotype" w:hAnsi="Palatino Linotype" w:cs="Times New Roman"/>
          <w:color w:val="010000"/>
          <w:sz w:val="21"/>
          <w:szCs w:val="21"/>
          <w:highlight w:val="yellow"/>
          <w:shd w:val="clear" w:color="auto" w:fill="FFFFFF"/>
        </w:rPr>
        <w:t>durumu</w:t>
      </w:r>
      <w:r w:rsidR="005D1E85" w:rsidRPr="00693DB3">
        <w:rPr>
          <w:rFonts w:ascii="Palatino Linotype" w:hAnsi="Palatino Linotype" w:cs="Times New Roman"/>
          <w:color w:val="010000"/>
          <w:sz w:val="21"/>
          <w:szCs w:val="21"/>
          <w:highlight w:val="yellow"/>
          <w:shd w:val="clear" w:color="auto" w:fill="FFFFFF"/>
        </w:rPr>
        <w:t>m</w:t>
      </w:r>
      <w:r w:rsidR="000B65FA" w:rsidRPr="00693DB3">
        <w:rPr>
          <w:rFonts w:ascii="Palatino Linotype" w:hAnsi="Palatino Linotype" w:cs="Times New Roman"/>
          <w:color w:val="010000"/>
          <w:sz w:val="21"/>
          <w:szCs w:val="21"/>
          <w:highlight w:val="yellow"/>
          <w:shd w:val="clear" w:color="auto" w:fill="FFFFFF"/>
        </w:rPr>
        <w:t>/eşimin/vasisi olduğum</w:t>
      </w:r>
      <w:proofErr w:type="gramStart"/>
      <w:r w:rsidR="000B65FA" w:rsidRPr="00693DB3">
        <w:rPr>
          <w:rFonts w:ascii="Palatino Linotype" w:hAnsi="Palatino Linotype" w:cs="Times New Roman"/>
          <w:color w:val="010000"/>
          <w:sz w:val="21"/>
          <w:szCs w:val="21"/>
          <w:highlight w:val="yellow"/>
          <w:shd w:val="clear" w:color="auto" w:fill="FFFFFF"/>
        </w:rPr>
        <w:t xml:space="preserve"> ….</w:t>
      </w:r>
      <w:proofErr w:type="gramEnd"/>
      <w:r w:rsidR="000B65FA" w:rsidRPr="00693DB3">
        <w:rPr>
          <w:rFonts w:ascii="Palatino Linotype" w:hAnsi="Palatino Linotype" w:cs="Times New Roman"/>
          <w:color w:val="010000"/>
          <w:sz w:val="21"/>
          <w:szCs w:val="21"/>
          <w:highlight w:val="yellow"/>
          <w:shd w:val="clear" w:color="auto" w:fill="FFFFFF"/>
        </w:rPr>
        <w:t>’in durumu</w:t>
      </w:r>
      <w:r w:rsidR="00B64CC8" w:rsidRPr="00693DB3">
        <w:rPr>
          <w:rFonts w:ascii="Palatino Linotype" w:hAnsi="Palatino Linotype" w:cs="Times New Roman"/>
          <w:color w:val="010000"/>
          <w:sz w:val="21"/>
          <w:szCs w:val="21"/>
          <w:shd w:val="clear" w:color="auto" w:fill="FFFFFF"/>
        </w:rPr>
        <w:t xml:space="preserve"> </w:t>
      </w:r>
      <w:r w:rsidRPr="00693DB3">
        <w:rPr>
          <w:rFonts w:ascii="Palatino Linotype" w:hAnsi="Palatino Linotype" w:cs="Times New Roman"/>
          <w:color w:val="010000"/>
          <w:sz w:val="21"/>
          <w:szCs w:val="21"/>
          <w:shd w:val="clear" w:color="auto" w:fill="FFFFFF"/>
        </w:rPr>
        <w:t xml:space="preserve">anılan ihlal tespitleri </w:t>
      </w:r>
      <w:r w:rsidR="00B64CC8" w:rsidRPr="00693DB3">
        <w:rPr>
          <w:rFonts w:ascii="Palatino Linotype" w:hAnsi="Palatino Linotype" w:cs="Times New Roman"/>
          <w:color w:val="010000"/>
          <w:sz w:val="21"/>
          <w:szCs w:val="21"/>
          <w:shd w:val="clear" w:color="auto" w:fill="FFFFFF"/>
        </w:rPr>
        <w:t xml:space="preserve">ile </w:t>
      </w:r>
      <w:r w:rsidRPr="00693DB3">
        <w:rPr>
          <w:rFonts w:ascii="Palatino Linotype" w:hAnsi="Palatino Linotype" w:cs="Times New Roman"/>
          <w:color w:val="010000"/>
          <w:sz w:val="21"/>
          <w:szCs w:val="21"/>
          <w:shd w:val="clear" w:color="auto" w:fill="FFFFFF"/>
        </w:rPr>
        <w:t>aynı mahiyette olduğundan</w:t>
      </w:r>
      <w:r w:rsidR="005D1E85" w:rsidRPr="00693DB3">
        <w:rPr>
          <w:rFonts w:ascii="Palatino Linotype" w:hAnsi="Palatino Linotype" w:cs="Times New Roman"/>
          <w:color w:val="010000"/>
          <w:sz w:val="21"/>
          <w:szCs w:val="21"/>
          <w:shd w:val="clear" w:color="auto" w:fill="FFFFFF"/>
        </w:rPr>
        <w:t>,</w:t>
      </w:r>
      <w:r w:rsidR="00B64CC8" w:rsidRPr="00693DB3">
        <w:rPr>
          <w:rFonts w:ascii="Palatino Linotype" w:hAnsi="Palatino Linotype" w:cs="Times New Roman"/>
          <w:color w:val="010000"/>
          <w:sz w:val="21"/>
          <w:szCs w:val="21"/>
          <w:shd w:val="clear" w:color="auto" w:fill="FFFFFF"/>
        </w:rPr>
        <w:t xml:space="preserve"> yargılamanın yenilenmesi </w:t>
      </w:r>
      <w:r w:rsidR="00B64CC8" w:rsidRPr="00693DB3">
        <w:rPr>
          <w:rFonts w:ascii="Palatino Linotype" w:hAnsi="Palatino Linotype" w:cs="Times New Roman"/>
          <w:color w:val="010000"/>
          <w:sz w:val="21"/>
          <w:szCs w:val="21"/>
          <w:highlight w:val="yellow"/>
          <w:shd w:val="clear" w:color="auto" w:fill="FFFFFF"/>
        </w:rPr>
        <w:t>talebimin</w:t>
      </w:r>
      <w:r w:rsidR="000B65FA" w:rsidRPr="00693DB3">
        <w:rPr>
          <w:rFonts w:ascii="Palatino Linotype" w:hAnsi="Palatino Linotype" w:cs="Times New Roman"/>
          <w:color w:val="010000"/>
          <w:sz w:val="21"/>
          <w:szCs w:val="21"/>
          <w:highlight w:val="yellow"/>
          <w:shd w:val="clear" w:color="auto" w:fill="FFFFFF"/>
        </w:rPr>
        <w:t>/talebinin</w:t>
      </w:r>
      <w:r w:rsidR="00B64CC8" w:rsidRPr="00693DB3">
        <w:rPr>
          <w:rFonts w:ascii="Palatino Linotype" w:hAnsi="Palatino Linotype" w:cs="Times New Roman"/>
          <w:color w:val="010000"/>
          <w:sz w:val="21"/>
          <w:szCs w:val="21"/>
          <w:shd w:val="clear" w:color="auto" w:fill="FFFFFF"/>
        </w:rPr>
        <w:t xml:space="preserve"> kabulüne A</w:t>
      </w:r>
      <w:r w:rsidR="002C50F6" w:rsidRPr="00693DB3">
        <w:rPr>
          <w:rFonts w:ascii="Palatino Linotype" w:hAnsi="Palatino Linotype" w:cs="Times New Roman"/>
          <w:color w:val="010000"/>
          <w:sz w:val="21"/>
          <w:szCs w:val="21"/>
          <w:shd w:val="clear" w:color="auto" w:fill="FFFFFF"/>
        </w:rPr>
        <w:t>nayasa’nın 33, 34,</w:t>
      </w:r>
      <w:r w:rsidR="00B64CC8" w:rsidRPr="00693DB3">
        <w:rPr>
          <w:rFonts w:ascii="Palatino Linotype" w:hAnsi="Palatino Linotype" w:cs="Times New Roman"/>
          <w:color w:val="010000"/>
          <w:sz w:val="21"/>
          <w:szCs w:val="21"/>
          <w:shd w:val="clear" w:color="auto" w:fill="FFFFFF"/>
        </w:rPr>
        <w:t xml:space="preserve"> 36,</w:t>
      </w:r>
      <w:r w:rsidR="002C50F6" w:rsidRPr="00693DB3">
        <w:rPr>
          <w:rFonts w:ascii="Palatino Linotype" w:hAnsi="Palatino Linotype" w:cs="Times New Roman"/>
          <w:color w:val="010000"/>
          <w:sz w:val="21"/>
          <w:szCs w:val="21"/>
          <w:shd w:val="clear" w:color="auto" w:fill="FFFFFF"/>
        </w:rPr>
        <w:t xml:space="preserve"> 38,</w:t>
      </w:r>
      <w:r w:rsidR="00B64CC8" w:rsidRPr="00693DB3">
        <w:rPr>
          <w:rFonts w:ascii="Palatino Linotype" w:hAnsi="Palatino Linotype" w:cs="Times New Roman"/>
          <w:color w:val="010000"/>
          <w:sz w:val="21"/>
          <w:szCs w:val="21"/>
          <w:shd w:val="clear" w:color="auto" w:fill="FFFFFF"/>
        </w:rPr>
        <w:t xml:space="preserve"> 90, 138, 153; AİHS 6, 7, 11, 46; 6216 sayılı Yasa 50 ve CMK 311/1-</w:t>
      </w:r>
      <w:proofErr w:type="gramStart"/>
      <w:r w:rsidR="00B64CC8" w:rsidRPr="00693DB3">
        <w:rPr>
          <w:rFonts w:ascii="Palatino Linotype" w:hAnsi="Palatino Linotype" w:cs="Times New Roman"/>
          <w:color w:val="010000"/>
          <w:sz w:val="21"/>
          <w:szCs w:val="21"/>
          <w:shd w:val="clear" w:color="auto" w:fill="FFFFFF"/>
        </w:rPr>
        <w:t>e,f</w:t>
      </w:r>
      <w:proofErr w:type="gramEnd"/>
      <w:r w:rsidR="00B64CC8" w:rsidRPr="00693DB3">
        <w:rPr>
          <w:rFonts w:ascii="Palatino Linotype" w:hAnsi="Palatino Linotype" w:cs="Times New Roman"/>
          <w:color w:val="010000"/>
          <w:sz w:val="21"/>
          <w:szCs w:val="21"/>
          <w:shd w:val="clear" w:color="auto" w:fill="FFFFFF"/>
        </w:rPr>
        <w:t xml:space="preserve"> maddeleri uyarınca karar verilmesi,</w:t>
      </w:r>
    </w:p>
    <w:p w14:paraId="5A897CBE" w14:textId="77777777" w:rsidR="004D331F" w:rsidRPr="004D331F" w:rsidRDefault="005D1E85" w:rsidP="004D331F">
      <w:pPr>
        <w:pStyle w:val="ListeParagraf"/>
        <w:numPr>
          <w:ilvl w:val="0"/>
          <w:numId w:val="3"/>
        </w:numPr>
        <w:tabs>
          <w:tab w:val="left" w:pos="3870"/>
        </w:tabs>
        <w:spacing w:line="360" w:lineRule="auto"/>
        <w:ind w:left="990" w:right="-378"/>
        <w:jc w:val="both"/>
        <w:rPr>
          <w:rFonts w:ascii="Palatino Linotype" w:hAnsi="Palatino Linotype" w:cs="Times New Roman"/>
          <w:b/>
          <w:color w:val="010000"/>
          <w:sz w:val="21"/>
          <w:szCs w:val="21"/>
          <w:u w:val="thick"/>
          <w:shd w:val="clear" w:color="auto" w:fill="FFFFFF"/>
        </w:rPr>
      </w:pPr>
      <w:r w:rsidRPr="00693DB3">
        <w:rPr>
          <w:rFonts w:ascii="Palatino Linotype" w:hAnsi="Palatino Linotype" w:cs="Times New Roman"/>
          <w:color w:val="010000"/>
          <w:sz w:val="21"/>
          <w:szCs w:val="21"/>
          <w:highlight w:val="yellow"/>
          <w:shd w:val="clear" w:color="auto" w:fill="FFFFFF"/>
        </w:rPr>
        <w:t>H</w:t>
      </w:r>
      <w:r w:rsidR="00B64CC8" w:rsidRPr="00693DB3">
        <w:rPr>
          <w:rFonts w:ascii="Palatino Linotype" w:hAnsi="Palatino Linotype" w:cs="Times New Roman"/>
          <w:color w:val="010000"/>
          <w:sz w:val="21"/>
          <w:szCs w:val="21"/>
          <w:highlight w:val="yellow"/>
          <w:shd w:val="clear" w:color="auto" w:fill="FFFFFF"/>
        </w:rPr>
        <w:t>akkı</w:t>
      </w:r>
      <w:r w:rsidRPr="00693DB3">
        <w:rPr>
          <w:rFonts w:ascii="Palatino Linotype" w:hAnsi="Palatino Linotype" w:cs="Times New Roman"/>
          <w:color w:val="010000"/>
          <w:sz w:val="21"/>
          <w:szCs w:val="21"/>
          <w:highlight w:val="yellow"/>
          <w:shd w:val="clear" w:color="auto" w:fill="FFFFFF"/>
        </w:rPr>
        <w:t>md</w:t>
      </w:r>
      <w:r w:rsidR="00B64CC8" w:rsidRPr="00693DB3">
        <w:rPr>
          <w:rFonts w:ascii="Palatino Linotype" w:hAnsi="Palatino Linotype" w:cs="Times New Roman"/>
          <w:color w:val="010000"/>
          <w:sz w:val="21"/>
          <w:szCs w:val="21"/>
          <w:highlight w:val="yellow"/>
          <w:shd w:val="clear" w:color="auto" w:fill="FFFFFF"/>
        </w:rPr>
        <w:t>a</w:t>
      </w:r>
      <w:r w:rsidRPr="00693DB3">
        <w:rPr>
          <w:rFonts w:ascii="Palatino Linotype" w:hAnsi="Palatino Linotype" w:cs="Times New Roman"/>
          <w:color w:val="010000"/>
          <w:sz w:val="21"/>
          <w:szCs w:val="21"/>
          <w:highlight w:val="yellow"/>
          <w:shd w:val="clear" w:color="auto" w:fill="FFFFFF"/>
        </w:rPr>
        <w:t>ki</w:t>
      </w:r>
      <w:r w:rsidR="000B65FA" w:rsidRPr="00693DB3">
        <w:rPr>
          <w:rFonts w:ascii="Palatino Linotype" w:hAnsi="Palatino Linotype" w:cs="Times New Roman"/>
          <w:color w:val="010000"/>
          <w:sz w:val="21"/>
          <w:szCs w:val="21"/>
          <w:highlight w:val="yellow"/>
          <w:shd w:val="clear" w:color="auto" w:fill="FFFFFF"/>
        </w:rPr>
        <w:t>/eşimin/vasisi olduğum … ‘in hakkındaki</w:t>
      </w:r>
      <w:r w:rsidR="00B64CC8" w:rsidRPr="00693DB3">
        <w:rPr>
          <w:rFonts w:ascii="Palatino Linotype" w:hAnsi="Palatino Linotype" w:cs="Times New Roman"/>
          <w:color w:val="010000"/>
          <w:sz w:val="21"/>
          <w:szCs w:val="21"/>
          <w:shd w:val="clear" w:color="auto" w:fill="FFFFFF"/>
        </w:rPr>
        <w:t xml:space="preserve"> infazın durdurulması ve </w:t>
      </w:r>
      <w:r w:rsidR="00B64CC8" w:rsidRPr="00693DB3">
        <w:rPr>
          <w:rFonts w:ascii="Palatino Linotype" w:hAnsi="Palatino Linotype" w:cs="Times New Roman"/>
          <w:color w:val="010000"/>
          <w:sz w:val="21"/>
          <w:szCs w:val="21"/>
          <w:highlight w:val="yellow"/>
          <w:shd w:val="clear" w:color="auto" w:fill="FFFFFF"/>
        </w:rPr>
        <w:t>salıverilme</w:t>
      </w:r>
      <w:r w:rsidRPr="00693DB3">
        <w:rPr>
          <w:rFonts w:ascii="Palatino Linotype" w:hAnsi="Palatino Linotype" w:cs="Times New Roman"/>
          <w:color w:val="010000"/>
          <w:sz w:val="21"/>
          <w:szCs w:val="21"/>
          <w:highlight w:val="yellow"/>
          <w:shd w:val="clear" w:color="auto" w:fill="FFFFFF"/>
        </w:rPr>
        <w:t>m</w:t>
      </w:r>
      <w:r w:rsidR="000B65FA" w:rsidRPr="00693DB3">
        <w:rPr>
          <w:rFonts w:ascii="Palatino Linotype" w:hAnsi="Palatino Linotype" w:cs="Times New Roman"/>
          <w:color w:val="010000"/>
          <w:sz w:val="21"/>
          <w:szCs w:val="21"/>
          <w:highlight w:val="yellow"/>
          <w:shd w:val="clear" w:color="auto" w:fill="FFFFFF"/>
        </w:rPr>
        <w:t>/salıverilmesi,</w:t>
      </w:r>
    </w:p>
    <w:p w14:paraId="50500138" w14:textId="1F7805F6" w:rsidR="006112FE" w:rsidRPr="004D331F" w:rsidRDefault="006112FE" w:rsidP="004D331F">
      <w:pPr>
        <w:pStyle w:val="ListeParagraf"/>
        <w:numPr>
          <w:ilvl w:val="0"/>
          <w:numId w:val="3"/>
        </w:numPr>
        <w:tabs>
          <w:tab w:val="left" w:pos="3870"/>
        </w:tabs>
        <w:spacing w:line="360" w:lineRule="auto"/>
        <w:ind w:left="990" w:right="-378"/>
        <w:jc w:val="both"/>
        <w:rPr>
          <w:rFonts w:ascii="Palatino Linotype" w:hAnsi="Palatino Linotype" w:cs="Times New Roman"/>
          <w:b/>
          <w:color w:val="010000"/>
          <w:sz w:val="21"/>
          <w:szCs w:val="21"/>
          <w:u w:val="thick"/>
          <w:shd w:val="clear" w:color="auto" w:fill="FFFFFF"/>
        </w:rPr>
      </w:pPr>
      <w:r w:rsidRPr="004D331F">
        <w:rPr>
          <w:rFonts w:ascii="Palatino Linotype" w:hAnsi="Palatino Linotype"/>
          <w:color w:val="010000"/>
          <w:sz w:val="21"/>
          <w:szCs w:val="21"/>
          <w:shd w:val="clear" w:color="auto" w:fill="FFFFFF"/>
        </w:rPr>
        <w:t>Yeniden yargılama sonucunda</w:t>
      </w:r>
      <w:r w:rsidR="005D1E85" w:rsidRPr="004D331F">
        <w:rPr>
          <w:rFonts w:ascii="Palatino Linotype" w:hAnsi="Palatino Linotype"/>
          <w:color w:val="010000"/>
          <w:sz w:val="21"/>
          <w:szCs w:val="21"/>
          <w:shd w:val="clear" w:color="auto" w:fill="FFFFFF"/>
        </w:rPr>
        <w:t xml:space="preserve"> </w:t>
      </w:r>
      <w:r w:rsidR="005D1E85" w:rsidRPr="004D331F">
        <w:rPr>
          <w:rFonts w:ascii="Palatino Linotype" w:hAnsi="Palatino Linotype"/>
          <w:color w:val="010000"/>
          <w:sz w:val="21"/>
          <w:szCs w:val="21"/>
          <w:highlight w:val="yellow"/>
          <w:shd w:val="clear" w:color="auto" w:fill="FFFFFF"/>
        </w:rPr>
        <w:t>h</w:t>
      </w:r>
      <w:r w:rsidRPr="004D331F">
        <w:rPr>
          <w:rFonts w:ascii="Palatino Linotype" w:hAnsi="Palatino Linotype"/>
          <w:color w:val="010000"/>
          <w:sz w:val="21"/>
          <w:szCs w:val="21"/>
          <w:highlight w:val="yellow"/>
          <w:shd w:val="clear" w:color="auto" w:fill="FFFFFF"/>
        </w:rPr>
        <w:t>akkı</w:t>
      </w:r>
      <w:r w:rsidR="005D1E85" w:rsidRPr="004D331F">
        <w:rPr>
          <w:rFonts w:ascii="Palatino Linotype" w:hAnsi="Palatino Linotype"/>
          <w:color w:val="010000"/>
          <w:sz w:val="21"/>
          <w:szCs w:val="21"/>
          <w:highlight w:val="yellow"/>
          <w:shd w:val="clear" w:color="auto" w:fill="FFFFFF"/>
        </w:rPr>
        <w:t>m</w:t>
      </w:r>
      <w:r w:rsidRPr="004D331F">
        <w:rPr>
          <w:rFonts w:ascii="Palatino Linotype" w:hAnsi="Palatino Linotype"/>
          <w:color w:val="010000"/>
          <w:sz w:val="21"/>
          <w:szCs w:val="21"/>
          <w:highlight w:val="yellow"/>
          <w:shd w:val="clear" w:color="auto" w:fill="FFFFFF"/>
        </w:rPr>
        <w:t>da</w:t>
      </w:r>
      <w:r w:rsidR="000B65FA" w:rsidRPr="004D331F">
        <w:rPr>
          <w:rFonts w:ascii="Palatino Linotype" w:hAnsi="Palatino Linotype"/>
          <w:color w:val="010000"/>
          <w:sz w:val="21"/>
          <w:szCs w:val="21"/>
          <w:highlight w:val="yellow"/>
          <w:shd w:val="clear" w:color="auto" w:fill="FFFFFF"/>
        </w:rPr>
        <w:t>/hakkında</w:t>
      </w:r>
      <w:r w:rsidRPr="004D331F">
        <w:rPr>
          <w:rFonts w:ascii="Palatino Linotype" w:hAnsi="Palatino Linotype"/>
          <w:color w:val="010000"/>
          <w:sz w:val="21"/>
          <w:szCs w:val="21"/>
          <w:shd w:val="clear" w:color="auto" w:fill="FFFFFF"/>
        </w:rPr>
        <w:t xml:space="preserve"> verilmiş </w:t>
      </w:r>
      <w:proofErr w:type="gramStart"/>
      <w:r w:rsidRPr="004D331F">
        <w:rPr>
          <w:rFonts w:ascii="Palatino Linotype" w:hAnsi="Palatino Linotype"/>
          <w:color w:val="010000"/>
          <w:sz w:val="21"/>
          <w:szCs w:val="21"/>
          <w:shd w:val="clear" w:color="auto" w:fill="FFFFFF"/>
        </w:rPr>
        <w:t>mahkumiyet</w:t>
      </w:r>
      <w:proofErr w:type="gramEnd"/>
      <w:r w:rsidRPr="004D331F">
        <w:rPr>
          <w:rFonts w:ascii="Palatino Linotype" w:hAnsi="Palatino Linotype"/>
          <w:color w:val="010000"/>
          <w:sz w:val="21"/>
          <w:szCs w:val="21"/>
          <w:shd w:val="clear" w:color="auto" w:fill="FFFFFF"/>
        </w:rPr>
        <w:t xml:space="preserve"> kararının kaldırılarak </w:t>
      </w:r>
      <w:r w:rsidRPr="004D331F">
        <w:rPr>
          <w:rFonts w:ascii="Palatino Linotype" w:hAnsi="Palatino Linotype"/>
          <w:color w:val="010000"/>
          <w:sz w:val="21"/>
          <w:szCs w:val="21"/>
          <w:highlight w:val="yellow"/>
          <w:shd w:val="clear" w:color="auto" w:fill="FFFFFF"/>
        </w:rPr>
        <w:t>beraatı</w:t>
      </w:r>
      <w:r w:rsidR="005D1E85" w:rsidRPr="004D331F">
        <w:rPr>
          <w:rFonts w:ascii="Palatino Linotype" w:hAnsi="Palatino Linotype"/>
          <w:color w:val="010000"/>
          <w:sz w:val="21"/>
          <w:szCs w:val="21"/>
          <w:highlight w:val="yellow"/>
          <w:shd w:val="clear" w:color="auto" w:fill="FFFFFF"/>
        </w:rPr>
        <w:t>m</w:t>
      </w:r>
      <w:r w:rsidRPr="004D331F">
        <w:rPr>
          <w:rFonts w:ascii="Palatino Linotype" w:hAnsi="Palatino Linotype"/>
          <w:color w:val="010000"/>
          <w:sz w:val="21"/>
          <w:szCs w:val="21"/>
          <w:highlight w:val="yellow"/>
          <w:shd w:val="clear" w:color="auto" w:fill="FFFFFF"/>
        </w:rPr>
        <w:t>a</w:t>
      </w:r>
      <w:r w:rsidR="000B65FA" w:rsidRPr="004D331F">
        <w:rPr>
          <w:rFonts w:ascii="Palatino Linotype" w:hAnsi="Palatino Linotype"/>
          <w:color w:val="010000"/>
          <w:sz w:val="21"/>
          <w:szCs w:val="21"/>
          <w:highlight w:val="yellow"/>
          <w:shd w:val="clear" w:color="auto" w:fill="FFFFFF"/>
        </w:rPr>
        <w:t>/beraatına</w:t>
      </w:r>
      <w:r w:rsidRPr="004D331F">
        <w:rPr>
          <w:rFonts w:ascii="Palatino Linotype" w:hAnsi="Palatino Linotype"/>
          <w:color w:val="010000"/>
          <w:sz w:val="21"/>
          <w:szCs w:val="21"/>
          <w:shd w:val="clear" w:color="auto" w:fill="FFFFFF"/>
        </w:rPr>
        <w:t xml:space="preserve"> karar verilmesi,</w:t>
      </w:r>
      <w:r w:rsidR="004D331F" w:rsidRPr="004D331F">
        <w:rPr>
          <w:rFonts w:ascii="Palatino Linotype" w:hAnsi="Palatino Linotype"/>
          <w:color w:val="010000"/>
          <w:sz w:val="21"/>
          <w:szCs w:val="21"/>
          <w:shd w:val="clear" w:color="auto" w:fill="FFFFFF"/>
        </w:rPr>
        <w:t xml:space="preserve"> </w:t>
      </w:r>
    </w:p>
    <w:p w14:paraId="0F718449" w14:textId="1519D3C0" w:rsidR="00CE2F22" w:rsidRPr="00693DB3"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693DB3">
        <w:rPr>
          <w:rFonts w:ascii="Palatino Linotype" w:hAnsi="Palatino Linotype" w:cs="Times New Roman"/>
          <w:color w:val="010000"/>
          <w:sz w:val="21"/>
          <w:szCs w:val="21"/>
          <w:shd w:val="clear" w:color="auto" w:fill="FFFFFF"/>
        </w:rPr>
        <w:t>Saygılarımla arz ve talep olunur.</w:t>
      </w:r>
      <w:r w:rsidR="00AE4031" w:rsidRPr="00693DB3">
        <w:rPr>
          <w:rFonts w:ascii="Palatino Linotype" w:hAnsi="Palatino Linotype" w:cs="Times New Roman"/>
          <w:color w:val="010000"/>
          <w:sz w:val="21"/>
          <w:szCs w:val="21"/>
          <w:shd w:val="clear" w:color="auto" w:fill="FFFFFF"/>
        </w:rPr>
        <w:t xml:space="preserve">  </w:t>
      </w:r>
      <w:proofErr w:type="gramStart"/>
      <w:r w:rsidRPr="004D331F">
        <w:rPr>
          <w:rFonts w:ascii="Palatino Linotype" w:hAnsi="Palatino Linotype" w:cs="Times New Roman"/>
          <w:color w:val="010000"/>
          <w:sz w:val="21"/>
          <w:szCs w:val="21"/>
          <w:highlight w:val="yellow"/>
          <w:shd w:val="clear" w:color="auto" w:fill="FFFFFF"/>
        </w:rPr>
        <w:t>…../….</w:t>
      </w:r>
      <w:proofErr w:type="gramEnd"/>
      <w:r w:rsidRPr="004D331F">
        <w:rPr>
          <w:rFonts w:ascii="Palatino Linotype" w:hAnsi="Palatino Linotype" w:cs="Times New Roman"/>
          <w:color w:val="010000"/>
          <w:sz w:val="21"/>
          <w:szCs w:val="21"/>
          <w:highlight w:val="yellow"/>
          <w:shd w:val="clear" w:color="auto" w:fill="FFFFFF"/>
        </w:rPr>
        <w:t>/202</w:t>
      </w:r>
      <w:r w:rsidR="004D331F" w:rsidRPr="004D331F">
        <w:rPr>
          <w:rFonts w:ascii="Palatino Linotype" w:hAnsi="Palatino Linotype" w:cs="Times New Roman"/>
          <w:color w:val="010000"/>
          <w:sz w:val="21"/>
          <w:szCs w:val="21"/>
          <w:highlight w:val="yellow"/>
          <w:shd w:val="clear" w:color="auto" w:fill="FFFFFF"/>
        </w:rPr>
        <w:t>6</w:t>
      </w:r>
    </w:p>
    <w:p w14:paraId="5DA01CCA" w14:textId="77777777" w:rsidR="006112FE" w:rsidRPr="00693DB3"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p>
    <w:p w14:paraId="11F41DA9" w14:textId="77777777" w:rsidR="006112FE" w:rsidRPr="00693DB3"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p>
    <w:p w14:paraId="7B23423B" w14:textId="2B87C347" w:rsidR="006112FE" w:rsidRPr="00693DB3"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shd w:val="clear" w:color="auto" w:fill="FFFFFF"/>
        </w:rPr>
        <w:tab/>
      </w:r>
      <w:r w:rsidRPr="00693DB3">
        <w:rPr>
          <w:rFonts w:ascii="Palatino Linotype" w:hAnsi="Palatino Linotype" w:cs="Times New Roman"/>
          <w:color w:val="010000"/>
          <w:sz w:val="21"/>
          <w:szCs w:val="21"/>
          <w:highlight w:val="yellow"/>
          <w:shd w:val="clear" w:color="auto" w:fill="FFFFFF"/>
        </w:rPr>
        <w:t>Hükümlü</w:t>
      </w:r>
      <w:r w:rsidR="000B65FA" w:rsidRPr="00693DB3">
        <w:rPr>
          <w:rFonts w:ascii="Palatino Linotype" w:hAnsi="Palatino Linotype" w:cs="Times New Roman"/>
          <w:color w:val="010000"/>
          <w:sz w:val="21"/>
          <w:szCs w:val="21"/>
          <w:highlight w:val="yellow"/>
          <w:shd w:val="clear" w:color="auto" w:fill="FFFFFF"/>
        </w:rPr>
        <w:t>/Eşi</w:t>
      </w:r>
      <w:proofErr w:type="gramStart"/>
      <w:r w:rsidR="000B65FA" w:rsidRPr="00693DB3">
        <w:rPr>
          <w:rFonts w:ascii="Palatino Linotype" w:hAnsi="Palatino Linotype" w:cs="Times New Roman"/>
          <w:color w:val="010000"/>
          <w:sz w:val="21"/>
          <w:szCs w:val="21"/>
          <w:highlight w:val="yellow"/>
          <w:shd w:val="clear" w:color="auto" w:fill="FFFFFF"/>
        </w:rPr>
        <w:t>/….</w:t>
      </w:r>
      <w:proofErr w:type="gramEnd"/>
      <w:r w:rsidR="000B65FA" w:rsidRPr="00693DB3">
        <w:rPr>
          <w:rFonts w:ascii="Palatino Linotype" w:hAnsi="Palatino Linotype" w:cs="Times New Roman"/>
          <w:color w:val="010000"/>
          <w:sz w:val="21"/>
          <w:szCs w:val="21"/>
          <w:highlight w:val="yellow"/>
          <w:shd w:val="clear" w:color="auto" w:fill="FFFFFF"/>
        </w:rPr>
        <w:t>.Vasisi</w:t>
      </w:r>
      <w:r w:rsidR="005D1E85" w:rsidRPr="00693DB3">
        <w:rPr>
          <w:rFonts w:ascii="Palatino Linotype" w:hAnsi="Palatino Linotype" w:cs="Times New Roman"/>
          <w:color w:val="010000"/>
          <w:sz w:val="21"/>
          <w:szCs w:val="21"/>
          <w:highlight w:val="yellow"/>
          <w:shd w:val="clear" w:color="auto" w:fill="FFFFFF"/>
        </w:rPr>
        <w:t xml:space="preserve"> (Ad-</w:t>
      </w:r>
      <w:proofErr w:type="spellStart"/>
      <w:r w:rsidR="005D1E85" w:rsidRPr="00693DB3">
        <w:rPr>
          <w:rFonts w:ascii="Palatino Linotype" w:hAnsi="Palatino Linotype" w:cs="Times New Roman"/>
          <w:color w:val="010000"/>
          <w:sz w:val="21"/>
          <w:szCs w:val="21"/>
          <w:highlight w:val="yellow"/>
          <w:shd w:val="clear" w:color="auto" w:fill="FFFFFF"/>
        </w:rPr>
        <w:t>soyad</w:t>
      </w:r>
      <w:proofErr w:type="spellEnd"/>
      <w:r w:rsidR="005D1E85" w:rsidRPr="00693DB3">
        <w:rPr>
          <w:rFonts w:ascii="Palatino Linotype" w:hAnsi="Palatino Linotype" w:cs="Times New Roman"/>
          <w:color w:val="010000"/>
          <w:sz w:val="21"/>
          <w:szCs w:val="21"/>
          <w:highlight w:val="yellow"/>
          <w:shd w:val="clear" w:color="auto" w:fill="FFFFFF"/>
        </w:rPr>
        <w:t>/İmza)</w:t>
      </w:r>
    </w:p>
    <w:p w14:paraId="4099EA83" w14:textId="7E0F2359" w:rsidR="006112FE" w:rsidRPr="00693DB3" w:rsidRDefault="006112FE" w:rsidP="006112FE">
      <w:pPr>
        <w:pStyle w:val="ListeParagraf"/>
        <w:tabs>
          <w:tab w:val="left" w:pos="3870"/>
        </w:tabs>
        <w:spacing w:line="360" w:lineRule="auto"/>
        <w:ind w:left="630" w:right="-378"/>
        <w:jc w:val="both"/>
        <w:rPr>
          <w:rFonts w:ascii="Palatino Linotype" w:hAnsi="Palatino Linotype" w:cs="Times New Roman"/>
          <w:color w:val="010000"/>
          <w:sz w:val="21"/>
          <w:szCs w:val="21"/>
          <w:shd w:val="clear" w:color="auto" w:fill="FFFFFF"/>
        </w:rPr>
      </w:pPr>
      <w:r w:rsidRPr="00693DB3">
        <w:rPr>
          <w:rFonts w:ascii="Palatino Linotype" w:hAnsi="Palatino Linotype" w:cs="Times New Roman"/>
          <w:color w:val="010000"/>
          <w:sz w:val="21"/>
          <w:szCs w:val="21"/>
          <w:shd w:val="clear" w:color="auto" w:fill="FFFFFF"/>
        </w:rPr>
        <w:tab/>
      </w:r>
    </w:p>
    <w:p w14:paraId="7F546AB3" w14:textId="77777777" w:rsidR="006112FE" w:rsidRPr="00693DB3" w:rsidRDefault="006112FE" w:rsidP="006112FE">
      <w:pPr>
        <w:pStyle w:val="ListeParagraf"/>
        <w:tabs>
          <w:tab w:val="left" w:pos="3870"/>
        </w:tabs>
        <w:spacing w:line="360" w:lineRule="auto"/>
        <w:ind w:left="630" w:right="-378"/>
        <w:jc w:val="both"/>
        <w:rPr>
          <w:rFonts w:ascii="Palatino Linotype" w:hAnsi="Palatino Linotype" w:cs="Times New Roman"/>
          <w:b/>
          <w:color w:val="010000"/>
          <w:sz w:val="21"/>
          <w:szCs w:val="21"/>
          <w:u w:val="thick"/>
          <w:shd w:val="clear" w:color="auto" w:fill="FFFFFF"/>
        </w:rPr>
      </w:pPr>
    </w:p>
    <w:p w14:paraId="72DC683B" w14:textId="77777777" w:rsidR="004063DF" w:rsidRPr="00693DB3" w:rsidRDefault="004063DF" w:rsidP="006112FE">
      <w:pPr>
        <w:pStyle w:val="ListeParagraf"/>
        <w:tabs>
          <w:tab w:val="left" w:pos="3870"/>
        </w:tabs>
        <w:spacing w:line="360" w:lineRule="auto"/>
        <w:ind w:left="630" w:right="-378"/>
        <w:jc w:val="both"/>
        <w:rPr>
          <w:rFonts w:ascii="Palatino Linotype" w:hAnsi="Palatino Linotype" w:cs="Times New Roman"/>
          <w:b/>
          <w:color w:val="010000"/>
          <w:sz w:val="21"/>
          <w:szCs w:val="21"/>
          <w:u w:val="thick"/>
          <w:shd w:val="clear" w:color="auto" w:fill="FFFFFF"/>
        </w:rPr>
      </w:pPr>
    </w:p>
    <w:p w14:paraId="46D5F4D9" w14:textId="41688CDC" w:rsidR="000B65FA" w:rsidRPr="00693DB3" w:rsidRDefault="004063DF" w:rsidP="006112FE">
      <w:pPr>
        <w:pStyle w:val="ListeParagraf"/>
        <w:tabs>
          <w:tab w:val="left" w:pos="3870"/>
        </w:tabs>
        <w:spacing w:line="360" w:lineRule="auto"/>
        <w:ind w:left="630" w:right="-378"/>
        <w:jc w:val="both"/>
        <w:rPr>
          <w:rFonts w:ascii="Palatino Linotype" w:hAnsi="Palatino Linotype" w:cs="Times New Roman"/>
          <w:bCs/>
          <w:color w:val="010000"/>
          <w:sz w:val="21"/>
          <w:szCs w:val="21"/>
          <w:shd w:val="clear" w:color="auto" w:fill="FFFFFF"/>
        </w:rPr>
      </w:pPr>
      <w:r w:rsidRPr="00693DB3">
        <w:rPr>
          <w:rFonts w:ascii="Palatino Linotype" w:hAnsi="Palatino Linotype" w:cs="Times New Roman"/>
          <w:b/>
          <w:color w:val="010000"/>
          <w:sz w:val="21"/>
          <w:szCs w:val="21"/>
          <w:u w:val="thick"/>
          <w:shd w:val="clear" w:color="auto" w:fill="FFFFFF"/>
        </w:rPr>
        <w:t>EK</w:t>
      </w:r>
      <w:r w:rsidR="000B65FA" w:rsidRPr="00693DB3">
        <w:rPr>
          <w:rFonts w:ascii="Palatino Linotype" w:hAnsi="Palatino Linotype" w:cs="Times New Roman"/>
          <w:b/>
          <w:color w:val="010000"/>
          <w:sz w:val="21"/>
          <w:szCs w:val="21"/>
          <w:u w:val="thick"/>
          <w:shd w:val="clear" w:color="auto" w:fill="FFFFFF"/>
        </w:rPr>
        <w:t>’LER</w:t>
      </w:r>
      <w:r w:rsidRPr="00693DB3">
        <w:rPr>
          <w:rFonts w:ascii="Palatino Linotype" w:hAnsi="Palatino Linotype" w:cs="Times New Roman"/>
          <w:b/>
          <w:color w:val="010000"/>
          <w:sz w:val="21"/>
          <w:szCs w:val="21"/>
          <w:u w:val="thick"/>
          <w:shd w:val="clear" w:color="auto" w:fill="FFFFFF"/>
        </w:rPr>
        <w:t>:</w:t>
      </w:r>
      <w:r w:rsidRPr="00693DB3">
        <w:rPr>
          <w:rFonts w:ascii="Palatino Linotype" w:hAnsi="Palatino Linotype" w:cs="Times New Roman"/>
          <w:bCs/>
          <w:color w:val="010000"/>
          <w:sz w:val="21"/>
          <w:szCs w:val="21"/>
          <w:shd w:val="clear" w:color="auto" w:fill="FFFFFF"/>
        </w:rPr>
        <w:t xml:space="preserve"> </w:t>
      </w:r>
    </w:p>
    <w:p w14:paraId="44BFC757" w14:textId="0DA2463C" w:rsidR="000B65FA" w:rsidRPr="00693DB3" w:rsidRDefault="000B65FA" w:rsidP="000B65FA">
      <w:pPr>
        <w:pStyle w:val="NormalWeb"/>
        <w:numPr>
          <w:ilvl w:val="0"/>
          <w:numId w:val="5"/>
        </w:numPr>
        <w:spacing w:before="0" w:beforeAutospacing="0" w:after="0" w:afterAutospacing="0"/>
        <w:ind w:left="360" w:firstLine="349"/>
        <w:jc w:val="both"/>
        <w:textAlignment w:val="baseline"/>
        <w:rPr>
          <w:rFonts w:ascii="Palatino Linotype" w:hAnsi="Palatino Linotype"/>
          <w:color w:val="000000"/>
          <w:sz w:val="21"/>
          <w:szCs w:val="21"/>
        </w:rPr>
      </w:pPr>
      <w:r w:rsidRPr="00693DB3">
        <w:rPr>
          <w:rFonts w:ascii="Palatino Linotype" w:hAnsi="Palatino Linotype"/>
          <w:color w:val="000000"/>
          <w:sz w:val="21"/>
          <w:szCs w:val="21"/>
        </w:rPr>
        <w:t>Nüfus Aile Kayıt Örneği, </w:t>
      </w:r>
    </w:p>
    <w:p w14:paraId="0C4F20F6" w14:textId="77777777" w:rsidR="000B65FA" w:rsidRPr="00693DB3" w:rsidRDefault="000B65FA" w:rsidP="000B65FA">
      <w:pPr>
        <w:pStyle w:val="NormalWeb"/>
        <w:numPr>
          <w:ilvl w:val="0"/>
          <w:numId w:val="5"/>
        </w:numPr>
        <w:spacing w:before="0" w:beforeAutospacing="0" w:after="0" w:afterAutospacing="0"/>
        <w:ind w:left="360" w:firstLine="349"/>
        <w:jc w:val="both"/>
        <w:textAlignment w:val="baseline"/>
        <w:rPr>
          <w:rFonts w:ascii="Palatino Linotype" w:hAnsi="Palatino Linotype"/>
          <w:color w:val="000000"/>
          <w:sz w:val="21"/>
          <w:szCs w:val="21"/>
        </w:rPr>
      </w:pPr>
      <w:r w:rsidRPr="00693DB3">
        <w:rPr>
          <w:rFonts w:ascii="Palatino Linotype" w:hAnsi="Palatino Linotype"/>
          <w:color w:val="000000"/>
          <w:sz w:val="21"/>
          <w:szCs w:val="21"/>
        </w:rPr>
        <w:t>T.C. Kimlik Fotokopisi,</w:t>
      </w:r>
    </w:p>
    <w:p w14:paraId="12B6CACB" w14:textId="77777777" w:rsidR="000B65FA" w:rsidRPr="00693DB3" w:rsidRDefault="000B65FA" w:rsidP="000B65FA">
      <w:pPr>
        <w:pStyle w:val="NormalWeb"/>
        <w:numPr>
          <w:ilvl w:val="0"/>
          <w:numId w:val="5"/>
        </w:numPr>
        <w:spacing w:before="0" w:beforeAutospacing="0" w:after="0" w:afterAutospacing="0"/>
        <w:ind w:left="360" w:firstLine="349"/>
        <w:jc w:val="both"/>
        <w:textAlignment w:val="baseline"/>
        <w:rPr>
          <w:rFonts w:ascii="Palatino Linotype" w:hAnsi="Palatino Linotype"/>
          <w:color w:val="000000"/>
          <w:sz w:val="21"/>
          <w:szCs w:val="21"/>
        </w:rPr>
      </w:pPr>
      <w:proofErr w:type="gramStart"/>
      <w:r w:rsidRPr="00693DB3">
        <w:rPr>
          <w:rFonts w:ascii="Palatino Linotype" w:hAnsi="Palatino Linotype"/>
          <w:color w:val="000000"/>
          <w:sz w:val="21"/>
          <w:szCs w:val="21"/>
        </w:rPr>
        <w:t>….</w:t>
      </w:r>
      <w:proofErr w:type="gramEnd"/>
      <w:r w:rsidRPr="00693DB3">
        <w:rPr>
          <w:rFonts w:ascii="Palatino Linotype" w:hAnsi="Palatino Linotype"/>
          <w:color w:val="000000"/>
          <w:sz w:val="21"/>
          <w:szCs w:val="21"/>
        </w:rPr>
        <w:t>Sulh Hukuk Mahkemesi’nin …tarih, … E., … K. sayılı vasi tayini kararı</w:t>
      </w:r>
    </w:p>
    <w:p w14:paraId="1ED84728" w14:textId="637F317E" w:rsidR="004063DF" w:rsidRPr="00693DB3" w:rsidRDefault="004063DF" w:rsidP="000B65FA">
      <w:pPr>
        <w:pStyle w:val="NormalWeb"/>
        <w:numPr>
          <w:ilvl w:val="0"/>
          <w:numId w:val="5"/>
        </w:numPr>
        <w:spacing w:before="0" w:beforeAutospacing="0" w:after="0" w:afterAutospacing="0"/>
        <w:ind w:left="360" w:firstLine="349"/>
        <w:jc w:val="both"/>
        <w:textAlignment w:val="baseline"/>
        <w:rPr>
          <w:rFonts w:ascii="Palatino Linotype" w:hAnsi="Palatino Linotype"/>
          <w:color w:val="000000"/>
          <w:sz w:val="21"/>
          <w:szCs w:val="21"/>
        </w:rPr>
      </w:pPr>
      <w:r w:rsidRPr="00693DB3">
        <w:rPr>
          <w:rFonts w:ascii="Palatino Linotype" w:hAnsi="Palatino Linotype"/>
          <w:color w:val="010000"/>
          <w:sz w:val="21"/>
          <w:szCs w:val="21"/>
          <w:shd w:val="clear" w:color="auto" w:fill="FFFFFF"/>
        </w:rPr>
        <w:t>AİHM</w:t>
      </w:r>
      <w:r w:rsidR="004D331F">
        <w:rPr>
          <w:rFonts w:ascii="Palatino Linotype" w:hAnsi="Palatino Linotype"/>
          <w:color w:val="010000"/>
          <w:sz w:val="21"/>
          <w:szCs w:val="21"/>
          <w:shd w:val="clear" w:color="auto" w:fill="FFFFFF"/>
        </w:rPr>
        <w:t xml:space="preserve"> Büyük Daire’nin Yasak/Türkiye karar</w:t>
      </w:r>
      <w:r w:rsidR="00DD64B9">
        <w:rPr>
          <w:rFonts w:ascii="Palatino Linotype" w:hAnsi="Palatino Linotype"/>
          <w:color w:val="010000"/>
          <w:sz w:val="21"/>
          <w:szCs w:val="21"/>
          <w:shd w:val="clear" w:color="auto" w:fill="FFFFFF"/>
        </w:rPr>
        <w:t xml:space="preserve"> özeti</w:t>
      </w:r>
    </w:p>
    <w:p w14:paraId="4480B7F2" w14:textId="77777777" w:rsidR="000B65FA" w:rsidRPr="00693DB3" w:rsidRDefault="000B65FA" w:rsidP="000B65FA">
      <w:pPr>
        <w:pStyle w:val="NormalWeb"/>
        <w:spacing w:before="0" w:beforeAutospacing="0" w:after="0" w:afterAutospacing="0"/>
        <w:jc w:val="both"/>
        <w:textAlignment w:val="baseline"/>
        <w:rPr>
          <w:rFonts w:ascii="Palatino Linotype" w:hAnsi="Palatino Linotype"/>
          <w:color w:val="010000"/>
          <w:sz w:val="21"/>
          <w:szCs w:val="21"/>
          <w:shd w:val="clear" w:color="auto" w:fill="FFFFFF"/>
        </w:rPr>
      </w:pPr>
    </w:p>
    <w:p w14:paraId="33FFE953" w14:textId="03F872FD" w:rsidR="000B65FA" w:rsidRPr="00693DB3" w:rsidRDefault="000B65FA" w:rsidP="000B65FA">
      <w:pPr>
        <w:pStyle w:val="NormalWeb"/>
        <w:spacing w:before="0" w:beforeAutospacing="0" w:after="0" w:afterAutospacing="0"/>
        <w:ind w:firstLine="708"/>
        <w:jc w:val="both"/>
        <w:textAlignment w:val="baseline"/>
        <w:rPr>
          <w:rFonts w:ascii="Palatino Linotype" w:hAnsi="Palatino Linotype"/>
          <w:color w:val="010000"/>
          <w:sz w:val="21"/>
          <w:szCs w:val="21"/>
          <w:shd w:val="clear" w:color="auto" w:fill="FFFFFF"/>
        </w:rPr>
      </w:pPr>
      <w:r w:rsidRPr="00693DB3">
        <w:rPr>
          <w:rFonts w:ascii="Palatino Linotype" w:hAnsi="Palatino Linotype"/>
          <w:b/>
          <w:bCs/>
          <w:color w:val="010000"/>
          <w:sz w:val="21"/>
          <w:szCs w:val="21"/>
          <w:shd w:val="clear" w:color="auto" w:fill="FFFFFF"/>
        </w:rPr>
        <w:t>Dikkat:</w:t>
      </w:r>
      <w:r w:rsidRPr="00693DB3">
        <w:rPr>
          <w:rFonts w:ascii="Palatino Linotype" w:hAnsi="Palatino Linotype"/>
          <w:color w:val="010000"/>
          <w:sz w:val="21"/>
          <w:szCs w:val="21"/>
          <w:shd w:val="clear" w:color="auto" w:fill="FFFFFF"/>
        </w:rPr>
        <w:t xml:space="preserve"> </w:t>
      </w:r>
      <w:r w:rsidRPr="00693DB3">
        <w:rPr>
          <w:rFonts w:ascii="Palatino Linotype" w:hAnsi="Palatino Linotype"/>
          <w:color w:val="010000"/>
          <w:sz w:val="21"/>
          <w:szCs w:val="21"/>
          <w:highlight w:val="yellow"/>
          <w:shd w:val="clear" w:color="auto" w:fill="FFFFFF"/>
        </w:rPr>
        <w:t>Vasilerin 2 ve 3 numaralı, eşlerin de 1 ve 2 numaralı belgeleri eklemeleri, başvuru yapan herkesin 4 numaralı karar özetini de eklemesi gerekir.</w:t>
      </w:r>
    </w:p>
    <w:p w14:paraId="42B539CA" w14:textId="6D5FFD7E" w:rsidR="000B65FA" w:rsidRPr="00693DB3" w:rsidRDefault="000B65FA" w:rsidP="000B65FA">
      <w:pPr>
        <w:pStyle w:val="NormalWeb"/>
        <w:spacing w:before="0" w:beforeAutospacing="0" w:after="0" w:afterAutospacing="0"/>
        <w:ind w:left="708"/>
        <w:jc w:val="both"/>
        <w:textAlignment w:val="baseline"/>
        <w:rPr>
          <w:rFonts w:ascii="Palatino Linotype" w:hAnsi="Palatino Linotype"/>
          <w:color w:val="000000"/>
          <w:sz w:val="21"/>
          <w:szCs w:val="21"/>
        </w:rPr>
      </w:pPr>
    </w:p>
    <w:sectPr w:rsidR="000B65FA" w:rsidRPr="00693DB3" w:rsidSect="008D184C">
      <w:pgSz w:w="11906" w:h="16838"/>
      <w:pgMar w:top="1417" w:right="1417"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F3"/>
    <w:multiLevelType w:val="hybridMultilevel"/>
    <w:tmpl w:val="8F82178E"/>
    <w:lvl w:ilvl="0" w:tplc="2452A482">
      <w:start w:val="1"/>
      <w:numFmt w:val="decimal"/>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 w15:restartNumberingAfterBreak="0">
    <w:nsid w:val="137C25C3"/>
    <w:multiLevelType w:val="multilevel"/>
    <w:tmpl w:val="1BEA58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4"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4"/>
  </w:num>
  <w:num w:numId="2" w16cid:durableId="351878185">
    <w:abstractNumId w:val="3"/>
  </w:num>
  <w:num w:numId="3" w16cid:durableId="1557542335">
    <w:abstractNumId w:val="5"/>
  </w:num>
  <w:num w:numId="4" w16cid:durableId="201139419">
    <w:abstractNumId w:val="0"/>
  </w:num>
  <w:num w:numId="5" w16cid:durableId="413354384">
    <w:abstractNumId w:val="2"/>
  </w:num>
  <w:num w:numId="6" w16cid:durableId="37685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402A"/>
    <w:rsid w:val="00013B6E"/>
    <w:rsid w:val="00016C4D"/>
    <w:rsid w:val="00055D06"/>
    <w:rsid w:val="00060B5D"/>
    <w:rsid w:val="0006254E"/>
    <w:rsid w:val="000B65FA"/>
    <w:rsid w:val="000D0E5C"/>
    <w:rsid w:val="00103BDA"/>
    <w:rsid w:val="0014471D"/>
    <w:rsid w:val="00196279"/>
    <w:rsid w:val="00225111"/>
    <w:rsid w:val="00261695"/>
    <w:rsid w:val="00265EA3"/>
    <w:rsid w:val="00291AC1"/>
    <w:rsid w:val="002C50F6"/>
    <w:rsid w:val="0037126F"/>
    <w:rsid w:val="003943FE"/>
    <w:rsid w:val="003A6719"/>
    <w:rsid w:val="003E17B1"/>
    <w:rsid w:val="003E353F"/>
    <w:rsid w:val="004063DF"/>
    <w:rsid w:val="0041095E"/>
    <w:rsid w:val="00454D63"/>
    <w:rsid w:val="0049707F"/>
    <w:rsid w:val="004A1B60"/>
    <w:rsid w:val="004D331F"/>
    <w:rsid w:val="004E10A2"/>
    <w:rsid w:val="0059049D"/>
    <w:rsid w:val="005B4E3A"/>
    <w:rsid w:val="005D1E85"/>
    <w:rsid w:val="006112FE"/>
    <w:rsid w:val="00693DB3"/>
    <w:rsid w:val="006B71ED"/>
    <w:rsid w:val="006D22DA"/>
    <w:rsid w:val="0070131E"/>
    <w:rsid w:val="007018E6"/>
    <w:rsid w:val="00720D6B"/>
    <w:rsid w:val="007228F7"/>
    <w:rsid w:val="00741EAE"/>
    <w:rsid w:val="00745D10"/>
    <w:rsid w:val="00762D0A"/>
    <w:rsid w:val="007A42D5"/>
    <w:rsid w:val="007C7CD2"/>
    <w:rsid w:val="00854D9B"/>
    <w:rsid w:val="00865AE8"/>
    <w:rsid w:val="00875E34"/>
    <w:rsid w:val="008A5BF2"/>
    <w:rsid w:val="008B6FFF"/>
    <w:rsid w:val="008C15EA"/>
    <w:rsid w:val="008D184C"/>
    <w:rsid w:val="008D5592"/>
    <w:rsid w:val="00940007"/>
    <w:rsid w:val="009437AD"/>
    <w:rsid w:val="00960E79"/>
    <w:rsid w:val="0096567D"/>
    <w:rsid w:val="0099678B"/>
    <w:rsid w:val="009C3F9F"/>
    <w:rsid w:val="009F0893"/>
    <w:rsid w:val="00A024B5"/>
    <w:rsid w:val="00A03E39"/>
    <w:rsid w:val="00A155C9"/>
    <w:rsid w:val="00A32596"/>
    <w:rsid w:val="00A5622E"/>
    <w:rsid w:val="00AB0224"/>
    <w:rsid w:val="00AC5724"/>
    <w:rsid w:val="00AE4031"/>
    <w:rsid w:val="00AE4292"/>
    <w:rsid w:val="00AE4F87"/>
    <w:rsid w:val="00AE78E5"/>
    <w:rsid w:val="00B64CC8"/>
    <w:rsid w:val="00B76022"/>
    <w:rsid w:val="00BA5188"/>
    <w:rsid w:val="00BE0158"/>
    <w:rsid w:val="00C112DC"/>
    <w:rsid w:val="00C61BA4"/>
    <w:rsid w:val="00C65CE9"/>
    <w:rsid w:val="00C70A1B"/>
    <w:rsid w:val="00C7633D"/>
    <w:rsid w:val="00CA18D9"/>
    <w:rsid w:val="00CC34E0"/>
    <w:rsid w:val="00CD76E1"/>
    <w:rsid w:val="00CE2F22"/>
    <w:rsid w:val="00D4338F"/>
    <w:rsid w:val="00D545E8"/>
    <w:rsid w:val="00D97B5F"/>
    <w:rsid w:val="00DA3607"/>
    <w:rsid w:val="00DB4AFB"/>
    <w:rsid w:val="00DB6220"/>
    <w:rsid w:val="00DD4EB8"/>
    <w:rsid w:val="00DD64B9"/>
    <w:rsid w:val="00E236ED"/>
    <w:rsid w:val="00E40DC4"/>
    <w:rsid w:val="00E62FD3"/>
    <w:rsid w:val="00E83C07"/>
    <w:rsid w:val="00EC7A30"/>
    <w:rsid w:val="00EF1192"/>
    <w:rsid w:val="00F3397C"/>
    <w:rsid w:val="00F82768"/>
    <w:rsid w:val="00F83122"/>
    <w:rsid w:val="00FD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0B65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0B65FA"/>
  </w:style>
  <w:style w:type="character" w:customStyle="1" w:styleId="apple-converted-space">
    <w:name w:val="apple-converted-space"/>
    <w:basedOn w:val="VarsaylanParagrafYazTipi"/>
    <w:rsid w:val="0069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695613085">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4423</Words>
  <Characters>25214</Characters>
  <Application>Microsoft Office Word</Application>
  <DocSecurity>0</DocSecurity>
  <Lines>210</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 Y</cp:lastModifiedBy>
  <cp:revision>4</cp:revision>
  <dcterms:created xsi:type="dcterms:W3CDTF">2026-05-10T16:50:00Z</dcterms:created>
  <dcterms:modified xsi:type="dcterms:W3CDTF">2026-05-10T20:35:00Z</dcterms:modified>
</cp:coreProperties>
</file>