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0554" w:rsidRDefault="00000000" w:rsidP="00B763D9">
      <w:pPr>
        <w:tabs>
          <w:tab w:val="left" w:pos="709"/>
          <w:tab w:val="left" w:pos="851"/>
        </w:tabs>
        <w:spacing w:line="23" w:lineRule="atLeast"/>
        <w:jc w:val="center"/>
        <w:rPr>
          <w:rFonts w:ascii="Palatino Linotype" w:eastAsia="Palatino Linotype" w:hAnsi="Palatino Linotype" w:cs="Palatino Linotype"/>
          <w:b/>
        </w:rPr>
      </w:pPr>
      <w:r>
        <w:rPr>
          <w:rFonts w:ascii="Palatino Linotype" w:eastAsia="Palatino Linotype" w:hAnsi="Palatino Linotype" w:cs="Palatino Linotype"/>
          <w:b/>
        </w:rPr>
        <w:t>…………AĞIR CEZA MAHKEMESİ BAŞKANLIĞINA</w:t>
      </w:r>
    </w:p>
    <w:p w14:paraId="00000002" w14:textId="77777777" w:rsidR="009E0554" w:rsidRDefault="00000000" w:rsidP="00B763D9">
      <w:pPr>
        <w:tabs>
          <w:tab w:val="left" w:pos="709"/>
          <w:tab w:val="left" w:pos="851"/>
        </w:tabs>
        <w:spacing w:line="23" w:lineRule="atLeast"/>
        <w:jc w:val="center"/>
        <w:rPr>
          <w:rFonts w:ascii="Palatino Linotype" w:eastAsia="Palatino Linotype" w:hAnsi="Palatino Linotype" w:cs="Palatino Linotype"/>
          <w:b/>
        </w:rPr>
      </w:pPr>
      <w:r>
        <w:rPr>
          <w:rFonts w:ascii="Palatino Linotype" w:eastAsia="Palatino Linotype" w:hAnsi="Palatino Linotype" w:cs="Palatino Linotype"/>
          <w:b/>
          <w:highlight w:val="yellow"/>
        </w:rPr>
        <w:t>(Hükmü veren ilk derece ağır ceza mahkemesinin adı yazılmalı)</w:t>
      </w:r>
    </w:p>
    <w:p w14:paraId="00000003" w14:textId="77777777" w:rsidR="009E0554" w:rsidRDefault="00000000" w:rsidP="00B763D9">
      <w:pPr>
        <w:tabs>
          <w:tab w:val="left" w:pos="709"/>
          <w:tab w:val="left" w:pos="851"/>
        </w:tabs>
        <w:spacing w:line="23" w:lineRule="atLeast"/>
        <w:jc w:val="center"/>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00000004" w14:textId="77777777" w:rsidR="009E0554" w:rsidRDefault="00000000" w:rsidP="00B763D9">
      <w:pPr>
        <w:tabs>
          <w:tab w:val="left" w:pos="709"/>
          <w:tab w:val="left" w:pos="851"/>
        </w:tabs>
        <w:spacing w:line="23" w:lineRule="atLeast"/>
        <w:rPr>
          <w:rFonts w:ascii="Palatino Linotype" w:eastAsia="Palatino Linotype" w:hAnsi="Palatino Linotype" w:cs="Palatino Linotype"/>
          <w:b/>
        </w:rPr>
      </w:pPr>
      <w:r>
        <w:rPr>
          <w:rFonts w:ascii="Palatino Linotype" w:eastAsia="Palatino Linotype" w:hAnsi="Palatino Linotype" w:cs="Palatino Linotype"/>
          <w:b/>
        </w:rPr>
        <w:t xml:space="preserve"> </w:t>
      </w:r>
      <w:r>
        <w:rPr>
          <w:rFonts w:ascii="Palatino Linotype" w:eastAsia="Palatino Linotype" w:hAnsi="Palatino Linotype" w:cs="Palatino Linotype"/>
          <w:b/>
          <w:u w:val="single"/>
        </w:rPr>
        <w:t xml:space="preserve">Dosya </w:t>
      </w:r>
      <w:proofErr w:type="gramStart"/>
      <w:r>
        <w:rPr>
          <w:rFonts w:ascii="Palatino Linotype" w:eastAsia="Palatino Linotype" w:hAnsi="Palatino Linotype" w:cs="Palatino Linotype"/>
          <w:b/>
          <w:u w:val="single"/>
        </w:rPr>
        <w:t>No:</w:t>
      </w:r>
      <w:r>
        <w:rPr>
          <w:rFonts w:ascii="Palatino Linotype" w:eastAsia="Palatino Linotype" w:hAnsi="Palatino Linotype" w:cs="Palatino Linotype"/>
          <w:b/>
        </w:rPr>
        <w:t>…</w:t>
      </w:r>
      <w:proofErr w:type="gramEnd"/>
      <w:r>
        <w:rPr>
          <w:rFonts w:ascii="Palatino Linotype" w:eastAsia="Palatino Linotype" w:hAnsi="Palatino Linotype" w:cs="Palatino Linotype"/>
          <w:b/>
        </w:rPr>
        <w:t>/...</w:t>
      </w:r>
      <w:proofErr w:type="gramStart"/>
      <w:r>
        <w:rPr>
          <w:rFonts w:ascii="Palatino Linotype" w:eastAsia="Palatino Linotype" w:hAnsi="Palatino Linotype" w:cs="Palatino Linotype"/>
          <w:b/>
        </w:rPr>
        <w:t>E,/</w:t>
      </w:r>
      <w:proofErr w:type="gramEnd"/>
      <w:r>
        <w:rPr>
          <w:rFonts w:ascii="Palatino Linotype" w:eastAsia="Palatino Linotype" w:hAnsi="Palatino Linotype" w:cs="Palatino Linotype"/>
          <w:b/>
        </w:rPr>
        <w:t xml:space="preserve">… K.  </w:t>
      </w:r>
      <w:r>
        <w:rPr>
          <w:rFonts w:ascii="Palatino Linotype" w:eastAsia="Palatino Linotype" w:hAnsi="Palatino Linotype" w:cs="Palatino Linotype"/>
          <w:b/>
          <w:highlight w:val="yellow"/>
        </w:rPr>
        <w:t>(İlk derece mahkemesi dava dosya numarası yazılmalı)</w:t>
      </w:r>
    </w:p>
    <w:p w14:paraId="00000005" w14:textId="77777777" w:rsidR="009E0554" w:rsidRDefault="009E0554" w:rsidP="00B763D9">
      <w:pPr>
        <w:tabs>
          <w:tab w:val="left" w:pos="709"/>
          <w:tab w:val="left" w:pos="851"/>
        </w:tabs>
        <w:spacing w:line="23" w:lineRule="atLeast"/>
        <w:rPr>
          <w:rFonts w:ascii="Palatino Linotype" w:eastAsia="Palatino Linotype" w:hAnsi="Palatino Linotype" w:cs="Palatino Linotype"/>
          <w:b/>
        </w:rPr>
      </w:pPr>
    </w:p>
    <w:p w14:paraId="00000006" w14:textId="77777777" w:rsidR="009E0554" w:rsidRDefault="009E0554" w:rsidP="00B763D9">
      <w:pPr>
        <w:tabs>
          <w:tab w:val="left" w:pos="709"/>
          <w:tab w:val="left" w:pos="851"/>
        </w:tabs>
        <w:spacing w:line="23" w:lineRule="atLeast"/>
        <w:jc w:val="center"/>
        <w:rPr>
          <w:rFonts w:ascii="Palatino Linotype" w:eastAsia="Palatino Linotype" w:hAnsi="Palatino Linotype" w:cs="Palatino Linotype"/>
          <w:b/>
        </w:rPr>
      </w:pPr>
    </w:p>
    <w:p w14:paraId="00000007" w14:textId="77777777" w:rsidR="009E0554"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rPr>
      </w:pPr>
      <w:r>
        <w:rPr>
          <w:rFonts w:ascii="Palatino Linotype" w:eastAsia="Palatino Linotype" w:hAnsi="Palatino Linotype" w:cs="Palatino Linotype"/>
          <w:b/>
          <w:u w:val="single"/>
        </w:rPr>
        <w:t xml:space="preserve">Talepte Bulunan Hükümlü                       </w:t>
      </w:r>
      <w:proofErr w:type="gramStart"/>
      <w:r>
        <w:rPr>
          <w:rFonts w:ascii="Palatino Linotype" w:eastAsia="Palatino Linotype" w:hAnsi="Palatino Linotype" w:cs="Palatino Linotype"/>
          <w:b/>
          <w:u w:val="single"/>
        </w:rPr>
        <w:t xml:space="preserve">  :</w:t>
      </w:r>
      <w:proofErr w:type="gramEnd"/>
      <w:r>
        <w:rPr>
          <w:rFonts w:ascii="Palatino Linotype" w:eastAsia="Palatino Linotype" w:hAnsi="Palatino Linotype" w:cs="Palatino Linotype"/>
          <w:b/>
          <w:u w:val="single"/>
        </w:rPr>
        <w:t xml:space="preserve"> </w:t>
      </w:r>
    </w:p>
    <w:p w14:paraId="00000008" w14:textId="77777777" w:rsidR="009E0554" w:rsidRDefault="00000000" w:rsidP="00B763D9">
      <w:pPr>
        <w:tabs>
          <w:tab w:val="left" w:pos="709"/>
          <w:tab w:val="left" w:pos="851"/>
          <w:tab w:val="left" w:pos="3870"/>
        </w:tabs>
        <w:spacing w:line="23" w:lineRule="atLeast"/>
        <w:jc w:val="both"/>
        <w:rPr>
          <w:rFonts w:ascii="Palatino Linotype" w:eastAsia="Palatino Linotype" w:hAnsi="Palatino Linotype" w:cs="Palatino Linotype"/>
          <w:b/>
          <w:u w:val="single"/>
        </w:rPr>
      </w:pPr>
      <w:r>
        <w:rPr>
          <w:rFonts w:ascii="Palatino Linotype" w:eastAsia="Palatino Linotype" w:hAnsi="Palatino Linotype" w:cs="Palatino Linotype"/>
          <w:b/>
        </w:rPr>
        <w:t xml:space="preserve">Talepte Bulunan                                     </w:t>
      </w:r>
      <w:proofErr w:type="gramStart"/>
      <w:r>
        <w:rPr>
          <w:rFonts w:ascii="Palatino Linotype" w:eastAsia="Palatino Linotype" w:hAnsi="Palatino Linotype" w:cs="Palatino Linotype"/>
          <w:b/>
        </w:rPr>
        <w:t xml:space="preserve">  :</w:t>
      </w:r>
      <w:proofErr w:type="gramEnd"/>
      <w:r>
        <w:rPr>
          <w:rFonts w:ascii="Palatino Linotype" w:eastAsia="Palatino Linotype" w:hAnsi="Palatino Linotype" w:cs="Palatino Linotype"/>
          <w:b/>
        </w:rPr>
        <w:t xml:space="preserve"> </w:t>
      </w:r>
      <w:r>
        <w:rPr>
          <w:rFonts w:ascii="Palatino Linotype" w:eastAsia="Palatino Linotype" w:hAnsi="Palatino Linotype" w:cs="Palatino Linotype"/>
          <w:b/>
          <w:highlight w:val="yellow"/>
        </w:rPr>
        <w:t>(Vasi ya da eş talepte bulunuyorsa, o kişinin bilgileri.  Eğer kişi kendisi başvuru yapacaksa bu kısmı doldurmaya gerek yok)</w:t>
      </w:r>
    </w:p>
    <w:p w14:paraId="64B47E67" w14:textId="32B60F3D" w:rsidR="00E51CE3" w:rsidRDefault="00000000"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b/>
          <w:u w:val="single"/>
        </w:rPr>
        <w:t xml:space="preserve">Talep Konusu                                      </w:t>
      </w:r>
      <w:proofErr w:type="gramStart"/>
      <w:r>
        <w:rPr>
          <w:rFonts w:ascii="Palatino Linotype" w:eastAsia="Palatino Linotype" w:hAnsi="Palatino Linotype" w:cs="Palatino Linotype"/>
          <w:b/>
          <w:u w:val="single"/>
        </w:rPr>
        <w:tab/>
        <w:t xml:space="preserve"> :</w:t>
      </w:r>
      <w:proofErr w:type="gramEnd"/>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Avrupa İnsan Hakları Mahkemesi’nin (AİHM) </w:t>
      </w:r>
      <w:r w:rsidR="00BE5008" w:rsidRPr="00D669DC">
        <w:rPr>
          <w:rFonts w:ascii="Palatino Linotype" w:eastAsia="Palatino Linotype" w:hAnsi="Palatino Linotype" w:cs="Palatino Linotype"/>
          <w:b/>
          <w:bCs/>
        </w:rPr>
        <w:t xml:space="preserve">Seyhan </w:t>
      </w:r>
      <w:r w:rsidRPr="00D669DC">
        <w:rPr>
          <w:rFonts w:ascii="Palatino Linotype" w:eastAsia="Palatino Linotype" w:hAnsi="Palatino Linotype" w:cs="Palatino Linotype"/>
          <w:b/>
          <w:bCs/>
        </w:rPr>
        <w:t>ve Diğerleri/Türkiye</w:t>
      </w:r>
      <w:r>
        <w:rPr>
          <w:rFonts w:ascii="Palatino Linotype" w:eastAsia="Palatino Linotype" w:hAnsi="Palatino Linotype" w:cs="Palatino Linotype"/>
        </w:rPr>
        <w:t xml:space="preserve"> </w:t>
      </w:r>
      <w:r w:rsidR="00E51CE3">
        <w:rPr>
          <w:rFonts w:ascii="Palatino Linotype" w:eastAsia="Palatino Linotype" w:hAnsi="Palatino Linotype" w:cs="Palatino Linotype"/>
        </w:rPr>
        <w:t>başvurusunda</w:t>
      </w:r>
      <w:r>
        <w:rPr>
          <w:rFonts w:ascii="Palatino Linotype" w:eastAsia="Palatino Linotype" w:hAnsi="Palatino Linotype" w:cs="Palatino Linotype"/>
        </w:rPr>
        <w:t xml:space="preserve">, AİHS’in 6 ve 7. maddelerinden </w:t>
      </w:r>
      <w:r w:rsidR="005B7BEB">
        <w:rPr>
          <w:rFonts w:ascii="Palatino Linotype" w:eastAsia="Palatino Linotype" w:hAnsi="Palatino Linotype" w:cs="Palatino Linotype"/>
        </w:rPr>
        <w:t xml:space="preserve">ve </w:t>
      </w:r>
      <w:r w:rsidR="005B7BEB" w:rsidRPr="005B7BEB">
        <w:rPr>
          <w:rFonts w:ascii="Palatino Linotype" w:eastAsia="Palatino Linotype" w:hAnsi="Palatino Linotype" w:cs="Palatino Linotype"/>
          <w:b/>
          <w:bCs/>
        </w:rPr>
        <w:t>Yasak/Türkiye</w:t>
      </w:r>
      <w:r w:rsidR="005B7BEB">
        <w:rPr>
          <w:rFonts w:ascii="Palatino Linotype" w:eastAsia="Palatino Linotype" w:hAnsi="Palatino Linotype" w:cs="Palatino Linotype"/>
        </w:rPr>
        <w:t xml:space="preserve"> kararında </w:t>
      </w:r>
      <w:r>
        <w:rPr>
          <w:rFonts w:ascii="Palatino Linotype" w:eastAsia="Palatino Linotype" w:hAnsi="Palatino Linotype" w:cs="Palatino Linotype"/>
        </w:rPr>
        <w:t xml:space="preserve">verdiği ihlal kararı sonrası, Mahkemenizin …………. </w:t>
      </w:r>
      <w:r w:rsidR="00E51CE3">
        <w:rPr>
          <w:rFonts w:ascii="Palatino Linotype" w:eastAsia="Palatino Linotype" w:hAnsi="Palatino Linotype" w:cs="Palatino Linotype"/>
        </w:rPr>
        <w:t>T</w:t>
      </w:r>
      <w:r>
        <w:rPr>
          <w:rFonts w:ascii="Palatino Linotype" w:eastAsia="Palatino Linotype" w:hAnsi="Palatino Linotype" w:cs="Palatino Linotype"/>
        </w:rPr>
        <w:t>arih</w:t>
      </w:r>
      <w:r w:rsidR="00E51CE3">
        <w:rPr>
          <w:rFonts w:ascii="Palatino Linotype" w:eastAsia="Palatino Linotype" w:hAnsi="Palatino Linotype" w:cs="Palatino Linotype"/>
        </w:rPr>
        <w:t>li,</w:t>
      </w:r>
      <w:r>
        <w:rPr>
          <w:rFonts w:ascii="Palatino Linotype" w:eastAsia="Palatino Linotype" w:hAnsi="Palatino Linotype" w:cs="Palatino Linotype"/>
        </w:rPr>
        <w:t xml:space="preserve"> ………. E. </w:t>
      </w:r>
      <w:r w:rsidR="00E51CE3">
        <w:rPr>
          <w:rFonts w:ascii="Palatino Linotype" w:eastAsia="Palatino Linotype" w:hAnsi="Palatino Linotype" w:cs="Palatino Linotype"/>
        </w:rPr>
        <w:t xml:space="preserve">ve </w:t>
      </w:r>
      <w:r>
        <w:rPr>
          <w:rFonts w:ascii="Palatino Linotype" w:eastAsia="Palatino Linotype" w:hAnsi="Palatino Linotype" w:cs="Palatino Linotype"/>
        </w:rPr>
        <w:t>…</w:t>
      </w:r>
      <w:proofErr w:type="gramStart"/>
      <w:r>
        <w:rPr>
          <w:rFonts w:ascii="Palatino Linotype" w:eastAsia="Palatino Linotype" w:hAnsi="Palatino Linotype" w:cs="Palatino Linotype"/>
        </w:rPr>
        <w:t>…….</w:t>
      </w:r>
      <w:proofErr w:type="gramEnd"/>
      <w:r>
        <w:rPr>
          <w:rFonts w:ascii="Palatino Linotype" w:eastAsia="Palatino Linotype" w:hAnsi="Palatino Linotype" w:cs="Palatino Linotype"/>
        </w:rPr>
        <w:t xml:space="preserve">.K.  </w:t>
      </w:r>
      <w:proofErr w:type="gramStart"/>
      <w:r>
        <w:rPr>
          <w:rFonts w:ascii="Palatino Linotype" w:eastAsia="Palatino Linotype" w:hAnsi="Palatino Linotype" w:cs="Palatino Linotype"/>
        </w:rPr>
        <w:t>sayılı</w:t>
      </w:r>
      <w:proofErr w:type="gramEnd"/>
      <w:r w:rsidR="00E51CE3" w:rsidRPr="00496041">
        <w:rPr>
          <w:rFonts w:ascii="Palatino Linotype" w:eastAsia="Palatino Linotype" w:hAnsi="Palatino Linotype" w:cs="Palatino Linotype"/>
        </w:rPr>
        <w:t xml:space="preserve"> </w:t>
      </w:r>
      <w:r>
        <w:rPr>
          <w:rFonts w:ascii="Palatino Linotype" w:eastAsia="Palatino Linotype" w:hAnsi="Palatino Linotype" w:cs="Palatino Linotype"/>
        </w:rPr>
        <w:t>kesinleşmiş kararın</w:t>
      </w:r>
      <w:r w:rsidR="00E51CE3">
        <w:rPr>
          <w:rFonts w:ascii="Palatino Linotype" w:eastAsia="Palatino Linotype" w:hAnsi="Palatino Linotype" w:cs="Palatino Linotype"/>
        </w:rPr>
        <w:t>;</w:t>
      </w:r>
    </w:p>
    <w:p w14:paraId="5B1F6CB8" w14:textId="7DFF80FE" w:rsidR="00E51CE3"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7A7CFE">
        <w:rPr>
          <w:rFonts w:ascii="Palatino Linotype" w:eastAsia="Palatino Linotype" w:hAnsi="Palatino Linotype" w:cs="Palatino Linotype"/>
        </w:rPr>
        <w:t>Ö</w:t>
      </w:r>
      <w:r>
        <w:rPr>
          <w:rFonts w:ascii="Palatino Linotype" w:eastAsia="Palatino Linotype" w:hAnsi="Palatino Linotype" w:cs="Palatino Linotype"/>
        </w:rPr>
        <w:t xml:space="preserve">ncelikle </w:t>
      </w:r>
      <w:r>
        <w:rPr>
          <w:rFonts w:ascii="Palatino Linotype" w:eastAsia="Palatino Linotype" w:hAnsi="Palatino Linotype" w:cs="Palatino Linotype"/>
          <w:b/>
        </w:rPr>
        <w:t>CMK’nın 311/1-f maddesi uyarınca yeniden yargılamaya konu yapılmasına,</w:t>
      </w:r>
      <w:r>
        <w:rPr>
          <w:rFonts w:ascii="Palatino Linotype" w:eastAsia="Palatino Linotype" w:hAnsi="Palatino Linotype" w:cs="Palatino Linotype"/>
        </w:rPr>
        <w:t xml:space="preserve"> </w:t>
      </w:r>
    </w:p>
    <w:p w14:paraId="39463EF2" w14:textId="77777777" w:rsidR="00DF3D5D"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xml:space="preserve">- </w:t>
      </w:r>
      <w:r w:rsidR="007A7CFE">
        <w:rPr>
          <w:rFonts w:ascii="Palatino Linotype" w:eastAsia="Palatino Linotype" w:hAnsi="Palatino Linotype" w:cs="Palatino Linotype"/>
        </w:rPr>
        <w:t>A</w:t>
      </w:r>
      <w:r>
        <w:rPr>
          <w:rFonts w:ascii="Palatino Linotype" w:eastAsia="Palatino Linotype" w:hAnsi="Palatino Linotype" w:cs="Palatino Linotype"/>
        </w:rPr>
        <w:t xml:space="preserve">kabinde ise suçun yasal unsurları oluşmadan </w:t>
      </w:r>
      <w:proofErr w:type="gramStart"/>
      <w:r>
        <w:rPr>
          <w:rFonts w:ascii="Palatino Linotype" w:eastAsia="Palatino Linotype" w:hAnsi="Palatino Linotype" w:cs="Palatino Linotype"/>
        </w:rPr>
        <w:t>mahkumiyet</w:t>
      </w:r>
      <w:proofErr w:type="gramEnd"/>
      <w:r>
        <w:rPr>
          <w:rFonts w:ascii="Palatino Linotype" w:eastAsia="Palatino Linotype" w:hAnsi="Palatino Linotype" w:cs="Palatino Linotype"/>
        </w:rPr>
        <w:t xml:space="preserve"> kararı verildiği AİHM kararı ile tespit edildiğinden dolayı derhal </w:t>
      </w:r>
      <w:r>
        <w:rPr>
          <w:rFonts w:ascii="Palatino Linotype" w:eastAsia="Palatino Linotype" w:hAnsi="Palatino Linotype" w:cs="Palatino Linotype"/>
          <w:highlight w:val="yellow"/>
        </w:rPr>
        <w:t>beraatıma/eşimin/vasisi olduğum</w:t>
      </w:r>
      <w:proofErr w:type="gramStart"/>
      <w:r>
        <w:rPr>
          <w:rFonts w:ascii="Palatino Linotype" w:eastAsia="Palatino Linotype" w:hAnsi="Palatino Linotype" w:cs="Palatino Linotype"/>
          <w:highlight w:val="yellow"/>
        </w:rPr>
        <w:t xml:space="preserve"> ....</w:t>
      </w:r>
      <w:proofErr w:type="gramEnd"/>
      <w:r>
        <w:rPr>
          <w:rFonts w:ascii="Palatino Linotype" w:eastAsia="Palatino Linotype" w:hAnsi="Palatino Linotype" w:cs="Palatino Linotype"/>
          <w:highlight w:val="yellow"/>
        </w:rPr>
        <w:t>’in/müvekkilin beraatına</w:t>
      </w:r>
      <w:r>
        <w:rPr>
          <w:rFonts w:ascii="Palatino Linotype" w:eastAsia="Palatino Linotype" w:hAnsi="Palatino Linotype" w:cs="Palatino Linotype"/>
        </w:rPr>
        <w:t xml:space="preserve"> karar verilmesine</w:t>
      </w:r>
    </w:p>
    <w:p w14:paraId="5588CA68" w14:textId="28C8D0C8" w:rsidR="00E51CE3" w:rsidRDefault="00DF3D5D"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t>- Y</w:t>
      </w:r>
      <w:r w:rsidR="00E51CE3">
        <w:rPr>
          <w:rFonts w:ascii="Palatino Linotype" w:eastAsia="Palatino Linotype" w:hAnsi="Palatino Linotype" w:cs="Palatino Linotype"/>
        </w:rPr>
        <w:t xml:space="preserve">argılama sonuna kadar </w:t>
      </w:r>
      <w:r w:rsidR="00E51CE3">
        <w:rPr>
          <w:rFonts w:ascii="Palatino Linotype" w:eastAsia="Palatino Linotype" w:hAnsi="Palatino Linotype" w:cs="Palatino Linotype"/>
          <w:highlight w:val="yellow"/>
        </w:rPr>
        <w:t>infazın/infazını (ilgili kişi tutukluysa)</w:t>
      </w:r>
      <w:r w:rsidR="00E51CE3">
        <w:rPr>
          <w:rFonts w:ascii="Palatino Linotype" w:eastAsia="Palatino Linotype" w:hAnsi="Palatino Linotype" w:cs="Palatino Linotype"/>
        </w:rPr>
        <w:t xml:space="preserve"> tedbiren durdurulmasına,</w:t>
      </w:r>
    </w:p>
    <w:p w14:paraId="33D4EEA8" w14:textId="059CF5E1" w:rsidR="00DF3D5D" w:rsidRPr="00DF3D5D" w:rsidRDefault="00DF3D5D" w:rsidP="00DF3D5D">
      <w:pPr>
        <w:tabs>
          <w:tab w:val="left" w:pos="851"/>
        </w:tabs>
        <w:spacing w:line="23" w:lineRule="atLeast"/>
        <w:ind w:left="3969" w:hanging="2976"/>
        <w:jc w:val="both"/>
        <w:rPr>
          <w:rFonts w:ascii="Palatino Linotype" w:eastAsia="Palatino Linotype" w:hAnsi="Palatino Linotype" w:cs="Palatino Linotype"/>
          <w:color w:val="000000" w:themeColor="text1"/>
          <w:lang w:val="tr-TR"/>
        </w:rPr>
      </w:pPr>
      <w:r>
        <w:rPr>
          <w:rFonts w:ascii="Palatino Linotype" w:eastAsia="Palatino Linotype" w:hAnsi="Palatino Linotype" w:cs="Palatino Linotype"/>
        </w:rPr>
        <w:tab/>
      </w:r>
      <w:r>
        <w:rPr>
          <w:rFonts w:ascii="Palatino Linotype" w:eastAsia="Palatino Linotype" w:hAnsi="Palatino Linotype" w:cs="Palatino Linotype"/>
        </w:rPr>
        <w:tab/>
      </w:r>
      <w:r w:rsidRPr="00DF3D5D">
        <w:rPr>
          <w:rFonts w:ascii="Palatino Linotype" w:eastAsia="Palatino Linotype" w:hAnsi="Palatino Linotype" w:cs="Palatino Linotype"/>
          <w:color w:val="000000" w:themeColor="text1"/>
        </w:rPr>
        <w:t>- A</w:t>
      </w:r>
      <w:r w:rsidRPr="00DF3D5D">
        <w:rPr>
          <w:rFonts w:ascii="Palatino Linotype" w:eastAsia="Palatino Linotype" w:hAnsi="Palatino Linotype" w:cs="Palatino Linotype"/>
          <w:color w:val="000000" w:themeColor="text1"/>
          <w:lang w:val="tr-TR"/>
        </w:rPr>
        <w:t>dli Sicil Yönetmeli</w:t>
      </w:r>
      <w:r w:rsidR="005B7BEB">
        <w:rPr>
          <w:rFonts w:ascii="Palatino Linotype" w:eastAsia="Palatino Linotype" w:hAnsi="Palatino Linotype" w:cs="Palatino Linotype"/>
          <w:color w:val="000000" w:themeColor="text1"/>
          <w:lang w:val="tr-TR"/>
        </w:rPr>
        <w:t>ğ</w:t>
      </w:r>
      <w:r w:rsidRPr="00DF3D5D">
        <w:rPr>
          <w:rFonts w:ascii="Palatino Linotype" w:eastAsia="Palatino Linotype" w:hAnsi="Palatino Linotype" w:cs="Palatino Linotype"/>
          <w:color w:val="000000" w:themeColor="text1"/>
          <w:lang w:val="tr-TR"/>
        </w:rPr>
        <w:t>inin 3. ve 13/3. maddesi gere</w:t>
      </w:r>
      <w:r w:rsidR="005B7BEB">
        <w:rPr>
          <w:rFonts w:ascii="Palatino Linotype" w:eastAsia="Palatino Linotype" w:hAnsi="Palatino Linotype" w:cs="Palatino Linotype"/>
          <w:color w:val="000000" w:themeColor="text1"/>
          <w:lang w:val="tr-TR"/>
        </w:rPr>
        <w:t>ğ</w:t>
      </w:r>
      <w:r w:rsidRPr="00DF3D5D">
        <w:rPr>
          <w:rFonts w:ascii="Palatino Linotype" w:eastAsia="Palatino Linotype" w:hAnsi="Palatino Linotype" w:cs="Palatino Linotype"/>
          <w:color w:val="000000" w:themeColor="text1"/>
          <w:lang w:val="tr-TR"/>
        </w:rPr>
        <w:t xml:space="preserve">ince tali karar fişi </w:t>
      </w:r>
      <w:r w:rsidRPr="00DF3D5D">
        <w:rPr>
          <w:rFonts w:ascii="Palatino Linotype" w:eastAsia="Palatino Linotype" w:hAnsi="Palatino Linotype" w:cs="Palatino Linotype"/>
          <w:b/>
          <w:bCs/>
          <w:color w:val="000000" w:themeColor="text1"/>
          <w:lang w:val="tr-TR"/>
        </w:rPr>
        <w:t>DÜZENLENMESİNE,</w:t>
      </w:r>
      <w:r w:rsidRPr="00DF3D5D">
        <w:rPr>
          <w:rFonts w:ascii="Palatino Linotype" w:eastAsia="Palatino Linotype" w:hAnsi="Palatino Linotype" w:cs="Palatino Linotype"/>
          <w:color w:val="000000" w:themeColor="text1"/>
          <w:lang w:val="tr-TR"/>
        </w:rPr>
        <w:t xml:space="preserve"> </w:t>
      </w:r>
      <w:r w:rsidRPr="00DF3D5D">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Pr="00DF3D5D">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5B7BEB">
        <w:rPr>
          <w:rFonts w:ascii="Palatino Linotype" w:eastAsia="Palatino Linotype" w:hAnsi="Palatino Linotype" w:cs="Palatino Linotype"/>
          <w:color w:val="000000" w:themeColor="text1"/>
          <w:lang w:val="tr-TR"/>
        </w:rPr>
        <w:t>ğ</w:t>
      </w:r>
      <w:r w:rsidRPr="00DF3D5D">
        <w:rPr>
          <w:rFonts w:ascii="Palatino Linotype" w:eastAsia="Palatino Linotype" w:hAnsi="Palatino Linotype" w:cs="Palatino Linotype"/>
          <w:color w:val="000000" w:themeColor="text1"/>
          <w:lang w:val="tr-TR"/>
        </w:rPr>
        <w:t xml:space="preserve">üne </w:t>
      </w:r>
      <w:r w:rsidRPr="00DF3D5D">
        <w:rPr>
          <w:rFonts w:ascii="Palatino Linotype" w:eastAsia="Palatino Linotype" w:hAnsi="Palatino Linotype" w:cs="Palatino Linotype"/>
          <w:b/>
          <w:bCs/>
          <w:color w:val="000000" w:themeColor="text1"/>
          <w:lang w:val="tr-TR"/>
        </w:rPr>
        <w:t xml:space="preserve">GÖNDERİLMESİNE,                                                                       </w:t>
      </w:r>
    </w:p>
    <w:p w14:paraId="4B2F7E27" w14:textId="71915954" w:rsidR="00DF3D5D" w:rsidRPr="00DF3D5D" w:rsidRDefault="00DF3D5D" w:rsidP="00DF3D5D">
      <w:pPr>
        <w:tabs>
          <w:tab w:val="left" w:pos="851"/>
        </w:tabs>
        <w:spacing w:line="23" w:lineRule="atLeast"/>
        <w:ind w:left="3969"/>
        <w:jc w:val="both"/>
        <w:rPr>
          <w:rFonts w:ascii="Palatino Linotype" w:eastAsia="Palatino Linotype" w:hAnsi="Palatino Linotype" w:cs="Palatino Linotype"/>
          <w:color w:val="000000" w:themeColor="text1"/>
          <w:lang w:val="tr-TR"/>
        </w:rPr>
      </w:pPr>
      <w:r w:rsidRPr="00DF3D5D">
        <w:rPr>
          <w:rFonts w:ascii="Palatino Linotype" w:eastAsia="Palatino Linotype" w:hAnsi="Palatino Linotype" w:cs="Palatino Linotype"/>
          <w:color w:val="000000" w:themeColor="text1"/>
          <w:lang w:val="tr-TR"/>
        </w:rPr>
        <w:t xml:space="preserve">        - İnfaz evraklar</w:t>
      </w:r>
      <w:r w:rsidR="005B7BEB">
        <w:rPr>
          <w:rFonts w:ascii="Palatino Linotype" w:eastAsia="Palatino Linotype" w:hAnsi="Palatino Linotype" w:cs="Palatino Linotype"/>
          <w:color w:val="000000" w:themeColor="text1"/>
          <w:lang w:val="tr-TR"/>
        </w:rPr>
        <w:t>ı</w:t>
      </w:r>
      <w:r w:rsidRPr="00DF3D5D">
        <w:rPr>
          <w:rFonts w:ascii="Palatino Linotype" w:eastAsia="Palatino Linotype" w:hAnsi="Palatino Linotype" w:cs="Palatino Linotype"/>
          <w:color w:val="000000" w:themeColor="text1"/>
          <w:lang w:val="tr-TR"/>
        </w:rPr>
        <w:t>n</w:t>
      </w:r>
      <w:proofErr w:type="spellStart"/>
      <w:r w:rsidRPr="00DF3D5D">
        <w:rPr>
          <w:rFonts w:ascii="Palatino Linotype" w:eastAsia="Palatino Linotype" w:hAnsi="Palatino Linotype" w:cs="Palatino Linotype"/>
          <w:color w:val="000000" w:themeColor="text1"/>
        </w:rPr>
        <w:t>ın</w:t>
      </w:r>
      <w:proofErr w:type="spellEnd"/>
      <w:r w:rsidRPr="00DF3D5D">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Pr="00DF3D5D">
        <w:rPr>
          <w:rFonts w:ascii="Palatino Linotype" w:eastAsia="Palatino Linotype" w:hAnsi="Palatino Linotype" w:cs="Palatino Linotype"/>
          <w:b/>
          <w:bCs/>
          <w:color w:val="000000" w:themeColor="text1"/>
          <w:lang w:val="tr-TR"/>
        </w:rPr>
        <w:t>MÜZEKKERE YAZILMASINA,</w:t>
      </w:r>
    </w:p>
    <w:p w14:paraId="00000009" w14:textId="42623914" w:rsidR="009E0554" w:rsidRDefault="00E51CE3" w:rsidP="00B763D9">
      <w:pPr>
        <w:tabs>
          <w:tab w:val="left" w:pos="709"/>
          <w:tab w:val="left" w:pos="851"/>
          <w:tab w:val="left" w:pos="378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r>
        <w:rPr>
          <w:rFonts w:ascii="Palatino Linotype" w:eastAsia="Palatino Linotype" w:hAnsi="Palatino Linotype" w:cs="Palatino Linotype"/>
        </w:rPr>
        <w:tab/>
      </w:r>
      <w:proofErr w:type="gramStart"/>
      <w:r>
        <w:rPr>
          <w:rFonts w:ascii="Palatino Linotype" w:eastAsia="Palatino Linotype" w:hAnsi="Palatino Linotype" w:cs="Palatino Linotype"/>
        </w:rPr>
        <w:t>karar</w:t>
      </w:r>
      <w:proofErr w:type="gramEnd"/>
      <w:r>
        <w:rPr>
          <w:rFonts w:ascii="Palatino Linotype" w:eastAsia="Palatino Linotype" w:hAnsi="Palatino Linotype" w:cs="Palatino Linotype"/>
        </w:rPr>
        <w:t xml:space="preserve"> verilmesi istemine ilişkindir.</w:t>
      </w:r>
    </w:p>
    <w:p w14:paraId="0000000A" w14:textId="1FAE3449" w:rsidR="009E0554" w:rsidRDefault="00000000" w:rsidP="00B763D9">
      <w:pPr>
        <w:tabs>
          <w:tab w:val="left" w:pos="709"/>
          <w:tab w:val="left" w:pos="851"/>
          <w:tab w:val="left" w:pos="3870"/>
        </w:tabs>
        <w:spacing w:line="23" w:lineRule="atLeast"/>
        <w:ind w:left="3960" w:hanging="3960"/>
        <w:jc w:val="both"/>
        <w:rPr>
          <w:rFonts w:ascii="Palatino Linotype" w:eastAsia="Palatino Linotype" w:hAnsi="Palatino Linotype" w:cs="Palatino Linotype"/>
        </w:rPr>
      </w:pPr>
      <w:r>
        <w:rPr>
          <w:rFonts w:ascii="Palatino Linotype" w:eastAsia="Palatino Linotype" w:hAnsi="Palatino Linotype" w:cs="Palatino Linotype"/>
          <w:b/>
          <w:u w:val="single"/>
        </w:rPr>
        <w:t xml:space="preserve">Dayanılan Hukuki Kurallar             </w:t>
      </w:r>
      <w:proofErr w:type="gramStart"/>
      <w:r>
        <w:rPr>
          <w:rFonts w:ascii="Palatino Linotype" w:eastAsia="Palatino Linotype" w:hAnsi="Palatino Linotype" w:cs="Palatino Linotype"/>
          <w:b/>
          <w:u w:val="single"/>
        </w:rPr>
        <w:t xml:space="preserve">  </w:t>
      </w:r>
      <w:r w:rsidRPr="00E51CE3">
        <w:rPr>
          <w:rFonts w:ascii="Palatino Linotype" w:eastAsia="Palatino Linotype" w:hAnsi="Palatino Linotype" w:cs="Palatino Linotype"/>
          <w:b/>
          <w:bCs/>
          <w:u w:val="single"/>
        </w:rPr>
        <w:t>:</w:t>
      </w:r>
      <w:proofErr w:type="gramEnd"/>
      <w:r>
        <w:rPr>
          <w:rFonts w:ascii="Palatino Linotype" w:eastAsia="Palatino Linotype" w:hAnsi="Palatino Linotype" w:cs="Palatino Linotype"/>
        </w:rPr>
        <w:t xml:space="preserve">    </w:t>
      </w:r>
      <w:r w:rsidRPr="00496041">
        <w:rPr>
          <w:rFonts w:ascii="Palatino Linotype" w:eastAsia="Palatino Linotype" w:hAnsi="Palatino Linotype" w:cs="Palatino Linotype"/>
        </w:rPr>
        <w:t>CMK’nın</w:t>
      </w:r>
      <w:r>
        <w:rPr>
          <w:rFonts w:ascii="Palatino Linotype" w:eastAsia="Palatino Linotype" w:hAnsi="Palatino Linotype" w:cs="Palatino Linotype"/>
          <w:highlight w:val="yellow"/>
        </w:rPr>
        <w:t xml:space="preserve"> 262//1 (eş veya vasi başvuracaksa bu madde yazılmalı, şahsi başvuru yapılacaksa çıkarılmalı)</w:t>
      </w:r>
      <w:r>
        <w:rPr>
          <w:rFonts w:ascii="Palatino Linotype" w:eastAsia="Palatino Linotype" w:hAnsi="Palatino Linotype" w:cs="Palatino Linotype"/>
        </w:rPr>
        <w:t xml:space="preserve"> 311/1-f maddesi</w:t>
      </w:r>
      <w:r w:rsidR="00E51CE3">
        <w:rPr>
          <w:rFonts w:ascii="Palatino Linotype" w:eastAsia="Palatino Linotype" w:hAnsi="Palatino Linotype" w:cs="Palatino Linotype"/>
        </w:rPr>
        <w:t>,</w:t>
      </w:r>
      <w:r>
        <w:rPr>
          <w:rFonts w:ascii="Palatino Linotype" w:eastAsia="Palatino Linotype" w:hAnsi="Palatino Linotype" w:cs="Palatino Linotype"/>
        </w:rPr>
        <w:t xml:space="preserve"> </w:t>
      </w:r>
      <w:proofErr w:type="spellStart"/>
      <w:r>
        <w:rPr>
          <w:rFonts w:ascii="Palatino Linotype" w:eastAsia="Palatino Linotype" w:hAnsi="Palatino Linotype" w:cs="Palatino Linotype"/>
        </w:rPr>
        <w:t>AY’n</w:t>
      </w:r>
      <w:r w:rsidR="00E51CE3">
        <w:rPr>
          <w:rFonts w:ascii="Palatino Linotype" w:eastAsia="Palatino Linotype" w:hAnsi="Palatino Linotype" w:cs="Palatino Linotype"/>
        </w:rPr>
        <w:t>i</w:t>
      </w:r>
      <w:r>
        <w:rPr>
          <w:rFonts w:ascii="Palatino Linotype" w:eastAsia="Palatino Linotype" w:hAnsi="Palatino Linotype" w:cs="Palatino Linotype"/>
        </w:rPr>
        <w:t>n</w:t>
      </w:r>
      <w:proofErr w:type="spellEnd"/>
      <w:r>
        <w:rPr>
          <w:rFonts w:ascii="Palatino Linotype" w:eastAsia="Palatino Linotype" w:hAnsi="Palatino Linotype" w:cs="Palatino Linotype"/>
        </w:rPr>
        <w:t xml:space="preserve"> 90. maddesi</w:t>
      </w:r>
      <w:r w:rsidR="00E51CE3">
        <w:rPr>
          <w:rFonts w:ascii="Palatino Linotype" w:eastAsia="Palatino Linotype" w:hAnsi="Palatino Linotype" w:cs="Palatino Linotype"/>
        </w:rPr>
        <w:t xml:space="preserve"> ve</w:t>
      </w:r>
      <w:r>
        <w:rPr>
          <w:rFonts w:ascii="Palatino Linotype" w:eastAsia="Palatino Linotype" w:hAnsi="Palatino Linotype" w:cs="Palatino Linotype"/>
        </w:rPr>
        <w:t xml:space="preserve"> AİHS’in 6</w:t>
      </w:r>
      <w:r w:rsidR="00E51CE3">
        <w:rPr>
          <w:rFonts w:ascii="Palatino Linotype" w:eastAsia="Palatino Linotype" w:hAnsi="Palatino Linotype" w:cs="Palatino Linotype"/>
        </w:rPr>
        <w:t>.</w:t>
      </w:r>
      <w:r>
        <w:rPr>
          <w:rFonts w:ascii="Palatino Linotype" w:eastAsia="Palatino Linotype" w:hAnsi="Palatino Linotype" w:cs="Palatino Linotype"/>
        </w:rPr>
        <w:t>, 7</w:t>
      </w:r>
      <w:r w:rsidR="00E51CE3">
        <w:rPr>
          <w:rFonts w:ascii="Palatino Linotype" w:eastAsia="Palatino Linotype" w:hAnsi="Palatino Linotype" w:cs="Palatino Linotype"/>
        </w:rPr>
        <w:t>.</w:t>
      </w:r>
      <w:r>
        <w:rPr>
          <w:rFonts w:ascii="Palatino Linotype" w:eastAsia="Palatino Linotype" w:hAnsi="Palatino Linotype" w:cs="Palatino Linotype"/>
        </w:rPr>
        <w:t xml:space="preserve"> ve 46. </w:t>
      </w:r>
      <w:r w:rsidR="00E51CE3">
        <w:rPr>
          <w:rFonts w:ascii="Palatino Linotype" w:eastAsia="Palatino Linotype" w:hAnsi="Palatino Linotype" w:cs="Palatino Linotype"/>
        </w:rPr>
        <w:t>m</w:t>
      </w:r>
      <w:r>
        <w:rPr>
          <w:rFonts w:ascii="Palatino Linotype" w:eastAsia="Palatino Linotype" w:hAnsi="Palatino Linotype" w:cs="Palatino Linotype"/>
        </w:rPr>
        <w:t>addeleri.</w:t>
      </w:r>
    </w:p>
    <w:p w14:paraId="0000000C" w14:textId="77777777" w:rsidR="009E0554" w:rsidRDefault="009E0554" w:rsidP="00841375">
      <w:pPr>
        <w:tabs>
          <w:tab w:val="left" w:pos="709"/>
          <w:tab w:val="left" w:pos="851"/>
          <w:tab w:val="left" w:pos="3870"/>
        </w:tabs>
        <w:spacing w:line="23" w:lineRule="atLeast"/>
        <w:rPr>
          <w:rFonts w:ascii="Palatino Linotype" w:eastAsia="Palatino Linotype" w:hAnsi="Palatino Linotype" w:cs="Palatino Linotype"/>
          <w:b/>
        </w:rPr>
      </w:pPr>
    </w:p>
    <w:p w14:paraId="0000000D" w14:textId="578FD331" w:rsidR="009E0554" w:rsidRPr="001B7936" w:rsidRDefault="00000000" w:rsidP="00B763D9">
      <w:pPr>
        <w:tabs>
          <w:tab w:val="left" w:pos="709"/>
          <w:tab w:val="left" w:pos="851"/>
          <w:tab w:val="left" w:pos="3870"/>
        </w:tabs>
        <w:spacing w:line="23" w:lineRule="atLeast"/>
        <w:ind w:left="3960" w:hanging="3960"/>
        <w:jc w:val="center"/>
        <w:rPr>
          <w:rFonts w:ascii="Palatino Linotype" w:eastAsia="Palatino Linotype" w:hAnsi="Palatino Linotype" w:cs="Palatino Linotype"/>
          <w:b/>
          <w:u w:val="single"/>
        </w:rPr>
      </w:pPr>
      <w:r w:rsidRPr="001B7936">
        <w:rPr>
          <w:rFonts w:ascii="Palatino Linotype" w:eastAsia="Palatino Linotype" w:hAnsi="Palatino Linotype" w:cs="Palatino Linotype"/>
          <w:b/>
          <w:u w:val="single"/>
        </w:rPr>
        <w:lastRenderedPageBreak/>
        <w:t>AÇIKLAMALAR</w:t>
      </w:r>
    </w:p>
    <w:p w14:paraId="0000000E" w14:textId="257160FB" w:rsidR="009E0554" w:rsidRDefault="00000000" w:rsidP="00B763D9">
      <w:pPr>
        <w:tabs>
          <w:tab w:val="left" w:pos="3870"/>
        </w:tabs>
        <w:spacing w:line="23" w:lineRule="atLeast"/>
        <w:ind w:left="709" w:hanging="425"/>
        <w:jc w:val="both"/>
        <w:rPr>
          <w:rFonts w:ascii="Palatino Linotype" w:eastAsia="Palatino Linotype" w:hAnsi="Palatino Linotype" w:cs="Palatino Linotype"/>
          <w:b/>
        </w:rPr>
      </w:pPr>
      <w:r>
        <w:rPr>
          <w:rFonts w:ascii="Palatino Linotype" w:eastAsia="Palatino Linotype" w:hAnsi="Palatino Linotype" w:cs="Palatino Linotype"/>
          <w:b/>
        </w:rPr>
        <w:t xml:space="preserve">I. </w:t>
      </w:r>
      <w:r w:rsidR="00D669DC">
        <w:rPr>
          <w:rFonts w:ascii="Palatino Linotype" w:eastAsia="Palatino Linotype" w:hAnsi="Palatino Linotype" w:cs="Palatino Linotype"/>
          <w:b/>
          <w:highlight w:val="yellow"/>
        </w:rPr>
        <w:t xml:space="preserve"> </w:t>
      </w:r>
      <w:r w:rsidR="00D669DC" w:rsidRPr="00D669DC">
        <w:rPr>
          <w:rFonts w:ascii="Palatino Linotype" w:eastAsia="Palatino Linotype" w:hAnsi="Palatino Linotype" w:cs="Palatino Linotype"/>
          <w:b/>
          <w:highlight w:val="yellow"/>
        </w:rPr>
        <w:t xml:space="preserve">HAKKIMDA VERİLEN/ EŞİM HAKKINDA VERİLEN/VASİSİ OLDUĞUM ... HAKKINDA VERİLEN/MÜVEKKİL HAKKINDA VERİLEN </w:t>
      </w:r>
      <w:proofErr w:type="gramStart"/>
      <w:r w:rsidR="00D669DC" w:rsidRPr="00D669DC">
        <w:rPr>
          <w:rFonts w:ascii="Palatino Linotype" w:eastAsia="Palatino Linotype" w:hAnsi="Palatino Linotype" w:cs="Palatino Linotype"/>
          <w:b/>
          <w:highlight w:val="yellow"/>
        </w:rPr>
        <w:t>MAHKUMİYET</w:t>
      </w:r>
      <w:proofErr w:type="gramEnd"/>
      <w:r w:rsidR="00D669DC" w:rsidRPr="00D669DC">
        <w:rPr>
          <w:rFonts w:ascii="Palatino Linotype" w:eastAsia="Palatino Linotype" w:hAnsi="Palatino Linotype" w:cs="Palatino Linotype"/>
          <w:b/>
          <w:highlight w:val="yellow"/>
        </w:rPr>
        <w:t xml:space="preserve"> GEREKÇESİ</w:t>
      </w:r>
    </w:p>
    <w:p w14:paraId="0000000F" w14:textId="40760D28" w:rsidR="009E0554"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Mahkemenizin </w:t>
      </w:r>
      <w:r w:rsidR="00340C74" w:rsidRPr="00D669DC">
        <w:rPr>
          <w:rFonts w:ascii="Palatino Linotype" w:eastAsia="Palatino Linotype" w:hAnsi="Palatino Linotype" w:cs="Palatino Linotype"/>
          <w:color w:val="000000"/>
          <w:highlight w:val="yellow"/>
        </w:rPr>
        <w:t xml:space="preserve">... </w:t>
      </w:r>
      <w:proofErr w:type="gramStart"/>
      <w:r w:rsidR="00340C74" w:rsidRPr="00D669DC">
        <w:rPr>
          <w:rFonts w:ascii="Palatino Linotype" w:eastAsia="Palatino Linotype" w:hAnsi="Palatino Linotype" w:cs="Palatino Linotype"/>
          <w:color w:val="000000"/>
          <w:highlight w:val="yellow"/>
        </w:rPr>
        <w:t xml:space="preserve">tarihli, </w:t>
      </w:r>
      <w:r w:rsidRPr="00D669DC">
        <w:rPr>
          <w:rFonts w:ascii="Palatino Linotype" w:eastAsia="Palatino Linotype" w:hAnsi="Palatino Linotype" w:cs="Palatino Linotype"/>
          <w:color w:val="000000"/>
          <w:highlight w:val="yellow"/>
        </w:rPr>
        <w:t>….</w:t>
      </w:r>
      <w:proofErr w:type="gramEnd"/>
      <w:r w:rsidRPr="00D669DC">
        <w:rPr>
          <w:rFonts w:ascii="Palatino Linotype" w:eastAsia="Palatino Linotype" w:hAnsi="Palatino Linotype" w:cs="Palatino Linotype"/>
          <w:color w:val="000000"/>
          <w:highlight w:val="yellow"/>
        </w:rPr>
        <w:t>E. ve</w:t>
      </w:r>
      <w:proofErr w:type="gramStart"/>
      <w:r w:rsidRPr="00D669DC">
        <w:rPr>
          <w:rFonts w:ascii="Palatino Linotype" w:eastAsia="Palatino Linotype" w:hAnsi="Palatino Linotype" w:cs="Palatino Linotype"/>
          <w:color w:val="000000"/>
          <w:highlight w:val="yellow"/>
        </w:rPr>
        <w:t xml:space="preserve"> ….</w:t>
      </w:r>
      <w:proofErr w:type="gramEnd"/>
      <w:r w:rsidRPr="00D669DC">
        <w:rPr>
          <w:rFonts w:ascii="Palatino Linotype" w:eastAsia="Palatino Linotype" w:hAnsi="Palatino Linotype" w:cs="Palatino Linotype"/>
          <w:color w:val="000000"/>
          <w:highlight w:val="yellow"/>
        </w:rPr>
        <w:t>K….</w:t>
      </w:r>
      <w:r>
        <w:rPr>
          <w:rFonts w:ascii="Palatino Linotype" w:eastAsia="Palatino Linotype" w:hAnsi="Palatino Linotype" w:cs="Palatino Linotype"/>
          <w:color w:val="000000"/>
        </w:rPr>
        <w:t xml:space="preserve"> </w:t>
      </w:r>
      <w:proofErr w:type="gramStart"/>
      <w:r>
        <w:rPr>
          <w:rFonts w:ascii="Palatino Linotype" w:eastAsia="Palatino Linotype" w:hAnsi="Palatino Linotype" w:cs="Palatino Linotype"/>
          <w:color w:val="000000"/>
        </w:rPr>
        <w:t>sayılı</w:t>
      </w:r>
      <w:proofErr w:type="gramEnd"/>
      <w:r>
        <w:rPr>
          <w:rFonts w:ascii="Palatino Linotype" w:eastAsia="Palatino Linotype" w:hAnsi="Palatino Linotype" w:cs="Palatino Linotype"/>
          <w:color w:val="000000"/>
        </w:rPr>
        <w:t xml:space="preserve"> kararı ile </w:t>
      </w:r>
      <w:r w:rsidR="00340C74">
        <w:rPr>
          <w:rFonts w:ascii="Palatino Linotype" w:eastAsia="Palatino Linotype" w:hAnsi="Palatino Linotype" w:cs="Palatino Linotype"/>
          <w:color w:val="000000"/>
        </w:rPr>
        <w:t>TCK’nın 314/2. maddesi uyarınca</w:t>
      </w:r>
      <w:r>
        <w:rPr>
          <w:rFonts w:ascii="Palatino Linotype" w:eastAsia="Palatino Linotype" w:hAnsi="Palatino Linotype" w:cs="Palatino Linotype"/>
          <w:color w:val="000000"/>
        </w:rPr>
        <w:t xml:space="preserve"> silahlı terör örgütüne üyelik suçlaması ile …. </w:t>
      </w:r>
      <w:proofErr w:type="gramStart"/>
      <w:r>
        <w:rPr>
          <w:rFonts w:ascii="Palatino Linotype" w:eastAsia="Palatino Linotype" w:hAnsi="Palatino Linotype" w:cs="Palatino Linotype"/>
          <w:color w:val="000000"/>
        </w:rPr>
        <w:t>hapis</w:t>
      </w:r>
      <w:proofErr w:type="gramEnd"/>
      <w:r>
        <w:rPr>
          <w:rFonts w:ascii="Palatino Linotype" w:eastAsia="Palatino Linotype" w:hAnsi="Palatino Linotype" w:cs="Palatino Linotype"/>
          <w:color w:val="000000"/>
        </w:rPr>
        <w:t xml:space="preserve"> cezasına </w:t>
      </w:r>
      <w:proofErr w:type="gramStart"/>
      <w:r>
        <w:rPr>
          <w:rFonts w:ascii="Palatino Linotype" w:eastAsia="Palatino Linotype" w:hAnsi="Palatino Linotype" w:cs="Palatino Linotype"/>
          <w:color w:val="000000"/>
          <w:highlight w:val="yellow"/>
        </w:rPr>
        <w:t>mahkum</w:t>
      </w:r>
      <w:proofErr w:type="gramEnd"/>
      <w:r>
        <w:rPr>
          <w:rFonts w:ascii="Palatino Linotype" w:eastAsia="Palatino Linotype" w:hAnsi="Palatino Linotype" w:cs="Palatino Linotype"/>
          <w:color w:val="000000"/>
          <w:highlight w:val="yellow"/>
        </w:rPr>
        <w:t xml:space="preserve"> edildim/eşim-vasisi </w:t>
      </w:r>
      <w:proofErr w:type="gramStart"/>
      <w:r>
        <w:rPr>
          <w:rFonts w:ascii="Palatino Linotype" w:eastAsia="Palatino Linotype" w:hAnsi="Palatino Linotype" w:cs="Palatino Linotype"/>
          <w:color w:val="000000"/>
          <w:highlight w:val="yellow"/>
        </w:rPr>
        <w:t>olduğum(</w:t>
      </w:r>
      <w:proofErr w:type="gramEnd"/>
      <w:r>
        <w:rPr>
          <w:rFonts w:ascii="Palatino Linotype" w:eastAsia="Palatino Linotype" w:hAnsi="Palatino Linotype" w:cs="Palatino Linotype"/>
          <w:color w:val="000000"/>
          <w:highlight w:val="yellow"/>
        </w:rPr>
        <w:t xml:space="preserve">kişi ismi </w:t>
      </w:r>
      <w:proofErr w:type="gramStart"/>
      <w:r>
        <w:rPr>
          <w:rFonts w:ascii="Palatino Linotype" w:eastAsia="Palatino Linotype" w:hAnsi="Palatino Linotype" w:cs="Palatino Linotype"/>
          <w:color w:val="000000"/>
          <w:highlight w:val="yellow"/>
        </w:rPr>
        <w:t>yazılacak)/</w:t>
      </w:r>
      <w:proofErr w:type="gramEnd"/>
      <w:r>
        <w:rPr>
          <w:rFonts w:ascii="Palatino Linotype" w:eastAsia="Palatino Linotype" w:hAnsi="Palatino Linotype" w:cs="Palatino Linotype"/>
          <w:color w:val="000000"/>
          <w:highlight w:val="yellow"/>
        </w:rPr>
        <w:t xml:space="preserve">müvekkil </w:t>
      </w:r>
      <w:proofErr w:type="gramStart"/>
      <w:r>
        <w:rPr>
          <w:rFonts w:ascii="Palatino Linotype" w:eastAsia="Palatino Linotype" w:hAnsi="Palatino Linotype" w:cs="Palatino Linotype"/>
          <w:color w:val="000000"/>
          <w:highlight w:val="yellow"/>
        </w:rPr>
        <w:t>mahkum</w:t>
      </w:r>
      <w:proofErr w:type="gramEnd"/>
      <w:r>
        <w:rPr>
          <w:rFonts w:ascii="Palatino Linotype" w:eastAsia="Palatino Linotype" w:hAnsi="Palatino Linotype" w:cs="Palatino Linotype"/>
          <w:color w:val="000000"/>
          <w:highlight w:val="yellow"/>
        </w:rPr>
        <w:t xml:space="preserve"> edildi</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yellow"/>
        </w:rPr>
        <w:t>Hakkımdaki/hakkındaki</w:t>
      </w:r>
      <w:r>
        <w:rPr>
          <w:rFonts w:ascii="Palatino Linotype" w:eastAsia="Palatino Linotype" w:hAnsi="Palatino Linotype" w:cs="Palatino Linotype"/>
          <w:color w:val="000000"/>
        </w:rPr>
        <w:t xml:space="preserve"> karar …tarihinde kesinleşmiştir.</w:t>
      </w:r>
    </w:p>
    <w:p w14:paraId="00000010" w14:textId="77777777" w:rsidR="009E0554"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highlight w:val="yellow"/>
        </w:rPr>
        <w:t>Hakkımdaki/hakkındaki</w:t>
      </w:r>
      <w:r>
        <w:rPr>
          <w:rFonts w:ascii="Palatino Linotype" w:eastAsia="Palatino Linotype" w:hAnsi="Palatino Linotype" w:cs="Palatino Linotype"/>
          <w:color w:val="000000"/>
        </w:rPr>
        <w:t xml:space="preserve"> mahkumiyet gerekçesi; sırasıyla </w:t>
      </w:r>
      <w:r>
        <w:rPr>
          <w:rFonts w:ascii="Palatino Linotype" w:eastAsia="Palatino Linotype" w:hAnsi="Palatino Linotype" w:cs="Palatino Linotype"/>
          <w:color w:val="000000"/>
          <w:highlight w:val="yellow"/>
        </w:rPr>
        <w:t>(herkes kendi mahkumiyet gerekçesini yazmalı)</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highlight w:val="yellow"/>
        </w:rPr>
        <w:t xml:space="preserve">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w:t>
      </w:r>
      <w:proofErr w:type="spellStart"/>
      <w:r>
        <w:rPr>
          <w:rFonts w:ascii="Palatino Linotype" w:eastAsia="Palatino Linotype" w:hAnsi="Palatino Linotype" w:cs="Palatino Linotype"/>
          <w:color w:val="000000"/>
          <w:highlight w:val="yellow"/>
        </w:rPr>
        <w:t>xyz</w:t>
      </w:r>
      <w:proofErr w:type="spellEnd"/>
      <w:r>
        <w:rPr>
          <w:rFonts w:ascii="Palatino Linotype" w:eastAsia="Palatino Linotype" w:hAnsi="Palatino Linotype" w:cs="Palatino Linotype"/>
          <w:color w:val="000000"/>
          <w:highlight w:val="yellow"/>
        </w:rPr>
        <w:t xml:space="preserve"> kişiler ile görüşmek, seçimlerde …x partisine veya (HSK ve </w:t>
      </w:r>
      <w:proofErr w:type="spellStart"/>
      <w:r>
        <w:rPr>
          <w:rFonts w:ascii="Palatino Linotype" w:eastAsia="Palatino Linotype" w:hAnsi="Palatino Linotype" w:cs="Palatino Linotype"/>
          <w:color w:val="000000"/>
          <w:highlight w:val="yellow"/>
        </w:rPr>
        <w:t>vb</w:t>
      </w:r>
      <w:proofErr w:type="spellEnd"/>
      <w:r>
        <w:rPr>
          <w:rFonts w:ascii="Palatino Linotype" w:eastAsia="Palatino Linotype" w:hAnsi="Palatino Linotype" w:cs="Palatino Linotype"/>
          <w:color w:val="000000"/>
          <w:highlight w:val="yellow"/>
        </w:rPr>
        <w:t xml:space="preserve"> kurum seçimlerinde) x grubuna destek vermek (</w:t>
      </w:r>
      <w:proofErr w:type="spellStart"/>
      <w:r>
        <w:rPr>
          <w:rFonts w:ascii="Palatino Linotype" w:eastAsia="Palatino Linotype" w:hAnsi="Palatino Linotype" w:cs="Palatino Linotype"/>
          <w:color w:val="000000"/>
          <w:highlight w:val="yellow"/>
        </w:rPr>
        <w:t>vb</w:t>
      </w:r>
      <w:proofErr w:type="spellEnd"/>
      <w:r>
        <w:rPr>
          <w:rFonts w:ascii="Palatino Linotype" w:eastAsia="Palatino Linotype" w:hAnsi="Palatino Linotype" w:cs="Palatino Linotype"/>
          <w:color w:val="000000"/>
          <w:highlight w:val="yellow"/>
        </w:rPr>
        <w:t>)</w:t>
      </w:r>
      <w:r>
        <w:rPr>
          <w:rFonts w:ascii="Palatino Linotype" w:eastAsia="Palatino Linotype" w:hAnsi="Palatino Linotype" w:cs="Palatino Linotype"/>
          <w:color w:val="000000"/>
        </w:rPr>
        <w:t xml:space="preserve"> hususlarına dayandırılmıştır. </w:t>
      </w:r>
    </w:p>
    <w:p w14:paraId="00000011" w14:textId="77232BC7" w:rsidR="009E0554" w:rsidRDefault="00000000" w:rsidP="00B763D9">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Bununla birlikte AİHM, anılan mahkûmiyet kararına ilişkin olarak, AİHS</w:t>
      </w:r>
      <w:r w:rsidR="00340C74">
        <w:rPr>
          <w:rFonts w:ascii="Palatino Linotype" w:eastAsia="Palatino Linotype" w:hAnsi="Palatino Linotype" w:cs="Palatino Linotype"/>
          <w:color w:val="000000"/>
        </w:rPr>
        <w:t>’in</w:t>
      </w:r>
      <w:r>
        <w:rPr>
          <w:rFonts w:ascii="Palatino Linotype" w:eastAsia="Palatino Linotype" w:hAnsi="Palatino Linotype" w:cs="Palatino Linotype"/>
          <w:color w:val="000000"/>
        </w:rPr>
        <w:t xml:space="preserve"> 6. maddesinde güvence altına alınan adil yargılanma hakkı</w:t>
      </w:r>
      <w:r w:rsidR="00BE5008">
        <w:rPr>
          <w:rFonts w:ascii="Palatino Linotype" w:eastAsia="Palatino Linotype" w:hAnsi="Palatino Linotype" w:cs="Palatino Linotype"/>
          <w:color w:val="000000"/>
        </w:rPr>
        <w:t xml:space="preserve">nın </w:t>
      </w:r>
      <w:r>
        <w:rPr>
          <w:rFonts w:ascii="Palatino Linotype" w:eastAsia="Palatino Linotype" w:hAnsi="Palatino Linotype" w:cs="Palatino Linotype"/>
          <w:color w:val="000000"/>
        </w:rPr>
        <w:t xml:space="preserve">ihlal edildiğine karar vermiştir. İşbu dilekçe, </w:t>
      </w:r>
      <w:r>
        <w:rPr>
          <w:rFonts w:ascii="Palatino Linotype" w:eastAsia="Palatino Linotype" w:hAnsi="Palatino Linotype" w:cs="Palatino Linotype"/>
          <w:b/>
          <w:color w:val="000000"/>
        </w:rPr>
        <w:t>AİHM’in söz konusu ihlal kararı doğrultusunda yargılamanın yenilenmesi talebine ilişkindir.</w:t>
      </w:r>
    </w:p>
    <w:p w14:paraId="00000012" w14:textId="4F76486A" w:rsidR="009E0554" w:rsidRDefault="00000000" w:rsidP="00B763D9">
      <w:pPr>
        <w:tabs>
          <w:tab w:val="left" w:pos="3870"/>
        </w:tabs>
        <w:spacing w:line="23" w:lineRule="atLeast"/>
        <w:ind w:left="284"/>
        <w:jc w:val="both"/>
        <w:rPr>
          <w:rFonts w:ascii="Palatino Linotype" w:eastAsia="Palatino Linotype" w:hAnsi="Palatino Linotype" w:cs="Palatino Linotype"/>
          <w:b/>
        </w:rPr>
      </w:pPr>
      <w:r>
        <w:rPr>
          <w:rFonts w:ascii="Palatino Linotype" w:eastAsia="Palatino Linotype" w:hAnsi="Palatino Linotype" w:cs="Palatino Linotype"/>
          <w:b/>
        </w:rPr>
        <w:t xml:space="preserve">II. </w:t>
      </w:r>
      <w:r w:rsidR="00D669DC" w:rsidRPr="00D669DC">
        <w:rPr>
          <w:rFonts w:ascii="Palatino Linotype" w:eastAsia="Palatino Linotype" w:hAnsi="Palatino Linotype" w:cs="Palatino Linotype"/>
          <w:b/>
        </w:rPr>
        <w:t>YARGILAMANIN YENİLENMESİ TALEBİNİN DAYANDIĞI HUKUKİ KURALLAR</w:t>
      </w:r>
    </w:p>
    <w:p w14:paraId="51B18973" w14:textId="77777777" w:rsidR="009F07BE" w:rsidRDefault="00000000" w:rsidP="00073CD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Hükümlü lehine </w:t>
      </w:r>
      <w:r>
        <w:rPr>
          <w:rFonts w:ascii="Palatino Linotype" w:eastAsia="Palatino Linotype" w:hAnsi="Palatino Linotype" w:cs="Palatino Linotype"/>
          <w:b/>
          <w:color w:val="000000"/>
        </w:rPr>
        <w:t>yargılamanın yenilenmesi nedenleri CMK’nın 311. maddesinde</w:t>
      </w:r>
      <w:r>
        <w:rPr>
          <w:rFonts w:ascii="Palatino Linotype" w:eastAsia="Palatino Linotype" w:hAnsi="Palatino Linotype" w:cs="Palatino Linotype"/>
          <w:color w:val="000000"/>
        </w:rPr>
        <w:t xml:space="preserve"> düzenlenmiştir. </w:t>
      </w:r>
      <w:r w:rsidRPr="00173FAF">
        <w:rPr>
          <w:rFonts w:ascii="Palatino Linotype" w:eastAsia="Palatino Linotype" w:hAnsi="Palatino Linotype" w:cs="Palatino Linotype"/>
          <w:color w:val="000000"/>
          <w:highlight w:val="yellow"/>
        </w:rPr>
        <w:t>Lehime/eşimin lehine/Müvekkil açısından</w:t>
      </w:r>
      <w:r>
        <w:rPr>
          <w:rFonts w:ascii="Palatino Linotype" w:eastAsia="Palatino Linotype" w:hAnsi="Palatino Linotype" w:cs="Palatino Linotype"/>
          <w:color w:val="000000"/>
        </w:rPr>
        <w:t xml:space="preserve"> yargılamanın yenilenmesi dayanağını oluşturacak düzenleme aşağıdaki gibidir: </w:t>
      </w:r>
    </w:p>
    <w:p w14:paraId="596C1490" w14:textId="77777777" w:rsidR="009F07BE"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i/>
          <w:color w:val="000000"/>
        </w:rPr>
      </w:pPr>
      <w:r w:rsidRPr="009F07BE">
        <w:rPr>
          <w:rFonts w:ascii="Palatino Linotype" w:eastAsia="Palatino Linotype" w:hAnsi="Palatino Linotype" w:cs="Palatino Linotype"/>
          <w:b/>
          <w:i/>
          <w:color w:val="000000"/>
        </w:rPr>
        <w:t>“Madde 311 – (1)</w:t>
      </w:r>
      <w:r w:rsidRPr="009F07BE">
        <w:rPr>
          <w:rFonts w:ascii="Palatino Linotype" w:eastAsia="Palatino Linotype" w:hAnsi="Palatino Linotype" w:cs="Palatino Linotype"/>
          <w:i/>
          <w:color w:val="000000"/>
        </w:rPr>
        <w:t xml:space="preserve"> Kesinleşen bir hükümle sonuçlanmış bir dava, aşağıda yazılı hâllerde hükümlü lehine olarak yargılamanın yenilenmesi yoluyla tekrar görülür:</w:t>
      </w:r>
    </w:p>
    <w:p w14:paraId="2CC5174B" w14:textId="22F2D898" w:rsidR="009F07BE" w:rsidRDefault="00000000" w:rsidP="009F07BE">
      <w:p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rPr>
      </w:pPr>
      <w:r w:rsidRPr="009F07BE">
        <w:rPr>
          <w:rFonts w:ascii="Palatino Linotype" w:eastAsia="Palatino Linotype" w:hAnsi="Palatino Linotype" w:cs="Palatino Linotype"/>
          <w:i/>
          <w:color w:val="000000"/>
        </w:rPr>
        <w:t xml:space="preserve"> </w:t>
      </w:r>
      <w:r w:rsidRPr="009F07BE">
        <w:rPr>
          <w:rFonts w:ascii="Palatino Linotype" w:eastAsia="Palatino Linotype" w:hAnsi="Palatino Linotype" w:cs="Palatino Linotype"/>
          <w:b/>
          <w:i/>
          <w:color w:val="000000"/>
        </w:rPr>
        <w:t>f)</w:t>
      </w:r>
      <w:r w:rsidRPr="009F07BE">
        <w:rPr>
          <w:rFonts w:ascii="Palatino Linotype" w:eastAsia="Palatino Linotype" w:hAnsi="Palatino Linotype" w:cs="Palatino Linotype"/>
          <w:i/>
          <w:color w:val="000000"/>
        </w:rPr>
        <w:t xml:space="preserve">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w:t>
      </w:r>
      <w:r w:rsidRPr="009F07BE">
        <w:rPr>
          <w:rFonts w:ascii="Palatino Linotype" w:eastAsia="Palatino Linotype" w:hAnsi="Palatino Linotype" w:cs="Palatino Linotype"/>
          <w:b/>
          <w:i/>
          <w:color w:val="000000"/>
        </w:rPr>
        <w:t>Bu hâlde yargılamanın yenilenmesi, Avrupa İnsan Hakları Mahkemesi kararının kesinleştiği tarihten itibaren bir yıl içinde istenebilir.”</w:t>
      </w:r>
    </w:p>
    <w:p w14:paraId="61FFA099" w14:textId="09AF74CC" w:rsidR="009F07BE" w:rsidRDefault="00000000" w:rsidP="00D669DC">
      <w:pPr>
        <w:pBdr>
          <w:top w:val="nil"/>
          <w:left w:val="nil"/>
          <w:bottom w:val="nil"/>
          <w:right w:val="nil"/>
          <w:between w:val="nil"/>
        </w:pBdr>
        <w:tabs>
          <w:tab w:val="left" w:pos="3870"/>
        </w:tabs>
        <w:spacing w:line="23" w:lineRule="atLeast"/>
        <w:ind w:left="709" w:hanging="425"/>
        <w:jc w:val="both"/>
        <w:rPr>
          <w:rFonts w:ascii="Palatino Linotype" w:eastAsia="Palatino Linotype" w:hAnsi="Palatino Linotype" w:cs="Palatino Linotype"/>
          <w:color w:val="000000"/>
        </w:rPr>
      </w:pPr>
      <w:r w:rsidRPr="009F07BE">
        <w:rPr>
          <w:rFonts w:ascii="Palatino Linotype" w:eastAsia="Palatino Linotype" w:hAnsi="Palatino Linotype" w:cs="Palatino Linotype"/>
          <w:b/>
          <w:color w:val="000000"/>
        </w:rPr>
        <w:t xml:space="preserve">III. </w:t>
      </w:r>
      <w:r w:rsidR="00D669DC" w:rsidRPr="00D669DC">
        <w:rPr>
          <w:rFonts w:ascii="Palatino Linotype" w:eastAsia="Palatino Linotype" w:hAnsi="Palatino Linotype" w:cs="Palatino Linotype"/>
          <w:b/>
          <w:color w:val="000000"/>
        </w:rPr>
        <w:t>YARGILAMANIN YENİLENMESİ TALEBİNİN NEDENİ VE SEYHAN VE DİĞERLERİ KARARI İLE YALÇINKAYA KARARI ARASINDAKİ BAĞLANTI</w:t>
      </w:r>
    </w:p>
    <w:p w14:paraId="6677FB1E" w14:textId="70CDEB12" w:rsidR="00CB6888" w:rsidRPr="00CB6888" w:rsidRDefault="00073CD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9F07BE">
        <w:rPr>
          <w:rFonts w:ascii="Palatino Linotype" w:eastAsia="Palatino Linotype" w:hAnsi="Palatino Linotype" w:cs="Palatino Linotype"/>
          <w:color w:val="000000"/>
          <w:lang w:val="tr-TR"/>
        </w:rPr>
        <w:t xml:space="preserve">AİHM, </w:t>
      </w:r>
      <w:r w:rsidR="00CB6888" w:rsidRPr="00CB6888">
        <w:rPr>
          <w:rFonts w:ascii="Palatino Linotype" w:eastAsia="Palatino Linotype" w:hAnsi="Palatino Linotype" w:cs="Palatino Linotype"/>
          <w:b/>
          <w:bCs/>
          <w:color w:val="000000"/>
          <w:lang w:val="tr-TR"/>
        </w:rPr>
        <w:t>16 Aralık 2025</w:t>
      </w:r>
      <w:r w:rsidR="00CB6888" w:rsidRPr="00CB6888">
        <w:rPr>
          <w:rFonts w:ascii="Palatino Linotype" w:eastAsia="Palatino Linotype" w:hAnsi="Palatino Linotype" w:cs="Palatino Linotype"/>
          <w:color w:val="000000"/>
          <w:lang w:val="tr-TR"/>
        </w:rPr>
        <w:t xml:space="preserve"> tarihli </w:t>
      </w:r>
      <w:r w:rsidR="00CB6888" w:rsidRPr="00CB6888">
        <w:rPr>
          <w:rFonts w:ascii="Palatino Linotype" w:eastAsia="Palatino Linotype" w:hAnsi="Palatino Linotype" w:cs="Palatino Linotype"/>
          <w:b/>
          <w:bCs/>
          <w:color w:val="000000"/>
          <w:lang w:val="tr-TR"/>
        </w:rPr>
        <w:t>Seyhan ve Diğerleri</w:t>
      </w:r>
      <w:r w:rsidR="00CB6888" w:rsidRPr="00CB6888">
        <w:rPr>
          <w:rFonts w:ascii="Palatino Linotype" w:eastAsia="Palatino Linotype" w:hAnsi="Palatino Linotype" w:cs="Palatino Linotype"/>
          <w:color w:val="000000"/>
          <w:lang w:val="tr-TR"/>
        </w:rPr>
        <w:t xml:space="preserve"> kararında </w:t>
      </w:r>
      <w:r w:rsidR="00CB6888" w:rsidRPr="00BE5008">
        <w:rPr>
          <w:rFonts w:ascii="Palatino Linotype" w:eastAsia="Palatino Linotype" w:hAnsi="Palatino Linotype" w:cs="Palatino Linotype"/>
          <w:color w:val="000000"/>
          <w:lang w:val="tr-TR"/>
        </w:rPr>
        <w:t>(kesinleşme: 16 Aralık 2025),</w:t>
      </w:r>
      <w:r w:rsidR="00CB6888" w:rsidRPr="00CB6888">
        <w:rPr>
          <w:rFonts w:ascii="Palatino Linotype" w:eastAsia="Palatino Linotype" w:hAnsi="Palatino Linotype" w:cs="Palatino Linotype"/>
          <w:color w:val="000000"/>
          <w:lang w:val="tr-TR"/>
        </w:rPr>
        <w:t xml:space="preserve"> aralarında </w:t>
      </w:r>
      <w:r w:rsidR="00CB6888" w:rsidRPr="00CB6888">
        <w:rPr>
          <w:rFonts w:ascii="Palatino Linotype" w:eastAsia="Palatino Linotype" w:hAnsi="Palatino Linotype" w:cs="Palatino Linotype"/>
          <w:color w:val="000000"/>
          <w:highlight w:val="yellow"/>
          <w:lang w:val="tr-TR"/>
        </w:rPr>
        <w:t xml:space="preserve">şahsımın/eşimin/müvekkilin de </w:t>
      </w:r>
      <w:r w:rsidR="00CB6888" w:rsidRPr="00CB6888">
        <w:rPr>
          <w:rFonts w:ascii="Palatino Linotype" w:eastAsia="Palatino Linotype" w:hAnsi="Palatino Linotype" w:cs="Palatino Linotype"/>
          <w:b/>
          <w:bCs/>
          <w:color w:val="000000"/>
          <w:highlight w:val="yellow"/>
          <w:u w:val="single"/>
          <w:lang w:val="tr-TR"/>
        </w:rPr>
        <w:t>kararın … sıra numarasında</w:t>
      </w:r>
      <w:r w:rsidR="00CB6888" w:rsidRPr="00CB6888">
        <w:rPr>
          <w:rFonts w:ascii="Palatino Linotype" w:eastAsia="Palatino Linotype" w:hAnsi="Palatino Linotype" w:cs="Palatino Linotype"/>
          <w:color w:val="000000"/>
          <w:lang w:val="tr-TR"/>
        </w:rPr>
        <w:t xml:space="preserve"> yer aldığı </w:t>
      </w:r>
      <w:r w:rsidR="00CB6888" w:rsidRPr="00CB6888">
        <w:rPr>
          <w:rFonts w:ascii="Palatino Linotype" w:eastAsia="Palatino Linotype" w:hAnsi="Palatino Linotype" w:cs="Palatino Linotype"/>
          <w:b/>
          <w:bCs/>
          <w:color w:val="000000"/>
          <w:lang w:val="tr-TR"/>
        </w:rPr>
        <w:t>852</w:t>
      </w:r>
      <w:r w:rsidR="00CB6888" w:rsidRPr="00CB6888">
        <w:rPr>
          <w:rFonts w:ascii="Palatino Linotype" w:eastAsia="Palatino Linotype" w:hAnsi="Palatino Linotype" w:cs="Palatino Linotype"/>
          <w:color w:val="000000"/>
          <w:lang w:val="tr-TR"/>
        </w:rPr>
        <w:t xml:space="preserve"> başvurucu için AİHS’in </w:t>
      </w:r>
      <w:r w:rsidR="00CB6888" w:rsidRPr="00F36AA1">
        <w:rPr>
          <w:rFonts w:ascii="Palatino Linotype" w:eastAsia="Palatino Linotype" w:hAnsi="Palatino Linotype" w:cs="Palatino Linotype"/>
          <w:color w:val="000000"/>
          <w:lang w:val="tr-TR"/>
        </w:rPr>
        <w:t>6. maddesinin (adil yargılanma hakkı)</w:t>
      </w:r>
      <w:r w:rsidR="00CB6888" w:rsidRPr="00CB6888">
        <w:rPr>
          <w:rFonts w:ascii="Palatino Linotype" w:eastAsia="Palatino Linotype" w:hAnsi="Palatino Linotype" w:cs="Palatino Linotype"/>
          <w:color w:val="000000"/>
          <w:lang w:val="tr-TR"/>
        </w:rPr>
        <w:t xml:space="preserve"> ihlal edildiğine hükmetmiştir</w:t>
      </w:r>
      <w:r w:rsidR="00CB6888" w:rsidRPr="00F36AA1">
        <w:rPr>
          <w:rFonts w:ascii="Palatino Linotype" w:eastAsia="Palatino Linotype" w:hAnsi="Palatino Linotype" w:cs="Palatino Linotype"/>
          <w:b/>
          <w:bCs/>
          <w:color w:val="000000"/>
          <w:lang w:val="tr-TR"/>
        </w:rPr>
        <w:t>. Mahkeme, bu dosyada Yüksel Yalçınkaya kararındaki ilkelerden ayrılmayı gerektirecek bir durum olmadığını belirtmiş; Türk yargısının ByLock konusundaki "kategorik ve tek tip" yaklaşımının yapısal bir sorun olduğunu vurgulamıştır.</w:t>
      </w:r>
      <w:r w:rsidR="00CB6888" w:rsidRPr="00CB6888">
        <w:rPr>
          <w:rFonts w:ascii="Palatino Linotype" w:eastAsia="Palatino Linotype" w:hAnsi="Palatino Linotype" w:cs="Palatino Linotype"/>
          <w:color w:val="000000"/>
          <w:lang w:val="tr-TR"/>
        </w:rPr>
        <w:t xml:space="preserve"> Ayrıca, OHAL koşullarının bu ihlalleri meşrulaştırmadığı teyit edilmiştir (Seyhan, §§ 9-10, 12).</w:t>
      </w:r>
    </w:p>
    <w:p w14:paraId="23E9A111" w14:textId="7B547E03" w:rsidR="00CB6888" w:rsidRPr="00CB6888" w:rsidRDefault="00CB688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CB6888">
        <w:rPr>
          <w:rFonts w:ascii="Palatino Linotype" w:eastAsia="Palatino Linotype" w:hAnsi="Palatino Linotype" w:cs="Palatino Linotype"/>
          <w:color w:val="000000"/>
          <w:lang w:val="tr-TR"/>
        </w:rPr>
        <w:lastRenderedPageBreak/>
        <w:t>Kararın temelinde, mahkûmiyetlerin belirleyici delil olarak ByLock tespitine dayandırılması yatmaktadır. AİHM, incelenen dosyaların ortak noktasının, ByLock verilerinin "kesin ve tartışmasız ispat aracı" sayılarak hüküm kurulması olduğunu saptamıştır (Seyhan, §§ 2, 10).</w:t>
      </w:r>
    </w:p>
    <w:p w14:paraId="54D4C39E" w14:textId="1F7FD9C5" w:rsidR="00CB6888" w:rsidRPr="00CB6888" w:rsidRDefault="00CB688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CB6888">
        <w:rPr>
          <w:rFonts w:ascii="Palatino Linotype" w:eastAsia="Palatino Linotype" w:hAnsi="Palatino Linotype" w:cs="Palatino Linotype"/>
          <w:color w:val="000000"/>
          <w:lang w:val="tr-TR"/>
        </w:rPr>
        <w:t>Ulusal mahkemeler, ByLock kullanımını doğrudan "örgüt üyeliği" ile eşdeğer tutan otomatik bir varsayımla hareket etmiştir. Bu yaklaşım, suçun oluşması için gereken "manevi unsurun (kastın)" araştırılmasını engellemiş ve kişisel sorumluluğu otomatik bir şekli suça indirgemiştir (Seyhan, §§ 2, 11; Yalçınkaya, §§ 257, 262–271).</w:t>
      </w:r>
    </w:p>
    <w:p w14:paraId="3A801A9D" w14:textId="77777777" w:rsidR="00CB6888" w:rsidRDefault="00CB688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CB6888">
        <w:rPr>
          <w:rFonts w:ascii="Palatino Linotype" w:eastAsia="Palatino Linotype" w:hAnsi="Palatino Linotype" w:cs="Palatino Linotype"/>
          <w:color w:val="000000"/>
          <w:lang w:val="tr-TR"/>
        </w:rPr>
        <w:t xml:space="preserve">AİHM, Hükümetin dosyaların özgünlüğüne dair savunmalarına rağmen, </w:t>
      </w:r>
      <w:r w:rsidRPr="00CB6888">
        <w:rPr>
          <w:rFonts w:ascii="Palatino Linotype" w:eastAsia="Palatino Linotype" w:hAnsi="Palatino Linotype" w:cs="Palatino Linotype"/>
          <w:b/>
          <w:bCs/>
          <w:color w:val="000000"/>
          <w:lang w:val="tr-TR"/>
        </w:rPr>
        <w:t>Seyhan</w:t>
      </w:r>
      <w:r w:rsidRPr="00CB6888">
        <w:rPr>
          <w:rFonts w:ascii="Palatino Linotype" w:eastAsia="Palatino Linotype" w:hAnsi="Palatino Linotype" w:cs="Palatino Linotype"/>
          <w:color w:val="000000"/>
          <w:lang w:val="tr-TR"/>
        </w:rPr>
        <w:t xml:space="preserve"> kararını da Yalçınkaya kararındaki "sistemik sorunlar" çerçevesinde değerlendirmiştir. Mahkemeye göre belirleyici olan, dosya detaylarından ziyade, ByLock’a ulusal ölçekte atfedilen kategorik ispat gücü ve uygulanan tek tip yargılama pratiğidir (Seyhan, §§ 9–10).</w:t>
      </w:r>
    </w:p>
    <w:p w14:paraId="13516ED4" w14:textId="5D82C446" w:rsidR="00CB6888" w:rsidRPr="00CB6888" w:rsidRDefault="00CB688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CB6888">
        <w:rPr>
          <w:rFonts w:ascii="Palatino Linotype" w:eastAsia="Palatino Linotype" w:hAnsi="Palatino Linotype" w:cs="Palatino Linotype"/>
          <w:color w:val="000000"/>
          <w:lang w:val="tr-TR"/>
        </w:rPr>
        <w:t xml:space="preserve">Savunma makamı, ByLock verilerine (ham veri, elde ediliş şekli ve bütünlüğü) erişememiş ve delilleri etkili şekilde sorgulayamamıştır.  Mahkemelerin sadece </w:t>
      </w:r>
      <w:proofErr w:type="spellStart"/>
      <w:r w:rsidRPr="00CB6888">
        <w:rPr>
          <w:rFonts w:ascii="Palatino Linotype" w:eastAsia="Palatino Linotype" w:hAnsi="Palatino Linotype" w:cs="Palatino Linotype"/>
          <w:color w:val="000000"/>
          <w:lang w:val="tr-TR"/>
        </w:rPr>
        <w:t>istihbari</w:t>
      </w:r>
      <w:proofErr w:type="spellEnd"/>
      <w:r w:rsidRPr="00CB6888">
        <w:rPr>
          <w:rFonts w:ascii="Palatino Linotype" w:eastAsia="Palatino Linotype" w:hAnsi="Palatino Linotype" w:cs="Palatino Linotype"/>
          <w:color w:val="000000"/>
          <w:lang w:val="tr-TR"/>
        </w:rPr>
        <w:t xml:space="preserve"> raporlara dayanması ve teknik itirazları karşılamaması, </w:t>
      </w:r>
      <w:r w:rsidRPr="00CB6888">
        <w:rPr>
          <w:rFonts w:ascii="Palatino Linotype" w:eastAsia="Palatino Linotype" w:hAnsi="Palatino Linotype" w:cs="Palatino Linotype"/>
          <w:i/>
          <w:iCs/>
          <w:color w:val="000000"/>
          <w:lang w:val="tr-TR"/>
        </w:rPr>
        <w:t>"silahların eşitliği"</w:t>
      </w:r>
      <w:r w:rsidRPr="00CB6888">
        <w:rPr>
          <w:rFonts w:ascii="Palatino Linotype" w:eastAsia="Palatino Linotype" w:hAnsi="Palatino Linotype" w:cs="Palatino Linotype"/>
          <w:color w:val="000000"/>
          <w:lang w:val="tr-TR"/>
        </w:rPr>
        <w:t xml:space="preserve"> ilkesini zedelemiş ve yargılamayı adil olmaktan çıkarmıştır (Seyhan, § 15; Yalçınkaya, §§ 364, 413, 414).</w:t>
      </w:r>
    </w:p>
    <w:p w14:paraId="361585B9" w14:textId="66A394C2" w:rsidR="00CB6888" w:rsidRPr="00CB6888" w:rsidRDefault="00CB6888" w:rsidP="00CB6888">
      <w:pPr>
        <w:numPr>
          <w:ilvl w:val="0"/>
          <w:numId w:val="1"/>
        </w:numPr>
        <w:pBdr>
          <w:top w:val="nil"/>
          <w:left w:val="nil"/>
          <w:bottom w:val="nil"/>
          <w:right w:val="nil"/>
          <w:between w:val="nil"/>
        </w:pBdr>
        <w:tabs>
          <w:tab w:val="left" w:pos="3870"/>
        </w:tabs>
        <w:spacing w:line="23" w:lineRule="atLeast"/>
        <w:ind w:left="630"/>
        <w:jc w:val="both"/>
        <w:rPr>
          <w:rFonts w:ascii="Palatino Linotype" w:eastAsia="Palatino Linotype" w:hAnsi="Palatino Linotype" w:cs="Palatino Linotype"/>
          <w:color w:val="000000"/>
          <w:lang w:val="tr-TR"/>
        </w:rPr>
      </w:pPr>
      <w:r w:rsidRPr="00CB6888">
        <w:rPr>
          <w:rFonts w:ascii="Palatino Linotype" w:eastAsia="Palatino Linotype" w:hAnsi="Palatino Linotype" w:cs="Palatino Linotype"/>
          <w:color w:val="000000"/>
          <w:lang w:val="tr-TR"/>
        </w:rPr>
        <w:t xml:space="preserve">Sonuç olarak Mahkeme, AİHS’in 6. maddesinin ihlal edildiğine karar vermiştir. Mahkeme, bu ihlale yol açan temel sorunların (yargının tek tip yaklaşımı, delil değerlendirmesi ve ByLock kullanımının nitelendirilmesi) </w:t>
      </w:r>
      <w:r w:rsidRPr="00CB6888">
        <w:rPr>
          <w:rFonts w:ascii="Palatino Linotype" w:eastAsia="Palatino Linotype" w:hAnsi="Palatino Linotype" w:cs="Palatino Linotype"/>
          <w:b/>
          <w:bCs/>
          <w:color w:val="000000"/>
          <w:lang w:val="tr-TR"/>
        </w:rPr>
        <w:t>Yalçınkaya kararında 7. ve 6. madde ihlallerine de yol açan sorunlarla aynı olduğunu</w:t>
      </w:r>
      <w:r w:rsidRPr="00CB6888">
        <w:rPr>
          <w:rFonts w:ascii="Palatino Linotype" w:eastAsia="Palatino Linotype" w:hAnsi="Palatino Linotype" w:cs="Palatino Linotype"/>
          <w:color w:val="000000"/>
          <w:lang w:val="tr-TR"/>
        </w:rPr>
        <w:t xml:space="preserve"> tespit etmiştir. Kararda açıkça, mevcut ihlalin, </w:t>
      </w:r>
      <w:r w:rsidRPr="00CB6888">
        <w:rPr>
          <w:rFonts w:ascii="Palatino Linotype" w:eastAsia="Palatino Linotype" w:hAnsi="Palatino Linotype" w:cs="Palatino Linotype"/>
          <w:b/>
          <w:bCs/>
          <w:color w:val="000000"/>
          <w:lang w:val="tr-TR"/>
        </w:rPr>
        <w:t>Yalçınkaya kararında ortaya konan ilkeler ışığında yargılamanın yenilenmesini talep etme imkânı sağladığı belirtilmiştir. Dolayısıyla, Yalçınkaya kararındaki ihlal gerekçeleri bu dosya bakımından da geçerliliğini korumakta olup, ihlalin giderilmesi için en uygun yol CMK 311/1-f maddesi uyarınca yargılamanın yenilenmesidir</w:t>
      </w:r>
      <w:r w:rsidRPr="00CB6888">
        <w:rPr>
          <w:rFonts w:ascii="Palatino Linotype" w:eastAsia="Palatino Linotype" w:hAnsi="Palatino Linotype" w:cs="Palatino Linotype"/>
          <w:color w:val="000000"/>
          <w:lang w:val="tr-TR"/>
        </w:rPr>
        <w:t xml:space="preserve"> (Seyhan, §§ 12-13, 15; Yalçınkaya, § 425).</w:t>
      </w:r>
    </w:p>
    <w:p w14:paraId="325FB7D3" w14:textId="7BB976BA" w:rsidR="00B763D9" w:rsidRPr="00D33617" w:rsidRDefault="00000000" w:rsidP="00D669DC">
      <w:pPr>
        <w:pBdr>
          <w:top w:val="nil"/>
          <w:left w:val="nil"/>
          <w:bottom w:val="nil"/>
          <w:right w:val="nil"/>
          <w:between w:val="nil"/>
        </w:pBdr>
        <w:tabs>
          <w:tab w:val="left" w:pos="3870"/>
        </w:tabs>
        <w:spacing w:line="23" w:lineRule="atLeast"/>
        <w:ind w:left="567" w:hanging="283"/>
        <w:jc w:val="both"/>
        <w:rPr>
          <w:rFonts w:ascii="Palatino Linotype" w:eastAsia="Palatino Linotype" w:hAnsi="Palatino Linotype" w:cs="Palatino Linotype"/>
          <w:b/>
          <w:color w:val="000000"/>
        </w:rPr>
      </w:pPr>
      <w:r w:rsidRPr="00B86266">
        <w:rPr>
          <w:rFonts w:ascii="Palatino Linotype" w:eastAsia="Palatino Linotype" w:hAnsi="Palatino Linotype" w:cs="Palatino Linotype"/>
          <w:b/>
          <w:color w:val="000000"/>
        </w:rPr>
        <w:t xml:space="preserve">IV. </w:t>
      </w:r>
      <w:r w:rsidR="006F218A" w:rsidRPr="00362DA3">
        <w:rPr>
          <w:rFonts w:ascii="Palatino Linotype" w:eastAsia="Palatino Linotype" w:hAnsi="Palatino Linotype" w:cs="Palatino Linotype"/>
          <w:b/>
          <w:color w:val="000000" w:themeColor="text1"/>
        </w:rPr>
        <w:t>AİHM’İN SÖZLEŞMENİN 6. MADDESİNDEN VERDİĞİ İHLALİN GEREKÇELERİ VE MAHKEMEDEN TALEPLER</w:t>
      </w:r>
    </w:p>
    <w:p w14:paraId="2F7ECC36" w14:textId="77777777" w:rsidR="006F218A" w:rsidRPr="006F218A" w:rsidRDefault="00F938E7"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F938E7">
        <w:rPr>
          <w:rFonts w:ascii="Palatino Linotype" w:eastAsia="Palatino Linotype" w:hAnsi="Palatino Linotype" w:cs="Palatino Linotype"/>
          <w:color w:val="000000"/>
          <w:lang w:val="tr-TR"/>
        </w:rPr>
        <w:t>A</w:t>
      </w:r>
      <w:r w:rsidR="009F07BE" w:rsidRPr="009F07BE">
        <w:rPr>
          <w:rFonts w:ascii="Palatino Linotype" w:eastAsia="Palatino Linotype" w:hAnsi="Palatino Linotype" w:cs="Palatino Linotype"/>
          <w:color w:val="000000"/>
          <w:lang w:val="tr-TR"/>
        </w:rPr>
        <w:t>HM</w:t>
      </w:r>
      <w:r w:rsidR="009F07BE" w:rsidRPr="00E63E28">
        <w:rPr>
          <w:rFonts w:ascii="Palatino Linotype" w:eastAsia="Palatino Linotype" w:hAnsi="Palatino Linotype" w:cs="Palatino Linotype"/>
          <w:color w:val="000000"/>
          <w:lang w:val="tr-TR"/>
        </w:rPr>
        <w:t xml:space="preserve">, </w:t>
      </w:r>
      <w:r w:rsidR="006F218A" w:rsidRPr="006F218A">
        <w:rPr>
          <w:rFonts w:ascii="Palatino Linotype" w:eastAsia="Palatino Linotype" w:hAnsi="Palatino Linotype" w:cs="Palatino Linotype"/>
          <w:color w:val="000000"/>
          <w:lang w:val="tr-TR"/>
        </w:rPr>
        <w:t>Seyhan ve Diğerleri kararında (§§ 9–10, 12), adil yargılanma hakkı (AİHS m. 6/1) bakımından Yüksel Yalçınkaya içtihadından ayrılmayı gerektirecek bir durum olmadığını belirterek her iki kararda da savunma makamının ByLock verilerine etkin erişiminin sağlanamadığını ve silahların eşitliği ilkesinin ihlal edildiğini tespit etmiştir (Yalçınkaya §§ 324–345, 353–356).</w:t>
      </w:r>
    </w:p>
    <w:p w14:paraId="2E6CFC60"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Bu tespitler doğrultusunda yargılamalarda belirleyici delil sayılan ByLock verilerinin elde ediliş yöntemi, bütünlüğü ve güvenilirliği konusunda savunmanın etkili itirazda bulunma imkanının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w:t>
      </w:r>
      <w:proofErr w:type="spellStart"/>
      <w:r w:rsidRPr="006F218A">
        <w:rPr>
          <w:rFonts w:ascii="Palatino Linotype" w:eastAsia="Palatino Linotype" w:hAnsi="Palatino Linotype" w:cs="Palatino Linotype"/>
          <w:color w:val="000000"/>
          <w:lang w:val="tr-TR"/>
        </w:rPr>
        <w:t>istihbari</w:t>
      </w:r>
      <w:proofErr w:type="spellEnd"/>
      <w:r w:rsidRPr="006F218A">
        <w:rPr>
          <w:rFonts w:ascii="Palatino Linotype" w:eastAsia="Palatino Linotype" w:hAnsi="Palatino Linotype" w:cs="Palatino Linotype"/>
          <w:color w:val="000000"/>
          <w:lang w:val="tr-TR"/>
        </w:rPr>
        <w:t xml:space="preserve"> yöntemlerle elde edilen verilerin Cumhuriyet savcılığına teslim edildikten sonra alınan CMK 134 kararları veya buna ilişkin tutanakların geçmişe dönük olarak hukuka uygun hale getirilemeyeceğinin ve delilin ilk toplandığı andaki yargısal denetimsizliğin sonradan yapılan işlemlerle telafi edilemeyeceğinin AİHM içtihatları doğrultusunda kabul edilmesini talep ediyoruz (Yalçınkaya §§ 293, 317, 324–341, 327, 331, 332-333, 334, 335-337, 337-339, 344-345).</w:t>
      </w:r>
    </w:p>
    <w:p w14:paraId="261AB0AA"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lastRenderedPageBreak/>
        <w:t xml:space="preserve">AİHM, MİT’in veri toplama faaliyetinin </w:t>
      </w:r>
      <w:proofErr w:type="spellStart"/>
      <w:r w:rsidRPr="006F218A">
        <w:rPr>
          <w:rFonts w:ascii="Palatino Linotype" w:eastAsia="Palatino Linotype" w:hAnsi="Palatino Linotype" w:cs="Palatino Linotype"/>
          <w:color w:val="000000"/>
          <w:lang w:val="tr-TR"/>
        </w:rPr>
        <w:t>istihbari</w:t>
      </w:r>
      <w:proofErr w:type="spellEnd"/>
      <w:r w:rsidRPr="006F218A">
        <w:rPr>
          <w:rFonts w:ascii="Palatino Linotype" w:eastAsia="Palatino Linotype" w:hAnsi="Palatino Linotype" w:cs="Palatino Linotype"/>
          <w:color w:val="000000"/>
          <w:lang w:val="tr-TR"/>
        </w:rPr>
        <w:t xml:space="preserve">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w:t>
      </w:r>
    </w:p>
    <w:p w14:paraId="68F82FAA"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Bu doğrultuda </w:t>
      </w:r>
      <w:proofErr w:type="spellStart"/>
      <w:r w:rsidRPr="006F218A">
        <w:rPr>
          <w:rFonts w:ascii="Palatino Linotype" w:eastAsia="Palatino Linotype" w:hAnsi="Palatino Linotype" w:cs="Palatino Linotype"/>
          <w:color w:val="000000"/>
          <w:lang w:val="tr-TR"/>
        </w:rPr>
        <w:t>istihbari</w:t>
      </w:r>
      <w:proofErr w:type="spellEnd"/>
      <w:r w:rsidRPr="006F218A">
        <w:rPr>
          <w:rFonts w:ascii="Palatino Linotype" w:eastAsia="Palatino Linotype" w:hAnsi="Palatino Linotype" w:cs="Palatino Linotype"/>
          <w:color w:val="000000"/>
          <w:lang w:val="tr-TR"/>
        </w:rPr>
        <w:t xml:space="preserve">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14:paraId="144978A8"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AİHM,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w:t>
      </w:r>
      <w:proofErr w:type="spellStart"/>
      <w:r w:rsidRPr="006F218A">
        <w:rPr>
          <w:rFonts w:ascii="Palatino Linotype" w:eastAsia="Palatino Linotype" w:hAnsi="Palatino Linotype" w:cs="Palatino Linotype"/>
          <w:color w:val="000000"/>
          <w:lang w:val="tr-TR"/>
        </w:rPr>
        <w:t>usuli</w:t>
      </w:r>
      <w:proofErr w:type="spellEnd"/>
      <w:r w:rsidRPr="006F218A">
        <w:rPr>
          <w:rFonts w:ascii="Palatino Linotype" w:eastAsia="Palatino Linotype" w:hAnsi="Palatino Linotype" w:cs="Palatino Linotype"/>
          <w:color w:val="000000"/>
          <w:lang w:val="tr-TR"/>
        </w:rPr>
        <w:t xml:space="preserve"> kısıtlamaları meşrulaştıramayacağını belirtmiştir (Yalçınkaya §§ 324–341, 353–356).</w:t>
      </w:r>
    </w:p>
    <w:p w14:paraId="61A68E16"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Bu ihlal gerekçesi doğrultusunda ulusal mahkemelerin "Tespit ve Değerlendirme </w:t>
      </w:r>
      <w:proofErr w:type="spellStart"/>
      <w:r w:rsidRPr="006F218A">
        <w:rPr>
          <w:rFonts w:ascii="Palatino Linotype" w:eastAsia="Palatino Linotype" w:hAnsi="Palatino Linotype" w:cs="Palatino Linotype"/>
          <w:color w:val="000000"/>
          <w:lang w:val="tr-TR"/>
        </w:rPr>
        <w:t>Tutanakları"nın</w:t>
      </w:r>
      <w:proofErr w:type="spellEnd"/>
      <w:r w:rsidRPr="006F218A">
        <w:rPr>
          <w:rFonts w:ascii="Palatino Linotype" w:eastAsia="Palatino Linotype" w:hAnsi="Palatino Linotype" w:cs="Palatino Linotype"/>
          <w:color w:val="000000"/>
          <w:lang w:val="tr-TR"/>
        </w:rPr>
        <w:t xml:space="preserve">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yerine savunma tarafına ham veriler üzerinde denetim imkanı verilmesini ve rapor aldırılmasını, MİT’ten temin edilen veriler üzerinde uluslararası standartlara haiz bağımsız ve tarafsız bir adli bilişim bilirkişisi tarafından inceleme yaptırılmasını talep ediyoruz (Yalçınkaya §§ 327, 331, 332-333, 334).</w:t>
      </w:r>
    </w:p>
    <w:p w14:paraId="4DA5BFA7"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AİHM, MİT tarafından yayınlanan kullanıcı listeleri arasındaki tutarsızlıklar ve soruşturulan kişi sayısı ile indirme sayıları arasındaki farklar (215 bin kullanıcı </w:t>
      </w:r>
      <w:proofErr w:type="spellStart"/>
      <w:r w:rsidRPr="006F218A">
        <w:rPr>
          <w:rFonts w:ascii="Palatino Linotype" w:eastAsia="Palatino Linotype" w:hAnsi="Palatino Linotype" w:cs="Palatino Linotype"/>
          <w:color w:val="000000"/>
          <w:lang w:val="tr-TR"/>
        </w:rPr>
        <w:t>vs</w:t>
      </w:r>
      <w:proofErr w:type="spellEnd"/>
      <w:r w:rsidRPr="006F218A">
        <w:rPr>
          <w:rFonts w:ascii="Palatino Linotype" w:eastAsia="Palatino Linotype" w:hAnsi="Palatino Linotype" w:cs="Palatino Linotype"/>
          <w:color w:val="000000"/>
          <w:lang w:val="tr-TR"/>
        </w:rPr>
        <w:t xml:space="preserve"> 102 bin soruşturma) konusundaki savunma itirazlarının mahkemelerce aydınlatılmadığını, savunmanın delilin güvenilirliğini test etme imkânından yoksun bırakılmasının yargılamanın adilliğini sakatladığını tespit etmiştir (Yalçınkaya § 334).</w:t>
      </w:r>
    </w:p>
    <w:p w14:paraId="6AB64574"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nedenle savunmanın ham veriler üzerinde bilirkişi </w:t>
      </w:r>
      <w:r w:rsidRPr="006F218A">
        <w:rPr>
          <w:rFonts w:ascii="Palatino Linotype" w:eastAsia="Palatino Linotype" w:hAnsi="Palatino Linotype" w:cs="Palatino Linotype"/>
          <w:color w:val="000000"/>
          <w:lang w:val="tr-TR"/>
        </w:rPr>
        <w:lastRenderedPageBreak/>
        <w:t xml:space="preserve">incelemesi yaptırma talebinin reddinin hak ihlali olduğu kabul edilerek dosyada bulunan HTS/CGNAT kayıtlarının ByLock sinyalleriyle uyumlu olmasının veya polis (KOM) tarafından düzenlenen 'Tespit ve Değerlendirme </w:t>
      </w:r>
      <w:proofErr w:type="spellStart"/>
      <w:r w:rsidRPr="006F218A">
        <w:rPr>
          <w:rFonts w:ascii="Palatino Linotype" w:eastAsia="Palatino Linotype" w:hAnsi="Palatino Linotype" w:cs="Palatino Linotype"/>
          <w:color w:val="000000"/>
          <w:lang w:val="tr-TR"/>
        </w:rPr>
        <w:t>Tutanakları'nın</w:t>
      </w:r>
      <w:proofErr w:type="spellEnd"/>
      <w:r w:rsidRPr="006F218A">
        <w:rPr>
          <w:rFonts w:ascii="Palatino Linotype" w:eastAsia="Palatino Linotype" w:hAnsi="Palatino Linotype" w:cs="Palatino Linotype"/>
          <w:color w:val="000000"/>
          <w:lang w:val="tr-TR"/>
        </w:rPr>
        <w:t xml:space="preserve">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14:paraId="6D936089"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AİHM, verilerin MİT tarafından elde edildiği an ile adli makamlara teslim edildiği 09/12/2016 tarihi arasında geçen sürede veri bütünlüğünün korunduğuna dair teknik güvencelerin (ilk HASH değeri, zaman damgası vb.) eksik olduğunu saptamış; Hükümetin MİT’in verileri </w:t>
      </w:r>
      <w:proofErr w:type="spellStart"/>
      <w:r w:rsidRPr="006F218A">
        <w:rPr>
          <w:rFonts w:ascii="Palatino Linotype" w:eastAsia="Palatino Linotype" w:hAnsi="Palatino Linotype" w:cs="Palatino Linotype"/>
          <w:color w:val="000000"/>
          <w:lang w:val="tr-TR"/>
        </w:rPr>
        <w:t>istihbari</w:t>
      </w:r>
      <w:proofErr w:type="spellEnd"/>
      <w:r w:rsidRPr="006F218A">
        <w:rPr>
          <w:rFonts w:ascii="Palatino Linotype" w:eastAsia="Palatino Linotype" w:hAnsi="Palatino Linotype" w:cs="Palatino Linotype"/>
          <w:color w:val="000000"/>
          <w:lang w:val="tr-TR"/>
        </w:rPr>
        <w:t xml:space="preserve"> yöntemlerle topladığına ve bu aşamada yargısal denetime tabi olmadığına dair savunması bu verilerin daha sonra ceza yargılamasında "tek ve belirleyici delil" olarak kullanılması gerçeği karşısında yetersiz kalmıştır (Yalçınkaya §§ 293, 333, 334).</w:t>
      </w:r>
    </w:p>
    <w:p w14:paraId="49EB491A"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w:t>
      </w:r>
      <w:proofErr w:type="spellStart"/>
      <w:r w:rsidRPr="006F218A">
        <w:rPr>
          <w:rFonts w:ascii="Palatino Linotype" w:eastAsia="Palatino Linotype" w:hAnsi="Palatino Linotype" w:cs="Palatino Linotype"/>
          <w:color w:val="000000"/>
          <w:lang w:val="tr-TR"/>
        </w:rPr>
        <w:t>istihbari</w:t>
      </w:r>
      <w:proofErr w:type="spellEnd"/>
      <w:r w:rsidRPr="006F218A">
        <w:rPr>
          <w:rFonts w:ascii="Palatino Linotype" w:eastAsia="Palatino Linotype" w:hAnsi="Palatino Linotype" w:cs="Palatino Linotype"/>
          <w:color w:val="000000"/>
          <w:lang w:val="tr-TR"/>
        </w:rPr>
        <w:t xml:space="preserve">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14:paraId="6260427C"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 xml:space="preserve">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belirtmiştir ve ham verilere erişimin sağlanamadığı durumlarda dahi yargılamada "adil </w:t>
      </w:r>
      <w:proofErr w:type="spellStart"/>
      <w:r w:rsidRPr="006F218A">
        <w:rPr>
          <w:rFonts w:ascii="Palatino Linotype" w:eastAsia="Palatino Linotype" w:hAnsi="Palatino Linotype" w:cs="Palatino Linotype"/>
          <w:color w:val="000000"/>
          <w:lang w:val="tr-TR"/>
        </w:rPr>
        <w:t>denge"nin</w:t>
      </w:r>
      <w:proofErr w:type="spellEnd"/>
      <w:r w:rsidRPr="006F218A">
        <w:rPr>
          <w:rFonts w:ascii="Palatino Linotype" w:eastAsia="Palatino Linotype" w:hAnsi="Palatino Linotype" w:cs="Palatino Linotype"/>
          <w:color w:val="000000"/>
          <w:lang w:val="tr-TR"/>
        </w:rPr>
        <w:t xml:space="preserve">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335-336, 335-337).</w:t>
      </w:r>
    </w:p>
    <w:p w14:paraId="21E3794C"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Bu kapsamda yargılamanın en temel ilkelerinden biri olan "silahların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verilerin teknik imkansızlıklar nedeniyle verilememesi durumunda ise bu imkansızlığın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14:paraId="2EB121D1"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lastRenderedPageBreak/>
        <w:t xml:space="preserve">AİHM, uygulamanın halka açık mağazalardan (Google Play, App </w:t>
      </w:r>
      <w:proofErr w:type="spellStart"/>
      <w:r w:rsidRPr="006F218A">
        <w:rPr>
          <w:rFonts w:ascii="Palatino Linotype" w:eastAsia="Palatino Linotype" w:hAnsi="Palatino Linotype" w:cs="Palatino Linotype"/>
          <w:color w:val="000000"/>
          <w:lang w:val="tr-TR"/>
        </w:rPr>
        <w:t>Store</w:t>
      </w:r>
      <w:proofErr w:type="spellEnd"/>
      <w:r w:rsidRPr="006F218A">
        <w:rPr>
          <w:rFonts w:ascii="Palatino Linotype" w:eastAsia="Palatino Linotype" w:hAnsi="Palatino Linotype" w:cs="Palatino Linotype"/>
          <w:color w:val="000000"/>
          <w:lang w:val="tr-TR"/>
        </w:rPr>
        <w:t xml:space="preserv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mahkeme uygulamanın herkesçe erişilebilir olduğu bir dönemde sadece indirme işleminin hiyerarşik yapıya dahil olmayı kanıtlamayacağını vurgulamıştır (Yalçınkaya §§ 334, 337-339, 338-339); "Münhasırlık" iddiası somut teknik verilerle (server kayıtları, indirme istatistikleri vb.) desteklenmemiş, bu iddia MİT raporlarındaki varsayımlara dayandırılmıştır, AİHM Yargıtay’ın "talimatla ağa katılma" kriterini koymasına rağmen somut dosyalarda bu talimatın varlığını araştırmadan hüküm kurmasını eleştirmiştir (Yalçınkaya §§ 338-339).</w:t>
      </w:r>
    </w:p>
    <w:p w14:paraId="5C6B1428"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14:paraId="12F13C71" w14:textId="77777777" w:rsidR="006F218A" w:rsidRPr="006F218A" w:rsidRDefault="006F218A" w:rsidP="006F218A">
      <w:pPr>
        <w:numPr>
          <w:ilvl w:val="0"/>
          <w:numId w:val="6"/>
        </w:numPr>
        <w:tabs>
          <w:tab w:val="clear" w:pos="720"/>
          <w:tab w:val="left" w:pos="709"/>
          <w:tab w:val="left" w:pos="851"/>
        </w:tabs>
        <w:spacing w:line="23" w:lineRule="atLeast"/>
        <w:jc w:val="both"/>
        <w:rPr>
          <w:rFonts w:ascii="Palatino Linotype" w:eastAsia="Palatino Linotype" w:hAnsi="Palatino Linotype" w:cs="Palatino Linotype"/>
          <w:color w:val="000000"/>
          <w:lang w:val="tr-TR"/>
        </w:rPr>
      </w:pPr>
      <w:r w:rsidRPr="006F218A">
        <w:rPr>
          <w:rFonts w:ascii="Palatino Linotype" w:eastAsia="Palatino Linotype" w:hAnsi="Palatino Linotype" w:cs="Palatino Linotype"/>
          <w:color w:val="000000"/>
          <w:lang w:val="tr-TR"/>
        </w:rPr>
        <w:t>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w:t>
      </w:r>
    </w:p>
    <w:p w14:paraId="56616CC6" w14:textId="77777777" w:rsidR="00DF3D5D" w:rsidRPr="00DF3D5D" w:rsidRDefault="00DF3D5D" w:rsidP="00DF3D5D">
      <w:pPr>
        <w:numPr>
          <w:ilvl w:val="0"/>
          <w:numId w:val="6"/>
        </w:numPr>
        <w:tabs>
          <w:tab w:val="left" w:pos="851"/>
        </w:tabs>
        <w:spacing w:line="23" w:lineRule="atLeast"/>
        <w:jc w:val="both"/>
        <w:rPr>
          <w:rFonts w:ascii="Palatino Linotype" w:eastAsia="Palatino Linotype" w:hAnsi="Palatino Linotype" w:cs="Palatino Linotype"/>
          <w:color w:val="000000" w:themeColor="text1"/>
          <w:lang w:val="tr-TR"/>
        </w:rPr>
      </w:pPr>
      <w:bookmarkStart w:id="0" w:name="_Hlk219537367"/>
      <w:r w:rsidRPr="00DF3D5D">
        <w:rPr>
          <w:rFonts w:ascii="Palatino Linotype" w:eastAsia="Palatino Linotype" w:hAnsi="Palatino Linotype" w:cs="Palatino Linotype"/>
          <w:color w:val="000000" w:themeColor="text1"/>
        </w:rPr>
        <w:t xml:space="preserve">AİHM'in 6. madde kapsamında verdiği ihlal kararı ve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w:t>
      </w:r>
      <w:proofErr w:type="spellStart"/>
      <w:r w:rsidRPr="00DF3D5D">
        <w:rPr>
          <w:rFonts w:ascii="Palatino Linotype" w:eastAsia="Palatino Linotype" w:hAnsi="Palatino Linotype" w:cs="Palatino Linotype"/>
          <w:color w:val="000000" w:themeColor="text1"/>
        </w:rPr>
        <w:t>istihbari</w:t>
      </w:r>
      <w:proofErr w:type="spellEnd"/>
      <w:r w:rsidRPr="00DF3D5D">
        <w:rPr>
          <w:rFonts w:ascii="Palatino Linotype" w:eastAsia="Palatino Linotype" w:hAnsi="Palatino Linotype" w:cs="Palatino Linotype"/>
          <w:color w:val="000000" w:themeColor="text1"/>
        </w:rPr>
        <w:t xml:space="preserve"> yollarla elde edip üzerinde AİHM'in de belirttiği şekliyle aylarca çalışılan ByLock verileri savcılığa teslim edildiği gün ByLock'la ilgili soruşturma başlatılmıştır. ByLock verileri, bir </w:t>
      </w:r>
      <w:proofErr w:type="gramStart"/>
      <w:r w:rsidRPr="00DF3D5D">
        <w:rPr>
          <w:rFonts w:ascii="Palatino Linotype" w:eastAsia="Palatino Linotype" w:hAnsi="Palatino Linotype" w:cs="Palatino Linotype"/>
          <w:color w:val="000000" w:themeColor="text1"/>
        </w:rPr>
        <w:t>hakim</w:t>
      </w:r>
      <w:proofErr w:type="gramEnd"/>
      <w:r w:rsidRPr="00DF3D5D">
        <w:rPr>
          <w:rFonts w:ascii="Palatino Linotype" w:eastAsia="Palatino Linotype" w:hAnsi="Palatino Linotype" w:cs="Palatino Linotype"/>
          <w:color w:val="000000" w:themeColor="text1"/>
        </w:rPr>
        <w:t xml:space="preserve"> kararına istinaden değil, </w:t>
      </w:r>
      <w:proofErr w:type="spellStart"/>
      <w:r w:rsidRPr="00DF3D5D">
        <w:rPr>
          <w:rFonts w:ascii="Palatino Linotype" w:eastAsia="Palatino Linotype" w:hAnsi="Palatino Linotype" w:cs="Palatino Linotype"/>
          <w:color w:val="000000" w:themeColor="text1"/>
        </w:rPr>
        <w:t>istihbari</w:t>
      </w:r>
      <w:proofErr w:type="spellEnd"/>
      <w:r w:rsidRPr="00DF3D5D">
        <w:rPr>
          <w:rFonts w:ascii="Palatino Linotype" w:eastAsia="Palatino Linotype" w:hAnsi="Palatino Linotype" w:cs="Palatino Linotype"/>
          <w:color w:val="000000" w:themeColor="text1"/>
        </w:rPr>
        <w:t xml:space="preserve"> çalışmayla elde edilmiştir. </w:t>
      </w:r>
      <w:proofErr w:type="gramStart"/>
      <w:r w:rsidRPr="00DF3D5D">
        <w:rPr>
          <w:rFonts w:ascii="Palatino Linotype" w:eastAsia="Palatino Linotype" w:hAnsi="Palatino Linotype" w:cs="Palatino Linotype"/>
          <w:color w:val="000000" w:themeColor="text1"/>
        </w:rPr>
        <w:t>Hakim</w:t>
      </w:r>
      <w:proofErr w:type="gramEnd"/>
      <w:r w:rsidRPr="00DF3D5D">
        <w:rPr>
          <w:rFonts w:ascii="Palatino Linotype" w:eastAsia="Palatino Linotype" w:hAnsi="Palatino Linotype" w:cs="Palatino Linotype"/>
          <w:color w:val="000000" w:themeColor="text1"/>
        </w:rPr>
        <w:t xml:space="preserve"> tarafından verilecek arama kararı üzerine elde edilip el konulması 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w:t>
      </w:r>
      <w:proofErr w:type="spellStart"/>
      <w:r w:rsidRPr="00DF3D5D">
        <w:rPr>
          <w:rFonts w:ascii="Palatino Linotype" w:eastAsia="Palatino Linotype" w:hAnsi="Palatino Linotype" w:cs="Palatino Linotype"/>
          <w:color w:val="000000" w:themeColor="text1"/>
        </w:rPr>
        <w:t>elkoymaya</w:t>
      </w:r>
      <w:proofErr w:type="spellEnd"/>
      <w:r w:rsidRPr="00DF3D5D">
        <w:rPr>
          <w:rFonts w:ascii="Palatino Linotype" w:eastAsia="Palatino Linotype" w:hAnsi="Palatino Linotype" w:cs="Palatino Linotype"/>
          <w:color w:val="000000" w:themeColor="text1"/>
        </w:rPr>
        <w:t xml:space="preserve"> ilişkin olmayıp sadece imaj almaya (kopyalama) ilişkindir. Ancak, usulüne uygun şekilde ve </w:t>
      </w:r>
      <w:proofErr w:type="gramStart"/>
      <w:r w:rsidRPr="00DF3D5D">
        <w:rPr>
          <w:rFonts w:ascii="Palatino Linotype" w:eastAsia="Palatino Linotype" w:hAnsi="Palatino Linotype" w:cs="Palatino Linotype"/>
          <w:color w:val="000000" w:themeColor="text1"/>
        </w:rPr>
        <w:t>hakim</w:t>
      </w:r>
      <w:proofErr w:type="gramEnd"/>
      <w:r w:rsidRPr="00DF3D5D">
        <w:rPr>
          <w:rFonts w:ascii="Palatino Linotype" w:eastAsia="Palatino Linotype" w:hAnsi="Palatino Linotype" w:cs="Palatino Linotype"/>
          <w:color w:val="000000" w:themeColor="text1"/>
        </w:rPr>
        <w:t xml:space="preserve"> kararın üzerine yapılmamış bir aramada elde edilen delilin sadece imajının alınmasına </w:t>
      </w:r>
      <w:proofErr w:type="gramStart"/>
      <w:r w:rsidRPr="00DF3D5D">
        <w:rPr>
          <w:rFonts w:ascii="Palatino Linotype" w:eastAsia="Palatino Linotype" w:hAnsi="Palatino Linotype" w:cs="Palatino Linotype"/>
          <w:color w:val="000000" w:themeColor="text1"/>
        </w:rPr>
        <w:t>hakim</w:t>
      </w:r>
      <w:proofErr w:type="gramEnd"/>
      <w:r w:rsidRPr="00DF3D5D">
        <w:rPr>
          <w:rFonts w:ascii="Palatino Linotype" w:eastAsia="Palatino Linotype" w:hAnsi="Palatino Linotype" w:cs="Palatino Linotype"/>
          <w:color w:val="000000" w:themeColor="text1"/>
        </w:rPr>
        <w:t xml:space="preserve"> tarafından karar verilmesi, o delilin elde edilme sürecindeki hukuka aykırılıkları ortadan kaldırmaz. CMK 134. maddenin amacı, göstermelik de olsa bir delilin elde edilmesiyle ilgili sonradan da olsa bir </w:t>
      </w:r>
      <w:proofErr w:type="gramStart"/>
      <w:r w:rsidRPr="00DF3D5D">
        <w:rPr>
          <w:rFonts w:ascii="Palatino Linotype" w:eastAsia="Palatino Linotype" w:hAnsi="Palatino Linotype" w:cs="Palatino Linotype"/>
          <w:color w:val="000000" w:themeColor="text1"/>
        </w:rPr>
        <w:t>hakim</w:t>
      </w:r>
      <w:proofErr w:type="gramEnd"/>
      <w:r w:rsidRPr="00DF3D5D">
        <w:rPr>
          <w:rFonts w:ascii="Palatino Linotype" w:eastAsia="Palatino Linotype" w:hAnsi="Palatino Linotype" w:cs="Palatino Linotype"/>
          <w:color w:val="000000" w:themeColor="text1"/>
        </w:rPr>
        <w:t xml:space="preserve"> kararı bulunması değil, dijital delilin en baştan itibaren öngörülen usule uygun şekilde elde edilmesidir.</w:t>
      </w:r>
    </w:p>
    <w:p w14:paraId="7296BB2C" w14:textId="209FE29D" w:rsidR="00DF3D5D" w:rsidRPr="00DF3D5D" w:rsidRDefault="00DF3D5D" w:rsidP="00DF3D5D">
      <w:pPr>
        <w:numPr>
          <w:ilvl w:val="0"/>
          <w:numId w:val="6"/>
        </w:numPr>
        <w:tabs>
          <w:tab w:val="left" w:pos="851"/>
        </w:tabs>
        <w:spacing w:line="23" w:lineRule="atLeast"/>
        <w:jc w:val="both"/>
        <w:rPr>
          <w:rFonts w:ascii="Palatino Linotype" w:eastAsia="Palatino Linotype" w:hAnsi="Palatino Linotype" w:cs="Palatino Linotype"/>
          <w:color w:val="000000" w:themeColor="text1"/>
          <w:lang w:val="tr-TR"/>
        </w:rPr>
      </w:pPr>
      <w:r w:rsidRPr="00DF3D5D">
        <w:rPr>
          <w:rFonts w:ascii="Palatino Linotype" w:eastAsia="Palatino Linotype" w:hAnsi="Palatino Linotype" w:cs="Palatino Linotype"/>
          <w:color w:val="000000" w:themeColor="text1"/>
        </w:rPr>
        <w:t xml:space="preserve">Aynı şekilde, ByLock verileri 5809 sayılı Elektronik Haberleşme Kanunu ve bu kanuna dayanarak çıkarılan yönetmeliklerde öngörülen 1 yıllık yasal saklama süresi geçtikten sonra dosyalara dahil edilmiştir; yani normalde imha edilmesi gereken ve artık yasal delil </w:t>
      </w:r>
      <w:r w:rsidRPr="00DF3D5D">
        <w:rPr>
          <w:rFonts w:ascii="Palatino Linotype" w:eastAsia="Palatino Linotype" w:hAnsi="Palatino Linotype" w:cs="Palatino Linotype"/>
          <w:color w:val="000000" w:themeColor="text1"/>
        </w:rPr>
        <w:lastRenderedPageBreak/>
        <w:t xml:space="preserve">statüsünde olmayan verilere dayalı olarak yargılamalar yapılmaktadır. </w:t>
      </w:r>
      <w:r w:rsidRPr="005B7BEB">
        <w:rPr>
          <w:rFonts w:ascii="Palatino Linotype" w:eastAsia="Palatino Linotype" w:hAnsi="Palatino Linotype" w:cs="Palatino Linotype"/>
          <w:color w:val="000000" w:themeColor="text1"/>
        </w:rPr>
        <w:t xml:space="preserve">Ayrıca, </w:t>
      </w:r>
      <w:r w:rsidRPr="005B7BEB">
        <w:rPr>
          <w:rFonts w:ascii="Palatino Linotype" w:eastAsia="Palatino Linotype" w:hAnsi="Palatino Linotype" w:cs="Palatino Linotype"/>
          <w:color w:val="000000" w:themeColor="text1"/>
          <w:lang w:val="tr-TR"/>
        </w:rPr>
        <w:t>Ankara C. Başsavcılığının aldırdığı bilirkişi raporundan da anlaşılacağı üzere yapısı bozuktur ve orijinal değildir.</w:t>
      </w:r>
      <w:r w:rsidRPr="00DF3D5D">
        <w:rPr>
          <w:rFonts w:ascii="Palatino Linotype" w:eastAsia="Palatino Linotype" w:hAnsi="Palatino Linotype" w:cs="Palatino Linotype"/>
          <w:color w:val="000000" w:themeColor="text1"/>
        </w:rPr>
        <w:t xml:space="preserve"> Kısaca, AİHM'in ihlal gerekçesinde yer verdiği ve burada söylediğimiz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 </w:t>
      </w:r>
    </w:p>
    <w:p w14:paraId="1B977F9F" w14:textId="77777777" w:rsidR="00DF3D5D" w:rsidRPr="00DF3D5D" w:rsidRDefault="00DF3D5D" w:rsidP="00DF3D5D">
      <w:pPr>
        <w:numPr>
          <w:ilvl w:val="0"/>
          <w:numId w:val="6"/>
        </w:numPr>
        <w:tabs>
          <w:tab w:val="left" w:pos="851"/>
        </w:tabs>
        <w:spacing w:line="23" w:lineRule="atLeast"/>
        <w:jc w:val="both"/>
        <w:rPr>
          <w:rFonts w:ascii="Palatino Linotype" w:eastAsia="Palatino Linotype" w:hAnsi="Palatino Linotype" w:cs="Palatino Linotype"/>
          <w:color w:val="000000" w:themeColor="text1"/>
          <w:lang w:val="tr-TR"/>
        </w:rPr>
      </w:pPr>
      <w:r w:rsidRPr="00DF3D5D">
        <w:rPr>
          <w:rFonts w:ascii="Palatino Linotype" w:eastAsia="Palatino Linotype" w:hAnsi="Palatino Linotype" w:cs="Palatino Linotype"/>
          <w:color w:val="000000" w:themeColor="text1"/>
        </w:rPr>
        <w:t>Sonuç olarak AİHM, elektronik delillerin elde edilmesi ve kullanılmasında savunma haklarının gözetilmediği, silahların eşitliği ilkesinin ihlal edildiği ve yargılamanın bir bütün olarak adil olmadığı gerekçesiyle AİHS’in 6/1. maddesinin ihlal edildiğine karar vermiştir (Yalçınkaya §§ 344-345; Demirhan § 46). Bu ihlal gerekçesi doğrultusunda AİHM Yalçınkaya kararında; adil yargılanma hakkı bağlamında tespit edilen savunmanın elektronik delillere erişememesi, delillerin güvenilirliğinin denetlenememesi ve silahların eşitliği ilkesinin ihlali gibi hususların bu dosyalar için de geçerli olduğunu açıkça belirtmiştir.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Yalçınkaya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Yalçınkaya ve Demirhan kararlarındaki tespitlerine aykırı şekilde ByLock’a dayanılarak hüküm kurulmamasını talep ediyoruz (Yalçınkaya §§ 242-243, 293, 317, 327, 331, 332-333, 334, 335-337, 337-339, 344-345).</w:t>
      </w:r>
    </w:p>
    <w:bookmarkEnd w:id="0"/>
    <w:p w14:paraId="79C7CF5C" w14:textId="0F6B1E47" w:rsidR="000D5D69" w:rsidRDefault="00F36AA1" w:rsidP="00F36AA1">
      <w:pPr>
        <w:tabs>
          <w:tab w:val="left" w:pos="851"/>
        </w:tabs>
        <w:spacing w:line="23" w:lineRule="atLeast"/>
        <w:ind w:left="426" w:hanging="142"/>
        <w:jc w:val="both"/>
        <w:rPr>
          <w:rFonts w:ascii="Palatino Linotype" w:eastAsia="Palatino Linotype" w:hAnsi="Palatino Linotype" w:cs="Palatino Linotype"/>
          <w:lang w:val="tr-TR"/>
        </w:rPr>
      </w:pPr>
      <w:r>
        <w:rPr>
          <w:rFonts w:ascii="Palatino Linotype" w:eastAsia="Palatino Linotype" w:hAnsi="Palatino Linotype" w:cs="Palatino Linotype"/>
          <w:b/>
        </w:rPr>
        <w:t xml:space="preserve">  </w:t>
      </w:r>
      <w:r w:rsidR="006F218A">
        <w:rPr>
          <w:rFonts w:ascii="Palatino Linotype" w:eastAsia="Palatino Linotype" w:hAnsi="Palatino Linotype" w:cs="Palatino Linotype"/>
          <w:b/>
        </w:rPr>
        <w:t>V</w:t>
      </w:r>
      <w:r w:rsidRPr="000D5D69">
        <w:rPr>
          <w:rFonts w:ascii="Palatino Linotype" w:eastAsia="Palatino Linotype" w:hAnsi="Palatino Linotype" w:cs="Palatino Linotype"/>
          <w:b/>
        </w:rPr>
        <w:t>.</w:t>
      </w:r>
      <w:r w:rsidRPr="000D5D69">
        <w:rPr>
          <w:rFonts w:ascii="Palatino Linotype" w:eastAsia="Palatino Linotype" w:hAnsi="Palatino Linotype" w:cs="Palatino Linotype"/>
        </w:rPr>
        <w:t xml:space="preserve"> </w:t>
      </w:r>
      <w:r w:rsidRPr="000D5D69">
        <w:rPr>
          <w:rFonts w:ascii="Palatino Linotype" w:eastAsia="Palatino Linotype" w:hAnsi="Palatino Linotype" w:cs="Palatino Linotype"/>
          <w:b/>
        </w:rPr>
        <w:t>AİHS’İN 7. MADDESİ</w:t>
      </w:r>
      <w:r w:rsidR="00BE5008">
        <w:rPr>
          <w:rFonts w:ascii="Palatino Linotype" w:eastAsia="Palatino Linotype" w:hAnsi="Palatino Linotype" w:cs="Palatino Linotype"/>
          <w:b/>
        </w:rPr>
        <w:t xml:space="preserve"> </w:t>
      </w:r>
      <w:r w:rsidRPr="000D5D69">
        <w:rPr>
          <w:rFonts w:ascii="Palatino Linotype" w:eastAsia="Palatino Linotype" w:hAnsi="Palatino Linotype" w:cs="Palatino Linotype"/>
          <w:b/>
        </w:rPr>
        <w:t xml:space="preserve">KAPSAMINDA MAHKEMEDEN TALEP EDİLEN HUSUSLAR </w:t>
      </w:r>
    </w:p>
    <w:p w14:paraId="75895507" w14:textId="739401B8" w:rsidR="006F218A" w:rsidRDefault="005301AF" w:rsidP="00722181">
      <w:pPr>
        <w:numPr>
          <w:ilvl w:val="0"/>
          <w:numId w:val="19"/>
        </w:numPr>
        <w:tabs>
          <w:tab w:val="left" w:pos="851"/>
        </w:tabs>
        <w:spacing w:line="23" w:lineRule="atLeast"/>
        <w:jc w:val="both"/>
        <w:rPr>
          <w:rFonts w:ascii="Palatino Linotype" w:eastAsia="Palatino Linotype" w:hAnsi="Palatino Linotype" w:cs="Palatino Linotype"/>
          <w:lang w:val="tr-TR"/>
        </w:rPr>
      </w:pPr>
      <w:r w:rsidRPr="00722181">
        <w:rPr>
          <w:rFonts w:ascii="Palatino Linotype" w:eastAsia="Palatino Linotype" w:hAnsi="Palatino Linotype" w:cs="Palatino Linotype"/>
          <w:lang w:val="tr-TR"/>
        </w:rPr>
        <w:t>AİH</w:t>
      </w:r>
      <w:r w:rsidR="00BE5008" w:rsidRPr="00722181">
        <w:rPr>
          <w:rFonts w:ascii="Palatino Linotype" w:eastAsia="Palatino Linotype" w:hAnsi="Palatino Linotype" w:cs="Palatino Linotype"/>
          <w:lang w:val="tr-TR"/>
        </w:rPr>
        <w:t>M</w:t>
      </w:r>
      <w:r w:rsidR="00BE5008" w:rsidRPr="00722181">
        <w:rPr>
          <w:rFonts w:ascii="Times New Roman" w:eastAsia="Times New Roman" w:hAnsi="Times New Roman" w:cs="Times New Roman"/>
          <w:b/>
          <w:bCs/>
          <w:sz w:val="24"/>
          <w:szCs w:val="24"/>
          <w:lang w:val="tr-TR"/>
        </w:rPr>
        <w:t xml:space="preserve"> </w:t>
      </w:r>
      <w:r w:rsidR="00BE5008" w:rsidRPr="00722181">
        <w:rPr>
          <w:rFonts w:ascii="Palatino Linotype" w:eastAsia="Palatino Linotype" w:hAnsi="Palatino Linotype" w:cs="Palatino Linotype"/>
          <w:b/>
          <w:bCs/>
          <w:lang w:val="tr-TR"/>
        </w:rPr>
        <w:t>Seyhan ve Diğerleri</w:t>
      </w:r>
      <w:r w:rsidR="00BE5008" w:rsidRPr="00722181">
        <w:rPr>
          <w:rFonts w:ascii="Palatino Linotype" w:eastAsia="Palatino Linotype" w:hAnsi="Palatino Linotype" w:cs="Palatino Linotype"/>
          <w:lang w:val="tr-TR"/>
        </w:rPr>
        <w:t xml:space="preserve"> kararında, başvurucuların karşı karşıya kaldığı yargılama pratiklerinin, </w:t>
      </w:r>
      <w:r w:rsidR="00BE5008" w:rsidRPr="00722181">
        <w:rPr>
          <w:rFonts w:ascii="Palatino Linotype" w:eastAsia="Palatino Linotype" w:hAnsi="Palatino Linotype" w:cs="Palatino Linotype"/>
          <w:b/>
          <w:bCs/>
          <w:lang w:val="tr-TR"/>
        </w:rPr>
        <w:t>Yüksel Yalçınkaya kararında tespit edilen "yapısal ve sistemik sorunlarla" birebir örtüştüğünü ve Yalçınkaya içtihadından ayrılmayı gerektirecek bir durum olmadığını açıkça vurgulamıştır.</w:t>
      </w:r>
      <w:r w:rsidR="00BE5008" w:rsidRPr="00722181">
        <w:rPr>
          <w:rFonts w:ascii="Palatino Linotype" w:eastAsia="Palatino Linotype" w:hAnsi="Palatino Linotype" w:cs="Palatino Linotype"/>
          <w:lang w:val="tr-TR"/>
        </w:rPr>
        <w:t xml:space="preserve"> Mahkeme, Seyhan kararının ilgili paragraflarında, Yalçınkaya kararının "kanunsuz ceza olmaz" ilkesi bağlamındaki tespitlerinin bu dosyalar için de geçerli olduğunu ima ederek, </w:t>
      </w:r>
      <w:r w:rsidR="00BE5008" w:rsidRPr="00722181">
        <w:rPr>
          <w:rFonts w:ascii="Palatino Linotype" w:eastAsia="Palatino Linotype" w:hAnsi="Palatino Linotype" w:cs="Palatino Linotype"/>
          <w:b/>
          <w:bCs/>
          <w:lang w:val="tr-TR"/>
        </w:rPr>
        <w:t>Türk yargısının ByLock konusundaki kategorik yaklaşımının düzeltilmesi gerektiğine işaret etmiştir (Seyhan, §§ 10, 12, 15; Yalçınkaya, §§ 262–271).</w:t>
      </w:r>
      <w:r w:rsidR="00BE5008" w:rsidRPr="00722181">
        <w:rPr>
          <w:rFonts w:ascii="Palatino Linotype" w:eastAsia="Palatino Linotype" w:hAnsi="Palatino Linotype" w:cs="Palatino Linotype"/>
          <w:lang w:val="tr-TR"/>
        </w:rPr>
        <w:t xml:space="preserve"> </w:t>
      </w:r>
    </w:p>
    <w:p w14:paraId="5AA49632"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 xml:space="preserve">AİHM, TCK’nın 314/2. maddesinin ulusal mahkemelerce aşırı geniş ve öngörülemez biçimde yorumlandığını; sırf ByLock veya benzeri kullanımın örgüt üyeliğinin kesin kanıtı sayılmasının, suçun hem maddi hem de manevi unsurlarının kişiselleştirilmesini engelleyerek yasallık ve öngörülebilirlik ilkelerini ihlal ettiğini tespit etmiştir (Yalçınkaya §§ 237-238, 257, 264-266). Ceza hukuku kurallarının sanık aleyhine geriye yürütülemez ve kıyas yoluyla genişletilemez olduğu vurgulanmıştır (Yalçınkaya §§ 237-238, 267). AİHM Büyük Dairesi'nin yakın zamanda verdiği Yasak v. Türkiye kararı (B.No: 17389/20) ise, bu ihlal tespitlerini çok daha geniş bir delil yelpazesi üzerinden ele almış ve cezai sorumluluğun tespiti için zorunlu olan "manevi unsur" (mens rea / suç kastı) şartını net </w:t>
      </w:r>
      <w:r w:rsidRPr="00FC0B37">
        <w:rPr>
          <w:rFonts w:ascii="Palatino Linotype" w:eastAsia="Times New Roman" w:hAnsi="Palatino Linotype" w:cs="Times New Roman"/>
          <w:color w:val="000000"/>
          <w:lang w:val="tr-NL"/>
        </w:rPr>
        <w:lastRenderedPageBreak/>
        <w:t>sınırlarla çizmiştir. Yasak kararında, salt ByLock değil, çok daha çeşitli delillere dayalı mahkûmiyetler incelenmiş ve eylemler ne denli çeşitli olursa olsun, maddi ve manevi unsurlar somut bir biçimde bireyselleştirilerek incelenmeksizin verilen kararların 7. maddeyi açıkça ihlal edeceği hüküm altına alınmıştır (Yasak, §§ 200-202).</w:t>
      </w:r>
    </w:p>
    <w:p w14:paraId="7722EA4E"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Bu tespitler ışığında, isnat edilen eylem tarihinde sırf ByLock kullanımının veya gerçekleştirilen faaliyetlerin TCK 314/2 kapsamında örgüt üyeliği sayılacağının o dönemin 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(Yalçınkaya §§ 237-238, 265, 338).</w:t>
      </w:r>
    </w:p>
    <w:p w14:paraId="1183B2FE"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(objektif sorumluluk) rejimi yaratarak Yalçınkaya kararındaki ihlal gerekçelerini dolanmaktır (Yalçınkaya §§ 253, 257, 263-264, 271-272, 338). Yasak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14:paraId="0476691C" w14:textId="5F3AA539"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AİHM'in Yasak kararında vurguladığı en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yapının parçası olmayı arzuladığının ortaya konulmasını gerektirmektedir. Bir eylemi sadece örgütle temas kurmaktan ya da açıkça suç işleme kastı olmaksızın örgüte salt üye olmaktan ayıran yegane husus budur (Yasak, § 203). Yani Mahkeme, salt yapı üyeliğinin değil, ancak amaçları ve şiddet içeren yöntemlerinden haberdar olunduğu kanıtlanabilen kişilerin terör örgütü üyesi olarak cezalandırılabileceğini belirtmiştir.</w:t>
      </w:r>
    </w:p>
    <w:p w14:paraId="4DAAF871"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14:paraId="3309D367" w14:textId="4A21020B"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 xml:space="preserve">AİHM, örgüt üyeliği suçlamasında sanığın "bilme ve isteme" şeklindeki özel kastının somut olarak ispatlanması gerektiğini belirtmiştir (Yalçınkaya §§ 253, 263-264). AİHM Yasak kararında, kasıt unsurunun nasıl tespit edileceğine dair ulusal mahkemelerin uygulamasını incelemiş ve izlenen yöntemi son derece sorunlu bulmuştur. Kararda ne yapılması </w:t>
      </w:r>
      <w:r w:rsidRPr="00FC0B37">
        <w:rPr>
          <w:rFonts w:ascii="Palatino Linotype" w:eastAsia="Times New Roman" w:hAnsi="Palatino Linotype" w:cs="Times New Roman"/>
          <w:color w:val="000000"/>
          <w:lang w:val="tr-NL"/>
        </w:rPr>
        <w:lastRenderedPageBreak/>
        <w:t>gerektiği pozitif bir hukuk kuralı olarak tarif edilmiştir: Makamlar, bu bileşenlerle yalnızca bir bağlantının varlığını değil, bu bağlantının somut içeriğini ve suç kastını ortaya koyup koymadığını araştırmak zorundadır. Yargılama makamları, kişinin sözkonusu yapının merkezi veya stratejik yapılarıyla "gerçek, işlevsel ve hiyerarşik bir bağının" bulunup bulunmadığını, bu bağın kapsamını ve niteliğini, ayrıca kişinin bu yapının iddia edilen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(Yasak, § 209).</w:t>
      </w:r>
    </w:p>
    <w:p w14:paraId="1AFFF3C8"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Büyük Daire, bu ispat zorunluluğunun neden elzem olduğunu açıklarken çok önemli bir "bağlamsal analiz" yapmıştır. Söz konusu yapının uzun yıllar boyunca toplumun değişik alanlarına, özellikle eğitim, sağlık ve finans alanlarında yer aldığını, yasal olarak ve devletin denetiminde faaliyet gösterdiği vurgulanmıştır. Dolayısıyla toplumun geniş bir kesimini oluşturan çok sayıda kişinin, bu yapının iddia edilen amaçlarından veya gizli niyetlerinden hiçbir şekilde haberdar olmadan yapının görünür ve yasal yapılarıyla temas kurmuş, faaliyet sürdürmüş olması son derece olağandır. Hal böyleyken, terör örgütü üyeliği suçunun en zorunlu unsuru olan "kasıt" unsurunun tespitinin önemi bir kat daha artmaktadır (Yasak, § 208). Müvekkilin rutin faaliyetlerinin de bu bağlamsal gerçeklikten kopuk değerlendirilmesi hukuken mümkün değildir.</w:t>
      </w:r>
    </w:p>
    <w:p w14:paraId="6837FF91"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Bununla birlikte Mahkeme, Yasak kararında önemli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olduğunu açıkça ifade etmiştir. 2014 yılına veya 15 Temmuz öncesine kadar gerçekleştirilen eylemlerin kasıt unsurunu nasıl oluşturduğu, varsayımlarla değil maddi gerçeklikle açıklanmalıdır (Yasak, § 205).</w:t>
      </w:r>
    </w:p>
    <w:p w14:paraId="47545B8E"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oluşturacaktır (Yasak, § 207).</w:t>
      </w:r>
    </w:p>
    <w:p w14:paraId="0A49366C"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 xml:space="preserve">AİHM’e göre, ulusal mahkemelerin ByLock tespitini mahkumiyet için tek başına yeterli görmesi, örgüt üyeliği suçu için aranan "süreklilik, çeşitlilik ve yoğunluk" kriterlerinin göz ardı edilmesine yol açmıştır (Yalçınkaya §§ 257, 264-266). Yasak kararında, Yargıtay'ın söz konusu yapıya atfettiği 7 katmanlı hiyerarşik yapının muğlaklığına da özel olarak yer verilmiştir.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w:t>
      </w:r>
      <w:r w:rsidRPr="00FC0B37">
        <w:rPr>
          <w:rFonts w:ascii="Palatino Linotype" w:eastAsia="Times New Roman" w:hAnsi="Palatino Linotype" w:cs="Times New Roman"/>
          <w:color w:val="000000"/>
          <w:lang w:val="tr-NL"/>
        </w:rPr>
        <w:lastRenderedPageBreak/>
        <w:t>aleyhine yorumlanmıştır. Yeniden yapılacak yargılamada, örgüt üyeliği için zorunlu olan unsurların her birinin hangi somut delille ispatlandığının tek tek gösterilmesini; ByLock kullanımının veya soyut hiyerarşi katmanlarının tek başına bu unsurları karşıladığı varsayımından vazgeçilerek beraat kararı verilmesini talep ediyoruz.</w:t>
      </w:r>
    </w:p>
    <w:p w14:paraId="35B98CED"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AİHM, mesaj içeriklerine veya yan delillere bakılmaksızın sadece Bylock kullanımın tespitinin "kesin delil" sayılmasını eleştirmiştir (Yalçınkaya §§ 257, 265-267). Uygulamanın halka açık mağazalardan indirilebilir olduğu bir dönemde "münhasırlık" iddiasının zayıfladığını saptamıştır (Yalçınkaya § 338). Bu nedenle, somut içerik olmaksızın tüm kullanıcılar hakkında aynı sonucun çıkarılmasının öngörülemez olduğu belirtilerek hukuka uygunluğu ispatlanan mesaj içerikleri ve hiyerarşik yapıya dair bağlamsal delillerin dosyaya getirtilmesini; bu veriler yoksa salt kullanım tespitine dayalı hüküm kurulmamasını talep ediyoruz (Yalçınkaya §§ 258, 265-267, 338).</w:t>
      </w:r>
    </w:p>
    <w:p w14:paraId="2A6022B6" w14:textId="3376D752"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AİHM'in Büyük Daire olarak verdiği Yalçınkaya kararı ve bu içtihadı takip eden</w:t>
      </w:r>
      <w:r w:rsidR="00FC0B37" w:rsidRPr="00FC0B37">
        <w:rPr>
          <w:rFonts w:ascii="Palatino Linotype" w:eastAsia="Times New Roman" w:hAnsi="Palatino Linotype" w:cs="Times New Roman"/>
          <w:color w:val="000000"/>
          <w:lang w:val="tr-NL"/>
        </w:rPr>
        <w:t xml:space="preserve"> kararlar ile</w:t>
      </w:r>
      <w:r w:rsidRPr="00FC0B37">
        <w:rPr>
          <w:rFonts w:ascii="Palatino Linotype" w:eastAsia="Times New Roman" w:hAnsi="Palatino Linotype" w:cs="Times New Roman"/>
          <w:color w:val="000000"/>
          <w:lang w:val="tr-NL"/>
        </w:rPr>
        <w:t xml:space="preserve"> Yasak 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iddia edilen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14:paraId="452065F3"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 xml:space="preserve">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w:t>
      </w:r>
      <w:r w:rsidRPr="00FC0B37">
        <w:rPr>
          <w:rFonts w:ascii="Palatino Linotype" w:eastAsia="Times New Roman" w:hAnsi="Palatino Linotype" w:cs="Times New Roman"/>
          <w:color w:val="000000"/>
          <w:lang w:val="tr-NL"/>
        </w:rPr>
        <w:lastRenderedPageBreak/>
        <w:t>için zorunlu olan manevi unsur tespit edilmeden kişinin cezalandırılmama hakkını garanti eden Sözleşmenin 7. maddesinin ihlalidir (Yasak, §§ 212-213).</w:t>
      </w:r>
    </w:p>
    <w:p w14:paraId="06F40036"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14:paraId="59B8BE6E"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Yalçınkaya ve devamı kararlar ile Yasak Büyük Daire kararları birbirinden bağımsız kararlar değil, yargı sistemimizdeki aynı yapısal sorunun birbirini tamamlayan iki farklı görünümüne ilişkindir ve birlikte uygulanmak zorundadır. Yalçınkaya kararı otomatik mahkûmiyet, öngörülebilirlik, kanunilik ve delillerin bireyselleştirilmeden kullanılmasının hukuka aykırılığını tespit etmişken; Yasak kararı sorunu daha da temele indirerek kişinin yapının şiddet içeren amaçlarını bilip bilmediğinin (manevi unsurun) mutlaka bireysel olarak ispat edilmesini şart koşmuştur. 15 Temmuz öncesi yasal veya rutin faaliyetlerin, sonradan geriye yürütülerek örgüt üyeliği suçunun deliline dönüştürülmesi ve kişinin terör kastı ispatlanmadan cezalandırma yoluna gidilmesi hukuka aykırıdır.</w:t>
      </w:r>
    </w:p>
    <w:p w14:paraId="1F6E5F40" w14:textId="77777777" w:rsidR="00722181"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söz konusu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14:paraId="428A8DF3" w14:textId="65608351" w:rsidR="00DF3D5D" w:rsidRPr="00FC0B37" w:rsidRDefault="00722181" w:rsidP="00FC0B37">
      <w:pPr>
        <w:pStyle w:val="ListeParagraf"/>
        <w:numPr>
          <w:ilvl w:val="0"/>
          <w:numId w:val="19"/>
        </w:numPr>
        <w:spacing w:before="100" w:beforeAutospacing="1" w:after="100" w:afterAutospacing="1" w:line="240" w:lineRule="auto"/>
        <w:jc w:val="both"/>
        <w:rPr>
          <w:rFonts w:ascii="Palatino Linotype" w:eastAsia="Times New Roman" w:hAnsi="Palatino Linotype" w:cs="Times New Roman"/>
          <w:color w:val="000000"/>
          <w:lang w:val="tr-NL"/>
        </w:rPr>
      </w:pPr>
      <w:r w:rsidRPr="00FC0B37">
        <w:rPr>
          <w:rFonts w:ascii="Palatino Linotype" w:eastAsia="Times New Roman" w:hAnsi="Palatino Linotype" w:cs="Times New Roman"/>
          <w:color w:val="000000"/>
          <w:lang w:val="tr-NL"/>
        </w:rPr>
        <w:t>Özetle ve sonuç olarak; AİHM, 7. maddenin hukukun üstünlüğünün temeli olduğunu vurgulamıştır (Yalçınkaya § 270). AİHM'in Yalçınkaya ve Yasak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p>
    <w:p w14:paraId="44B0B9EA" w14:textId="59418B51" w:rsidR="000D5D69" w:rsidRDefault="00000000" w:rsidP="00F36AA1">
      <w:pPr>
        <w:tabs>
          <w:tab w:val="left" w:pos="851"/>
        </w:tabs>
        <w:spacing w:line="23" w:lineRule="atLeast"/>
        <w:ind w:left="360"/>
        <w:jc w:val="both"/>
        <w:rPr>
          <w:rFonts w:ascii="Palatino Linotype" w:eastAsia="Palatino Linotype" w:hAnsi="Palatino Linotype" w:cs="Palatino Linotype"/>
          <w:lang w:val="tr-TR"/>
        </w:rPr>
      </w:pPr>
      <w:r w:rsidRPr="000D5D69">
        <w:rPr>
          <w:rFonts w:ascii="Palatino Linotype" w:eastAsia="Palatino Linotype" w:hAnsi="Palatino Linotype" w:cs="Palatino Linotype"/>
          <w:b/>
        </w:rPr>
        <w:t>VI. NETİCE</w:t>
      </w:r>
      <w:r w:rsidR="000E4667">
        <w:rPr>
          <w:rFonts w:ascii="Palatino Linotype" w:eastAsia="Palatino Linotype" w:hAnsi="Palatino Linotype" w:cs="Palatino Linotype"/>
          <w:b/>
        </w:rPr>
        <w:t xml:space="preserve"> VE</w:t>
      </w:r>
      <w:r w:rsidRPr="000D5D69">
        <w:rPr>
          <w:rFonts w:ascii="Palatino Linotype" w:eastAsia="Palatino Linotype" w:hAnsi="Palatino Linotype" w:cs="Palatino Linotype"/>
          <w:b/>
        </w:rPr>
        <w:t xml:space="preserve"> TALEP</w:t>
      </w:r>
    </w:p>
    <w:p w14:paraId="6C410F30" w14:textId="3F425D90" w:rsidR="000D5D69" w:rsidRDefault="00000000" w:rsidP="000D5D69">
      <w:pPr>
        <w:numPr>
          <w:ilvl w:val="0"/>
          <w:numId w:val="19"/>
        </w:numPr>
        <w:tabs>
          <w:tab w:val="left" w:pos="851"/>
        </w:tabs>
        <w:spacing w:line="23" w:lineRule="atLeast"/>
        <w:jc w:val="both"/>
        <w:rPr>
          <w:rFonts w:ascii="Palatino Linotype" w:eastAsia="Palatino Linotype" w:hAnsi="Palatino Linotype" w:cs="Palatino Linotype"/>
          <w:lang w:val="tr-TR"/>
        </w:rPr>
      </w:pPr>
      <w:r w:rsidRPr="000D5D69">
        <w:rPr>
          <w:rFonts w:ascii="Palatino Linotype" w:eastAsia="Palatino Linotype" w:hAnsi="Palatino Linotype" w:cs="Palatino Linotype"/>
        </w:rPr>
        <w:t xml:space="preserve">AİHM’in </w:t>
      </w:r>
      <w:r w:rsidR="00BE5008" w:rsidRPr="00D669DC">
        <w:rPr>
          <w:rFonts w:ascii="Palatino Linotype" w:eastAsia="Palatino Linotype" w:hAnsi="Palatino Linotype" w:cs="Palatino Linotype"/>
          <w:b/>
          <w:bCs/>
        </w:rPr>
        <w:t>Seyhan</w:t>
      </w:r>
      <w:r w:rsidRPr="00D669DC">
        <w:rPr>
          <w:rFonts w:ascii="Palatino Linotype" w:eastAsia="Palatino Linotype" w:hAnsi="Palatino Linotype" w:cs="Palatino Linotype"/>
          <w:b/>
          <w:bCs/>
        </w:rPr>
        <w:t xml:space="preserve"> ve diğerleri</w:t>
      </w:r>
      <w:r w:rsidRPr="000D5D69">
        <w:rPr>
          <w:rFonts w:ascii="Palatino Linotype" w:eastAsia="Palatino Linotype" w:hAnsi="Palatino Linotype" w:cs="Palatino Linotype"/>
        </w:rPr>
        <w:t xml:space="preserve"> kararında </w:t>
      </w:r>
      <w:r w:rsidRPr="000D5D69">
        <w:rPr>
          <w:rFonts w:ascii="Palatino Linotype" w:eastAsia="Palatino Linotype" w:hAnsi="Palatino Linotype" w:cs="Palatino Linotype"/>
          <w:highlight w:val="yellow"/>
        </w:rPr>
        <w:t>şahsımla/eşimle/müvekkiller</w:t>
      </w:r>
      <w:r w:rsidRPr="000D5D69">
        <w:rPr>
          <w:rFonts w:ascii="Palatino Linotype" w:eastAsia="Palatino Linotype" w:hAnsi="Palatino Linotype" w:cs="Palatino Linotype"/>
        </w:rPr>
        <w:t xml:space="preserve"> ilgili AİHS’in 7. madde</w:t>
      </w:r>
      <w:r w:rsidR="00244534">
        <w:rPr>
          <w:rFonts w:ascii="Palatino Linotype" w:eastAsia="Palatino Linotype" w:hAnsi="Palatino Linotype" w:cs="Palatino Linotype"/>
        </w:rPr>
        <w:t>si</w:t>
      </w:r>
      <w:r w:rsidRPr="000D5D69">
        <w:rPr>
          <w:rFonts w:ascii="Palatino Linotype" w:eastAsia="Palatino Linotype" w:hAnsi="Palatino Linotype" w:cs="Palatino Linotype"/>
        </w:rPr>
        <w:t xml:space="preserve"> kapsamında verdiği ihlal kararı ve CMK’nın 311/1-f maddesi gereğince yapılan işbu </w:t>
      </w:r>
      <w:r w:rsidRPr="000D5D69">
        <w:rPr>
          <w:rFonts w:ascii="Palatino Linotype" w:eastAsia="Palatino Linotype" w:hAnsi="Palatino Linotype" w:cs="Palatino Linotype"/>
          <w:b/>
        </w:rPr>
        <w:t>yeniden yargılanma talebinin kabulüne,</w:t>
      </w:r>
    </w:p>
    <w:p w14:paraId="20D174BA" w14:textId="04B389BD" w:rsidR="000D5D69" w:rsidRDefault="00000000" w:rsidP="000D5D69">
      <w:pPr>
        <w:numPr>
          <w:ilvl w:val="0"/>
          <w:numId w:val="19"/>
        </w:numPr>
        <w:tabs>
          <w:tab w:val="left" w:pos="851"/>
        </w:tabs>
        <w:spacing w:line="23" w:lineRule="atLeast"/>
        <w:jc w:val="both"/>
        <w:rPr>
          <w:rFonts w:ascii="Palatino Linotype" w:eastAsia="Palatino Linotype" w:hAnsi="Palatino Linotype" w:cs="Palatino Linotype"/>
          <w:lang w:val="tr-TR"/>
        </w:rPr>
      </w:pPr>
      <w:r w:rsidRPr="000D5D69">
        <w:rPr>
          <w:rFonts w:ascii="Palatino Linotype" w:eastAsia="Palatino Linotype" w:hAnsi="Palatino Linotype" w:cs="Palatino Linotype"/>
        </w:rPr>
        <w:lastRenderedPageBreak/>
        <w:t xml:space="preserve">Yalçınkaya ve </w:t>
      </w:r>
      <w:r w:rsidR="00BE5008" w:rsidRPr="00D669DC">
        <w:rPr>
          <w:rFonts w:ascii="Palatino Linotype" w:eastAsia="Palatino Linotype" w:hAnsi="Palatino Linotype" w:cs="Palatino Linotype"/>
          <w:b/>
          <w:bCs/>
        </w:rPr>
        <w:t>Seyhan</w:t>
      </w:r>
      <w:r w:rsidR="003060B6" w:rsidRPr="00D669DC">
        <w:rPr>
          <w:rFonts w:ascii="Palatino Linotype" w:eastAsia="Palatino Linotype" w:hAnsi="Palatino Linotype" w:cs="Palatino Linotype"/>
          <w:b/>
          <w:bCs/>
        </w:rPr>
        <w:t xml:space="preserve"> v</w:t>
      </w:r>
      <w:r w:rsidRPr="00D669DC">
        <w:rPr>
          <w:rFonts w:ascii="Palatino Linotype" w:eastAsia="Palatino Linotype" w:hAnsi="Palatino Linotype" w:cs="Palatino Linotype"/>
          <w:b/>
          <w:bCs/>
        </w:rPr>
        <w:t>e diğerleri</w:t>
      </w:r>
      <w:r w:rsidRPr="000D5D69">
        <w:rPr>
          <w:rFonts w:ascii="Palatino Linotype" w:eastAsia="Palatino Linotype" w:hAnsi="Palatino Linotype" w:cs="Palatino Linotype"/>
        </w:rPr>
        <w:t xml:space="preserve"> kararlarında AİH</w:t>
      </w:r>
      <w:r w:rsidR="00D669DC">
        <w:rPr>
          <w:rFonts w:ascii="Palatino Linotype" w:eastAsia="Palatino Linotype" w:hAnsi="Palatino Linotype" w:cs="Palatino Linotype"/>
        </w:rPr>
        <w:t>M</w:t>
      </w:r>
      <w:r w:rsidRPr="000D5D69">
        <w:rPr>
          <w:rFonts w:ascii="Palatino Linotype" w:eastAsia="Palatino Linotype" w:hAnsi="Palatino Linotype" w:cs="Palatino Linotype"/>
        </w:rPr>
        <w:t xml:space="preserve">’in verdiği ihlal kararının giderilmesi adına mahkemenizden talepte </w:t>
      </w:r>
      <w:r w:rsidRPr="000D5D69">
        <w:rPr>
          <w:rFonts w:ascii="Palatino Linotype" w:eastAsia="Palatino Linotype" w:hAnsi="Palatino Linotype" w:cs="Palatino Linotype"/>
          <w:highlight w:val="yellow"/>
        </w:rPr>
        <w:t>bulunduğum/bulunduğumuz</w:t>
      </w:r>
      <w:r w:rsidRPr="000D5D69">
        <w:rPr>
          <w:rFonts w:ascii="Palatino Linotype" w:eastAsia="Palatino Linotype" w:hAnsi="Palatino Linotype" w:cs="Palatino Linotype"/>
        </w:rPr>
        <w:t xml:space="preserve"> hususlar ile bu kapsamda heyetinizin uygun göreceği hususların araştırılmasına,</w:t>
      </w:r>
    </w:p>
    <w:p w14:paraId="218CFAF3" w14:textId="4C1C5767" w:rsidR="00DF3D5D" w:rsidRPr="003C7853" w:rsidRDefault="00000000" w:rsidP="00DF3D5D">
      <w:pPr>
        <w:numPr>
          <w:ilvl w:val="0"/>
          <w:numId w:val="19"/>
        </w:numPr>
        <w:tabs>
          <w:tab w:val="left" w:pos="851"/>
        </w:tabs>
        <w:spacing w:line="23" w:lineRule="atLeast"/>
        <w:jc w:val="both"/>
        <w:rPr>
          <w:rFonts w:ascii="Palatino Linotype" w:eastAsia="Palatino Linotype" w:hAnsi="Palatino Linotype" w:cs="Palatino Linotype"/>
          <w:color w:val="EE0000"/>
          <w:lang w:val="tr-TR"/>
        </w:rPr>
      </w:pPr>
      <w:r w:rsidRPr="00DF3D5D">
        <w:rPr>
          <w:rFonts w:ascii="Palatino Linotype" w:eastAsia="Palatino Linotype" w:hAnsi="Palatino Linotype" w:cs="Palatino Linotype"/>
        </w:rPr>
        <w:t>Yapılan araştırma neticesinde, ü</w:t>
      </w:r>
      <w:r w:rsidRPr="00DF3D5D">
        <w:rPr>
          <w:rFonts w:ascii="Palatino Linotype" w:eastAsia="Palatino Linotype" w:hAnsi="Palatino Linotype" w:cs="Palatino Linotype"/>
          <w:highlight w:val="yellow"/>
        </w:rPr>
        <w:t>zerime/Eşimin üzerine/müvekkilin üzerine</w:t>
      </w:r>
      <w:r w:rsidRPr="00DF3D5D">
        <w:rPr>
          <w:rFonts w:ascii="Palatino Linotype" w:eastAsia="Palatino Linotype" w:hAnsi="Palatino Linotype" w:cs="Palatino Linotype"/>
        </w:rPr>
        <w:t xml:space="preserve"> atılı suçun unsurlarının oluşmadığı ve atılı bu suçu </w:t>
      </w:r>
      <w:r w:rsidRPr="00DF3D5D">
        <w:rPr>
          <w:rFonts w:ascii="Palatino Linotype" w:eastAsia="Palatino Linotype" w:hAnsi="Palatino Linotype" w:cs="Palatino Linotype"/>
          <w:highlight w:val="yellow"/>
        </w:rPr>
        <w:t>işlediği/işlediğim</w:t>
      </w:r>
      <w:r w:rsidRPr="00DF3D5D">
        <w:rPr>
          <w:rFonts w:ascii="Palatino Linotype" w:eastAsia="Palatino Linotype" w:hAnsi="Palatino Linotype" w:cs="Palatino Linotype"/>
        </w:rPr>
        <w:t xml:space="preserve"> hususunda cezalandırmaya yeter her türlü şüpheden uzak, kesin ve inandırıcı delil bulunmadığının tespitiyle </w:t>
      </w:r>
      <w:r w:rsidRPr="00DF3D5D">
        <w:rPr>
          <w:rFonts w:ascii="Palatino Linotype" w:eastAsia="Palatino Linotype" w:hAnsi="Palatino Linotype" w:cs="Palatino Linotype"/>
          <w:color w:val="010000"/>
          <w:highlight w:val="white"/>
        </w:rPr>
        <w:t xml:space="preserve">Anayasa’nın 36, 38, 90, 138,; AİHS’in 6, 7, 46 ve CMK’nın 223/2-a  maddesinde ifadesini bulan </w:t>
      </w:r>
      <w:r w:rsidRPr="00DF3D5D">
        <w:rPr>
          <w:rFonts w:ascii="Palatino Linotype" w:eastAsia="Palatino Linotype" w:hAnsi="Palatino Linotype" w:cs="Palatino Linotype"/>
          <w:b/>
          <w:i/>
          <w:color w:val="010000"/>
          <w:highlight w:val="white"/>
        </w:rPr>
        <w:t>“yüklenen fiilin kanunda suç olarak tanımlanmamış olması”</w:t>
      </w:r>
      <w:r w:rsidRPr="00DF3D5D">
        <w:rPr>
          <w:rFonts w:ascii="Palatino Linotype" w:eastAsia="Palatino Linotype" w:hAnsi="Palatino Linotype" w:cs="Palatino Linotype"/>
          <w:color w:val="010000"/>
          <w:highlight w:val="white"/>
        </w:rPr>
        <w:t xml:space="preserve"> gerekçesiyle </w:t>
      </w:r>
      <w:r w:rsidRPr="00DF3D5D">
        <w:rPr>
          <w:rFonts w:ascii="Palatino Linotype" w:eastAsia="Palatino Linotype" w:hAnsi="Palatino Linotype" w:cs="Palatino Linotype"/>
          <w:color w:val="010000"/>
          <w:highlight w:val="yellow"/>
        </w:rPr>
        <w:t>hakkımda/eşim hakkında/müvekkil hakkında</w:t>
      </w:r>
      <w:r w:rsidRPr="00DF3D5D">
        <w:rPr>
          <w:rFonts w:ascii="Palatino Linotype" w:eastAsia="Palatino Linotype" w:hAnsi="Palatino Linotype" w:cs="Palatino Linotype"/>
          <w:color w:val="010000"/>
          <w:highlight w:val="white"/>
        </w:rPr>
        <w:t xml:space="preserve"> </w:t>
      </w:r>
      <w:r w:rsidRPr="00DF3D5D">
        <w:rPr>
          <w:rFonts w:ascii="Palatino Linotype" w:eastAsia="Palatino Linotype" w:hAnsi="Palatino Linotype" w:cs="Palatino Linotype"/>
          <w:b/>
          <w:color w:val="010000"/>
          <w:highlight w:val="yellow"/>
        </w:rPr>
        <w:t xml:space="preserve">BERAAT </w:t>
      </w:r>
      <w:r w:rsidRPr="00DF3D5D">
        <w:rPr>
          <w:rFonts w:ascii="Palatino Linotype" w:eastAsia="Palatino Linotype" w:hAnsi="Palatino Linotype" w:cs="Palatino Linotype"/>
          <w:color w:val="010000"/>
          <w:highlight w:val="yellow"/>
        </w:rPr>
        <w:t xml:space="preserve">ve </w:t>
      </w:r>
      <w:r w:rsidR="00982F16" w:rsidRPr="00DF3D5D">
        <w:rPr>
          <w:rFonts w:ascii="Palatino Linotype" w:eastAsia="Palatino Linotype" w:hAnsi="Palatino Linotype" w:cs="Palatino Linotype"/>
          <w:color w:val="010000"/>
          <w:highlight w:val="yellow"/>
        </w:rPr>
        <w:t xml:space="preserve">öncelikle infazın DURDURULMASINA ve sonrasında </w:t>
      </w:r>
      <w:r w:rsidRPr="00DF3D5D">
        <w:rPr>
          <w:rFonts w:ascii="Palatino Linotype" w:eastAsia="Palatino Linotype" w:hAnsi="Palatino Linotype" w:cs="Palatino Linotype"/>
          <w:b/>
          <w:color w:val="000000" w:themeColor="text1"/>
          <w:highlight w:val="yellow"/>
        </w:rPr>
        <w:t>TAHLİYESİNE</w:t>
      </w:r>
      <w:r w:rsidRPr="00DF3D5D">
        <w:rPr>
          <w:rFonts w:ascii="Palatino Linotype" w:eastAsia="Palatino Linotype" w:hAnsi="Palatino Linotype" w:cs="Palatino Linotype"/>
          <w:color w:val="000000" w:themeColor="text1"/>
          <w:highlight w:val="yellow"/>
        </w:rPr>
        <w:t xml:space="preserve"> (sanık tutu</w:t>
      </w:r>
      <w:r w:rsidR="00982F16" w:rsidRPr="00DF3D5D">
        <w:rPr>
          <w:rFonts w:ascii="Palatino Linotype" w:eastAsia="Palatino Linotype" w:hAnsi="Palatino Linotype" w:cs="Palatino Linotype"/>
          <w:color w:val="000000" w:themeColor="text1"/>
          <w:highlight w:val="yellow"/>
        </w:rPr>
        <w:t>k</w:t>
      </w:r>
      <w:r w:rsidRPr="00DF3D5D">
        <w:rPr>
          <w:rFonts w:ascii="Palatino Linotype" w:eastAsia="Palatino Linotype" w:hAnsi="Palatino Linotype" w:cs="Palatino Linotype"/>
          <w:color w:val="000000" w:themeColor="text1"/>
          <w:highlight w:val="yellow"/>
        </w:rPr>
        <w:t>luysa)</w:t>
      </w:r>
      <w:r w:rsidRPr="00DF3D5D">
        <w:rPr>
          <w:rFonts w:ascii="Palatino Linotype" w:eastAsia="Palatino Linotype" w:hAnsi="Palatino Linotype" w:cs="Palatino Linotype"/>
          <w:color w:val="000000" w:themeColor="text1"/>
          <w:highlight w:val="white"/>
        </w:rPr>
        <w:t xml:space="preserve"> </w:t>
      </w:r>
      <w:bookmarkStart w:id="1" w:name="_Hlk219537403"/>
      <w:bookmarkStart w:id="2" w:name="_Hlk219537955"/>
      <w:r w:rsidR="00DF3D5D" w:rsidRPr="00DF3D5D">
        <w:rPr>
          <w:rFonts w:ascii="Palatino Linotype" w:eastAsia="Palatino Linotype" w:hAnsi="Palatino Linotype" w:cs="Palatino Linotype"/>
          <w:color w:val="000000" w:themeColor="text1"/>
        </w:rPr>
        <w:t>A</w:t>
      </w:r>
      <w:r w:rsidR="00DF3D5D" w:rsidRPr="00DF3D5D">
        <w:rPr>
          <w:rFonts w:ascii="Palatino Linotype" w:eastAsia="Palatino Linotype" w:hAnsi="Palatino Linotype" w:cs="Palatino Linotype"/>
          <w:color w:val="000000" w:themeColor="text1"/>
          <w:lang w:val="tr-TR"/>
        </w:rPr>
        <w:t>dli Sicil Yönetmeli</w:t>
      </w:r>
      <w:r w:rsidR="005B7BEB">
        <w:rPr>
          <w:rFonts w:ascii="Palatino Linotype" w:eastAsia="Palatino Linotype" w:hAnsi="Palatino Linotype" w:cs="Palatino Linotype"/>
          <w:color w:val="000000" w:themeColor="text1"/>
          <w:lang w:val="tr-TR"/>
        </w:rPr>
        <w:t>ğ</w:t>
      </w:r>
      <w:r w:rsidR="00DF3D5D" w:rsidRPr="00DF3D5D">
        <w:rPr>
          <w:rFonts w:ascii="Palatino Linotype" w:eastAsia="Palatino Linotype" w:hAnsi="Palatino Linotype" w:cs="Palatino Linotype"/>
          <w:color w:val="000000" w:themeColor="text1"/>
          <w:lang w:val="tr-TR"/>
        </w:rPr>
        <w:t>inin 3. ve 13/3. maddesi gere</w:t>
      </w:r>
      <w:r w:rsidR="005B7BEB">
        <w:rPr>
          <w:rFonts w:ascii="Palatino Linotype" w:eastAsia="Palatino Linotype" w:hAnsi="Palatino Linotype" w:cs="Palatino Linotype"/>
          <w:color w:val="000000" w:themeColor="text1"/>
          <w:lang w:val="tr-TR"/>
        </w:rPr>
        <w:t>ğ</w:t>
      </w:r>
      <w:r w:rsidR="00DF3D5D" w:rsidRPr="00DF3D5D">
        <w:rPr>
          <w:rFonts w:ascii="Palatino Linotype" w:eastAsia="Palatino Linotype" w:hAnsi="Palatino Linotype" w:cs="Palatino Linotype"/>
          <w:color w:val="000000" w:themeColor="text1"/>
          <w:lang w:val="tr-TR"/>
        </w:rPr>
        <w:t xml:space="preserve">ince tali karar fişi </w:t>
      </w:r>
      <w:r w:rsidR="00DF3D5D" w:rsidRPr="00DF3D5D">
        <w:rPr>
          <w:rFonts w:ascii="Palatino Linotype" w:eastAsia="Palatino Linotype" w:hAnsi="Palatino Linotype" w:cs="Palatino Linotype"/>
          <w:b/>
          <w:bCs/>
          <w:color w:val="000000" w:themeColor="text1"/>
          <w:lang w:val="tr-TR"/>
        </w:rPr>
        <w:t>DÜZENLENMESİNE,</w:t>
      </w:r>
      <w:r w:rsidR="00DF3D5D" w:rsidRPr="00DF3D5D">
        <w:rPr>
          <w:rFonts w:ascii="Palatino Linotype" w:eastAsia="Palatino Linotype" w:hAnsi="Palatino Linotype" w:cs="Palatino Linotype"/>
          <w:color w:val="000000" w:themeColor="text1"/>
          <w:lang w:val="tr-TR"/>
        </w:rPr>
        <w:t xml:space="preserve"> </w:t>
      </w:r>
      <w:r w:rsidR="00DF3D5D" w:rsidRPr="00DF3D5D">
        <w:rPr>
          <w:rFonts w:ascii="Palatino Linotype" w:eastAsia="Palatino Linotype" w:hAnsi="Palatino Linotype" w:cs="Palatino Linotype"/>
          <w:color w:val="000000" w:themeColor="text1"/>
        </w:rPr>
        <w:t xml:space="preserve">AİHM karar gereği yargılamanın yenilenmesi sonucunda verilecek beraat kararının kesinleşmesi ile birlikte önceki mahkûmiyet kararına ilişkin adlî sicil ve arşiv kaydının tamamen </w:t>
      </w:r>
      <w:r w:rsidR="00DF3D5D" w:rsidRPr="00DF3D5D">
        <w:rPr>
          <w:rFonts w:ascii="Palatino Linotype" w:eastAsia="Palatino Linotype" w:hAnsi="Palatino Linotype" w:cs="Palatino Linotype"/>
          <w:color w:val="000000" w:themeColor="text1"/>
          <w:lang w:val="tr-TR"/>
        </w:rPr>
        <w:t>silinmesi amacıyla ek kararın ve düzenlenen tali karar fişinin adli sicil kaydına işlenmek üzere Adli Sicil istatistik Müdürlü</w:t>
      </w:r>
      <w:r w:rsidR="005B7BEB">
        <w:rPr>
          <w:rFonts w:ascii="Palatino Linotype" w:eastAsia="Palatino Linotype" w:hAnsi="Palatino Linotype" w:cs="Palatino Linotype"/>
          <w:color w:val="000000" w:themeColor="text1"/>
          <w:lang w:val="tr-TR"/>
        </w:rPr>
        <w:t>ğ</w:t>
      </w:r>
      <w:r w:rsidR="00DF3D5D" w:rsidRPr="00DF3D5D">
        <w:rPr>
          <w:rFonts w:ascii="Palatino Linotype" w:eastAsia="Palatino Linotype" w:hAnsi="Palatino Linotype" w:cs="Palatino Linotype"/>
          <w:color w:val="000000" w:themeColor="text1"/>
          <w:lang w:val="tr-TR"/>
        </w:rPr>
        <w:t xml:space="preserve">üne </w:t>
      </w:r>
      <w:r w:rsidR="00DF3D5D" w:rsidRPr="00DF3D5D">
        <w:rPr>
          <w:rFonts w:ascii="Palatino Linotype" w:eastAsia="Palatino Linotype" w:hAnsi="Palatino Linotype" w:cs="Palatino Linotype"/>
          <w:b/>
          <w:bCs/>
          <w:color w:val="000000" w:themeColor="text1"/>
          <w:lang w:val="tr-TR"/>
        </w:rPr>
        <w:t>GÖNDERİLMESİNE,</w:t>
      </w:r>
      <w:r w:rsidR="00DF3D5D" w:rsidRPr="00DF3D5D">
        <w:rPr>
          <w:rFonts w:ascii="Palatino Linotype" w:eastAsia="Palatino Linotype" w:hAnsi="Palatino Linotype" w:cs="Palatino Linotype"/>
          <w:color w:val="000000" w:themeColor="text1"/>
          <w:lang w:val="tr-TR"/>
        </w:rPr>
        <w:t xml:space="preserve">                                                                       infaz evraklar</w:t>
      </w:r>
      <w:r w:rsidR="005B7BEB">
        <w:rPr>
          <w:rFonts w:ascii="Palatino Linotype" w:eastAsia="Palatino Linotype" w:hAnsi="Palatino Linotype" w:cs="Palatino Linotype"/>
          <w:color w:val="000000" w:themeColor="text1"/>
          <w:lang w:val="tr-TR"/>
        </w:rPr>
        <w:t>ı</w:t>
      </w:r>
      <w:r w:rsidR="00DF3D5D" w:rsidRPr="00DF3D5D">
        <w:rPr>
          <w:rFonts w:ascii="Palatino Linotype" w:eastAsia="Palatino Linotype" w:hAnsi="Palatino Linotype" w:cs="Palatino Linotype"/>
          <w:color w:val="000000" w:themeColor="text1"/>
          <w:lang w:val="tr-TR"/>
        </w:rPr>
        <w:t>n</w:t>
      </w:r>
      <w:proofErr w:type="spellStart"/>
      <w:r w:rsidR="00DF3D5D" w:rsidRPr="00DF3D5D">
        <w:rPr>
          <w:rFonts w:ascii="Palatino Linotype" w:eastAsia="Palatino Linotype" w:hAnsi="Palatino Linotype" w:cs="Palatino Linotype"/>
          <w:color w:val="000000" w:themeColor="text1"/>
        </w:rPr>
        <w:t>ın</w:t>
      </w:r>
      <w:proofErr w:type="spellEnd"/>
      <w:r w:rsidR="00DF3D5D" w:rsidRPr="00DF3D5D">
        <w:rPr>
          <w:rFonts w:ascii="Palatino Linotype" w:eastAsia="Palatino Linotype" w:hAnsi="Palatino Linotype" w:cs="Palatino Linotype"/>
          <w:color w:val="000000" w:themeColor="text1"/>
          <w:lang w:val="tr-TR"/>
        </w:rPr>
        <w:t xml:space="preserve"> işlemsiz olarak mahkemenize gönderilmesi için Cumhuriyet Başsavcılığına </w:t>
      </w:r>
      <w:r w:rsidR="00DF3D5D" w:rsidRPr="00DF3D5D">
        <w:rPr>
          <w:rFonts w:ascii="Palatino Linotype" w:eastAsia="Palatino Linotype" w:hAnsi="Palatino Linotype" w:cs="Palatino Linotype"/>
          <w:b/>
          <w:bCs/>
          <w:color w:val="000000" w:themeColor="text1"/>
          <w:lang w:val="tr-TR"/>
        </w:rPr>
        <w:t>MÜZEKKERE YAZILMASINA,</w:t>
      </w:r>
    </w:p>
    <w:bookmarkEnd w:id="1"/>
    <w:p w14:paraId="3883F12D" w14:textId="30C55DA7" w:rsidR="00DF3D5D" w:rsidRPr="000D5D69" w:rsidRDefault="00DF3D5D" w:rsidP="005B7BEB">
      <w:pPr>
        <w:tabs>
          <w:tab w:val="left" w:pos="851"/>
        </w:tabs>
        <w:spacing w:line="23" w:lineRule="atLeast"/>
        <w:ind w:left="720"/>
        <w:jc w:val="both"/>
        <w:rPr>
          <w:rFonts w:ascii="Palatino Linotype" w:eastAsia="Palatino Linotype" w:hAnsi="Palatino Linotype" w:cs="Palatino Linotype"/>
          <w:lang w:val="tr-TR"/>
        </w:rPr>
      </w:pPr>
      <w:r>
        <w:rPr>
          <w:rFonts w:ascii="Palatino Linotype" w:eastAsia="Palatino Linotype" w:hAnsi="Palatino Linotype" w:cs="Palatino Linotype"/>
          <w:color w:val="010000"/>
          <w:highlight w:val="white"/>
        </w:rPr>
        <w:t>K</w:t>
      </w:r>
      <w:r w:rsidRPr="000D5D69">
        <w:rPr>
          <w:rFonts w:ascii="Palatino Linotype" w:eastAsia="Palatino Linotype" w:hAnsi="Palatino Linotype" w:cs="Palatino Linotype"/>
          <w:color w:val="010000"/>
          <w:highlight w:val="white"/>
        </w:rPr>
        <w:t>arar verilmesini,</w:t>
      </w:r>
    </w:p>
    <w:bookmarkEnd w:id="2"/>
    <w:p w14:paraId="000000C1" w14:textId="38C82E54" w:rsidR="009E0554" w:rsidRPr="00DF3D5D" w:rsidRDefault="00000000" w:rsidP="00DF3D5D">
      <w:pPr>
        <w:pBdr>
          <w:top w:val="nil"/>
          <w:left w:val="nil"/>
          <w:bottom w:val="nil"/>
          <w:right w:val="nil"/>
          <w:between w:val="nil"/>
        </w:pBdr>
        <w:tabs>
          <w:tab w:val="left" w:pos="851"/>
        </w:tabs>
        <w:spacing w:line="23" w:lineRule="atLeast"/>
        <w:ind w:left="630" w:right="-378"/>
        <w:jc w:val="both"/>
        <w:rPr>
          <w:rFonts w:ascii="Palatino Linotype" w:eastAsia="Palatino Linotype" w:hAnsi="Palatino Linotype" w:cs="Palatino Linotype"/>
          <w:color w:val="010000"/>
          <w:highlight w:val="white"/>
        </w:rPr>
      </w:pPr>
      <w:r w:rsidRPr="00DF3D5D">
        <w:rPr>
          <w:rFonts w:ascii="Palatino Linotype" w:eastAsia="Palatino Linotype" w:hAnsi="Palatino Linotype" w:cs="Palatino Linotype"/>
          <w:color w:val="010000"/>
          <w:highlight w:val="white"/>
        </w:rPr>
        <w:t xml:space="preserve">Saygılarımla arz ve </w:t>
      </w:r>
      <w:r w:rsidRPr="00DF3D5D">
        <w:rPr>
          <w:rFonts w:ascii="Palatino Linotype" w:eastAsia="Palatino Linotype" w:hAnsi="Palatino Linotype" w:cs="Palatino Linotype"/>
          <w:color w:val="010000"/>
          <w:highlight w:val="yellow"/>
        </w:rPr>
        <w:t>talep ederim/ederiz.</w:t>
      </w:r>
      <w:r w:rsidRPr="00DF3D5D">
        <w:rPr>
          <w:rFonts w:ascii="Palatino Linotype" w:eastAsia="Palatino Linotype" w:hAnsi="Palatino Linotype" w:cs="Palatino Linotype"/>
          <w:color w:val="010000"/>
          <w:highlight w:val="white"/>
        </w:rPr>
        <w:t xml:space="preserve">  </w:t>
      </w:r>
      <w:proofErr w:type="gramStart"/>
      <w:r w:rsidRPr="00DF3D5D">
        <w:rPr>
          <w:rFonts w:ascii="Palatino Linotype" w:eastAsia="Palatino Linotype" w:hAnsi="Palatino Linotype" w:cs="Palatino Linotype"/>
          <w:b/>
          <w:color w:val="010000"/>
          <w:highlight w:val="white"/>
        </w:rPr>
        <w:t>…../….</w:t>
      </w:r>
      <w:proofErr w:type="gramEnd"/>
      <w:r w:rsidRPr="00DF3D5D">
        <w:rPr>
          <w:rFonts w:ascii="Palatino Linotype" w:eastAsia="Palatino Linotype" w:hAnsi="Palatino Linotype" w:cs="Palatino Linotype"/>
          <w:b/>
          <w:color w:val="010000"/>
          <w:highlight w:val="white"/>
        </w:rPr>
        <w:t>/202</w:t>
      </w:r>
      <w:r w:rsidR="00471EBE" w:rsidRPr="00DF3D5D">
        <w:rPr>
          <w:rFonts w:ascii="Palatino Linotype" w:eastAsia="Palatino Linotype" w:hAnsi="Palatino Linotype" w:cs="Palatino Linotype"/>
          <w:b/>
          <w:color w:val="010000"/>
          <w:highlight w:val="white"/>
        </w:rPr>
        <w:t>6</w:t>
      </w:r>
    </w:p>
    <w:p w14:paraId="023B152F" w14:textId="77777777" w:rsidR="007A2F3F" w:rsidRDefault="007A2F3F" w:rsidP="000D5D6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10000"/>
          <w:highlight w:val="white"/>
        </w:rPr>
      </w:pPr>
    </w:p>
    <w:p w14:paraId="66EB327A" w14:textId="5B5D0E40" w:rsidR="007A2F3F" w:rsidRDefault="00000000" w:rsidP="00352475">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color w:val="010000"/>
          <w:highlight w:val="white"/>
        </w:rPr>
      </w:pP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t xml:space="preserve">       </w:t>
      </w:r>
      <w:r>
        <w:rPr>
          <w:rFonts w:ascii="Palatino Linotype" w:eastAsia="Palatino Linotype" w:hAnsi="Palatino Linotype" w:cs="Palatino Linotype"/>
          <w:color w:val="010000"/>
          <w:highlight w:val="yellow"/>
        </w:rPr>
        <w:t xml:space="preserve"> Hükümlü/Eşi/</w:t>
      </w:r>
      <w:proofErr w:type="spellStart"/>
      <w:r>
        <w:rPr>
          <w:rFonts w:ascii="Palatino Linotype" w:eastAsia="Palatino Linotype" w:hAnsi="Palatino Linotype" w:cs="Palatino Linotype"/>
          <w:color w:val="010000"/>
          <w:highlight w:val="yellow"/>
        </w:rPr>
        <w:t>Müdafii</w:t>
      </w:r>
      <w:proofErr w:type="spellEnd"/>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Pr>
          <w:rFonts w:ascii="Palatino Linotype" w:eastAsia="Palatino Linotype" w:hAnsi="Palatino Linotype" w:cs="Palatino Linotype"/>
          <w:color w:val="010000"/>
          <w:highlight w:val="white"/>
        </w:rPr>
        <w:tab/>
      </w:r>
      <w:r w:rsidR="000D5D69">
        <w:rPr>
          <w:rFonts w:ascii="Palatino Linotype" w:eastAsia="Palatino Linotype" w:hAnsi="Palatino Linotype" w:cs="Palatino Linotype"/>
          <w:color w:val="010000"/>
          <w:highlight w:val="white"/>
        </w:rPr>
        <w:t xml:space="preserve">                    </w:t>
      </w:r>
      <w:r>
        <w:rPr>
          <w:rFonts w:ascii="Palatino Linotype" w:eastAsia="Palatino Linotype" w:hAnsi="Palatino Linotype" w:cs="Palatino Linotype"/>
          <w:color w:val="010000"/>
          <w:highlight w:val="white"/>
        </w:rPr>
        <w:t>İmz</w:t>
      </w:r>
      <w:r w:rsidR="00352475">
        <w:rPr>
          <w:rFonts w:ascii="Palatino Linotype" w:eastAsia="Palatino Linotype" w:hAnsi="Palatino Linotype" w:cs="Palatino Linotype"/>
          <w:color w:val="010000"/>
          <w:highlight w:val="white"/>
        </w:rPr>
        <w:t>a</w:t>
      </w:r>
    </w:p>
    <w:p w14:paraId="000000C5" w14:textId="77777777" w:rsidR="009E0554" w:rsidRDefault="00000000" w:rsidP="00B763D9">
      <w:pPr>
        <w:pBdr>
          <w:top w:val="nil"/>
          <w:left w:val="nil"/>
          <w:bottom w:val="nil"/>
          <w:right w:val="nil"/>
          <w:between w:val="nil"/>
        </w:pBdr>
        <w:tabs>
          <w:tab w:val="left" w:pos="3870"/>
        </w:tabs>
        <w:spacing w:line="23" w:lineRule="atLeast"/>
        <w:ind w:left="630" w:right="-378"/>
        <w:jc w:val="both"/>
        <w:rPr>
          <w:rFonts w:ascii="Palatino Linotype" w:eastAsia="Palatino Linotype" w:hAnsi="Palatino Linotype" w:cs="Palatino Linotype"/>
          <w:b/>
          <w:color w:val="010000"/>
          <w:highlight w:val="white"/>
          <w:u w:val="single"/>
        </w:rPr>
      </w:pPr>
      <w:r>
        <w:rPr>
          <w:rFonts w:ascii="Palatino Linotype" w:eastAsia="Palatino Linotype" w:hAnsi="Palatino Linotype" w:cs="Palatino Linotype"/>
          <w:b/>
          <w:color w:val="010000"/>
          <w:highlight w:val="white"/>
          <w:u w:val="single"/>
        </w:rPr>
        <w:t>EK’LER</w:t>
      </w:r>
    </w:p>
    <w:p w14:paraId="000000C6" w14:textId="77777777" w:rsidR="009E0554" w:rsidRPr="00B979A3"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rPr>
      </w:pPr>
      <w:r w:rsidRPr="00B979A3">
        <w:rPr>
          <w:rFonts w:ascii="Palatino Linotype" w:eastAsia="Palatino Linotype" w:hAnsi="Palatino Linotype" w:cs="Palatino Linotype"/>
          <w:color w:val="000000"/>
        </w:rPr>
        <w:t>Nüfus Aile Kayıt Örneği, </w:t>
      </w:r>
    </w:p>
    <w:p w14:paraId="000000C7" w14:textId="77777777" w:rsidR="009E0554" w:rsidRPr="00B979A3" w:rsidRDefault="00000000" w:rsidP="00B763D9">
      <w:pPr>
        <w:numPr>
          <w:ilvl w:val="0"/>
          <w:numId w:val="2"/>
        </w:numPr>
        <w:pBdr>
          <w:top w:val="nil"/>
          <w:left w:val="nil"/>
          <w:bottom w:val="nil"/>
          <w:right w:val="nil"/>
          <w:between w:val="nil"/>
        </w:pBdr>
        <w:spacing w:line="23" w:lineRule="atLeast"/>
        <w:ind w:left="360" w:firstLine="349"/>
        <w:jc w:val="both"/>
        <w:rPr>
          <w:rFonts w:ascii="Palatino Linotype" w:eastAsia="Palatino Linotype" w:hAnsi="Palatino Linotype" w:cs="Palatino Linotype"/>
          <w:color w:val="000000"/>
        </w:rPr>
      </w:pPr>
      <w:r w:rsidRPr="00B979A3">
        <w:rPr>
          <w:rFonts w:ascii="Palatino Linotype" w:eastAsia="Palatino Linotype" w:hAnsi="Palatino Linotype" w:cs="Palatino Linotype"/>
          <w:color w:val="000000"/>
        </w:rPr>
        <w:t>T.C. Kimlik Fotokopisi,</w:t>
      </w:r>
    </w:p>
    <w:p w14:paraId="000000C8" w14:textId="465075BA" w:rsidR="009E0554" w:rsidRDefault="00000000" w:rsidP="00D669DC">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rPr>
      </w:pPr>
      <w:r w:rsidRPr="00B979A3">
        <w:rPr>
          <w:rFonts w:ascii="Palatino Linotype" w:eastAsia="Palatino Linotype" w:hAnsi="Palatino Linotype" w:cs="Palatino Linotype"/>
          <w:color w:val="000000"/>
        </w:rPr>
        <w:t xml:space="preserve">AİHM’in </w:t>
      </w:r>
      <w:r w:rsidR="00BE5008">
        <w:rPr>
          <w:rFonts w:ascii="Palatino Linotype" w:eastAsia="Palatino Linotype" w:hAnsi="Palatino Linotype" w:cs="Palatino Linotype"/>
          <w:color w:val="000000"/>
        </w:rPr>
        <w:t>Seyhan</w:t>
      </w:r>
      <w:r w:rsidRPr="00B979A3">
        <w:rPr>
          <w:rFonts w:ascii="Palatino Linotype" w:eastAsia="Palatino Linotype" w:hAnsi="Palatino Linotype" w:cs="Palatino Linotype"/>
          <w:color w:val="000000"/>
        </w:rPr>
        <w:t xml:space="preserve"> ve Diğerleri/Türkiye Kararının</w:t>
      </w:r>
      <w:r w:rsidR="00244534">
        <w:rPr>
          <w:rFonts w:ascii="Palatino Linotype" w:eastAsia="Palatino Linotype" w:hAnsi="Palatino Linotype" w:cs="Palatino Linotype"/>
          <w:color w:val="000000"/>
        </w:rPr>
        <w:t xml:space="preserve"> </w:t>
      </w:r>
      <w:proofErr w:type="spellStart"/>
      <w:r w:rsidR="00244534">
        <w:rPr>
          <w:rFonts w:ascii="Palatino Linotype" w:eastAsia="Palatino Linotype" w:hAnsi="Palatino Linotype" w:cs="Palatino Linotype"/>
          <w:color w:val="000000"/>
        </w:rPr>
        <w:t>HUDOC’ya</w:t>
      </w:r>
      <w:proofErr w:type="spellEnd"/>
      <w:r w:rsidR="00244534">
        <w:rPr>
          <w:rFonts w:ascii="Palatino Linotype" w:eastAsia="Palatino Linotype" w:hAnsi="Palatino Linotype" w:cs="Palatino Linotype"/>
          <w:color w:val="000000"/>
        </w:rPr>
        <w:t xml:space="preserve"> yayımlanan</w:t>
      </w:r>
      <w:r w:rsidRPr="00B979A3">
        <w:rPr>
          <w:rFonts w:ascii="Palatino Linotype" w:eastAsia="Palatino Linotype" w:hAnsi="Palatino Linotype" w:cs="Palatino Linotype"/>
          <w:color w:val="000000"/>
        </w:rPr>
        <w:t xml:space="preserve"> Türkçe Çevirisi</w:t>
      </w:r>
      <w:r w:rsidR="00593F88">
        <w:rPr>
          <w:rFonts w:ascii="Palatino Linotype" w:eastAsia="Palatino Linotype" w:hAnsi="Palatino Linotype" w:cs="Palatino Linotype"/>
          <w:color w:val="000000"/>
        </w:rPr>
        <w:t>,</w:t>
      </w:r>
    </w:p>
    <w:p w14:paraId="6F1CC2EB" w14:textId="7651F1D1" w:rsidR="00FC0B37" w:rsidRDefault="00FC0B37" w:rsidP="00D669DC">
      <w:pPr>
        <w:numPr>
          <w:ilvl w:val="0"/>
          <w:numId w:val="2"/>
        </w:numPr>
        <w:pBdr>
          <w:top w:val="nil"/>
          <w:left w:val="nil"/>
          <w:bottom w:val="nil"/>
          <w:right w:val="nil"/>
          <w:between w:val="nil"/>
        </w:pBdr>
        <w:spacing w:line="23" w:lineRule="atLeast"/>
        <w:ind w:left="1418" w:hanging="70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Yasak/Türkiye Büyük Daire karar özeti</w:t>
      </w:r>
      <w:r w:rsidR="005B7BEB">
        <w:rPr>
          <w:rFonts w:ascii="Palatino Linotype" w:eastAsia="Palatino Linotype" w:hAnsi="Palatino Linotype" w:cs="Palatino Linotype"/>
          <w:color w:val="000000"/>
        </w:rPr>
        <w:t>.</w:t>
      </w:r>
    </w:p>
    <w:p w14:paraId="000000CA" w14:textId="77777777" w:rsidR="009E0554" w:rsidRDefault="009E0554" w:rsidP="00B763D9">
      <w:pPr>
        <w:pBdr>
          <w:top w:val="nil"/>
          <w:left w:val="nil"/>
          <w:bottom w:val="nil"/>
          <w:right w:val="nil"/>
          <w:between w:val="nil"/>
        </w:pBdr>
        <w:spacing w:line="23" w:lineRule="atLeast"/>
        <w:jc w:val="both"/>
        <w:rPr>
          <w:rFonts w:ascii="Palatino Linotype" w:eastAsia="Palatino Linotype" w:hAnsi="Palatino Linotype" w:cs="Palatino Linotype"/>
          <w:color w:val="010000"/>
          <w:sz w:val="24"/>
          <w:szCs w:val="24"/>
          <w:highlight w:val="white"/>
        </w:rPr>
      </w:pPr>
    </w:p>
    <w:p w14:paraId="000000CB" w14:textId="77777777" w:rsidR="009E0554" w:rsidRDefault="009E0554"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b/>
          <w:color w:val="010000"/>
          <w:sz w:val="24"/>
          <w:szCs w:val="24"/>
          <w:highlight w:val="white"/>
        </w:rPr>
      </w:pPr>
    </w:p>
    <w:p w14:paraId="000000CC" w14:textId="2D75385B" w:rsidR="009E0554" w:rsidRDefault="00000000" w:rsidP="00B763D9">
      <w:pPr>
        <w:pBdr>
          <w:top w:val="nil"/>
          <w:left w:val="nil"/>
          <w:bottom w:val="nil"/>
          <w:right w:val="nil"/>
          <w:between w:val="nil"/>
        </w:pBdr>
        <w:spacing w:line="23" w:lineRule="atLeast"/>
        <w:ind w:firstLine="708"/>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10000"/>
          <w:sz w:val="24"/>
          <w:szCs w:val="24"/>
          <w:highlight w:val="white"/>
        </w:rPr>
        <w:t>Dikkat:</w:t>
      </w:r>
      <w:r>
        <w:rPr>
          <w:rFonts w:ascii="Palatino Linotype" w:eastAsia="Palatino Linotype" w:hAnsi="Palatino Linotype" w:cs="Palatino Linotype"/>
          <w:color w:val="010000"/>
          <w:sz w:val="24"/>
          <w:szCs w:val="24"/>
          <w:highlight w:val="white"/>
        </w:rPr>
        <w:t xml:space="preserve"> </w:t>
      </w:r>
      <w:r>
        <w:rPr>
          <w:rFonts w:ascii="Palatino Linotype" w:eastAsia="Palatino Linotype" w:hAnsi="Palatino Linotype" w:cs="Palatino Linotype"/>
          <w:color w:val="010000"/>
          <w:sz w:val="24"/>
          <w:szCs w:val="24"/>
          <w:highlight w:val="yellow"/>
        </w:rPr>
        <w:t>Eşlerin 1 ve 2 numaralı belgeleri eklemeleri, başvuru yapan herkesin</w:t>
      </w:r>
      <w:r w:rsidR="00593F88">
        <w:rPr>
          <w:rFonts w:ascii="Palatino Linotype" w:eastAsia="Palatino Linotype" w:hAnsi="Palatino Linotype" w:cs="Palatino Linotype"/>
          <w:color w:val="010000"/>
          <w:sz w:val="24"/>
          <w:szCs w:val="24"/>
          <w:highlight w:val="yellow"/>
        </w:rPr>
        <w:t xml:space="preserve"> de</w:t>
      </w:r>
      <w:r>
        <w:rPr>
          <w:rFonts w:ascii="Palatino Linotype" w:eastAsia="Palatino Linotype" w:hAnsi="Palatino Linotype" w:cs="Palatino Linotype"/>
          <w:color w:val="010000"/>
          <w:sz w:val="24"/>
          <w:szCs w:val="24"/>
          <w:highlight w:val="yellow"/>
        </w:rPr>
        <w:t xml:space="preserve"> 3</w:t>
      </w:r>
      <w:r w:rsidR="00593F88">
        <w:rPr>
          <w:rFonts w:ascii="Palatino Linotype" w:eastAsia="Palatino Linotype" w:hAnsi="Palatino Linotype" w:cs="Palatino Linotype"/>
          <w:color w:val="010000"/>
          <w:sz w:val="24"/>
          <w:szCs w:val="24"/>
          <w:highlight w:val="yellow"/>
        </w:rPr>
        <w:t xml:space="preserve"> ve </w:t>
      </w:r>
      <w:proofErr w:type="gramStart"/>
      <w:r w:rsidR="00593F88">
        <w:rPr>
          <w:rFonts w:ascii="Palatino Linotype" w:eastAsia="Palatino Linotype" w:hAnsi="Palatino Linotype" w:cs="Palatino Linotype"/>
          <w:color w:val="010000"/>
          <w:sz w:val="24"/>
          <w:szCs w:val="24"/>
          <w:highlight w:val="yellow"/>
        </w:rPr>
        <w:t>4</w:t>
      </w:r>
      <w:r>
        <w:rPr>
          <w:rFonts w:ascii="Palatino Linotype" w:eastAsia="Palatino Linotype" w:hAnsi="Palatino Linotype" w:cs="Palatino Linotype"/>
          <w:color w:val="010000"/>
          <w:sz w:val="24"/>
          <w:szCs w:val="24"/>
          <w:highlight w:val="yellow"/>
        </w:rPr>
        <w:t xml:space="preserve">  numaralı</w:t>
      </w:r>
      <w:proofErr w:type="gramEnd"/>
      <w:r>
        <w:rPr>
          <w:rFonts w:ascii="Palatino Linotype" w:eastAsia="Palatino Linotype" w:hAnsi="Palatino Linotype" w:cs="Palatino Linotype"/>
          <w:color w:val="010000"/>
          <w:sz w:val="24"/>
          <w:szCs w:val="24"/>
          <w:highlight w:val="yellow"/>
        </w:rPr>
        <w:t xml:space="preserve"> </w:t>
      </w:r>
      <w:r w:rsidR="00593F88">
        <w:rPr>
          <w:rFonts w:ascii="Palatino Linotype" w:eastAsia="Palatino Linotype" w:hAnsi="Palatino Linotype" w:cs="Palatino Linotype"/>
          <w:color w:val="010000"/>
          <w:sz w:val="24"/>
          <w:szCs w:val="24"/>
          <w:highlight w:val="yellow"/>
        </w:rPr>
        <w:t>evrakları</w:t>
      </w:r>
      <w:r>
        <w:rPr>
          <w:rFonts w:ascii="Palatino Linotype" w:eastAsia="Palatino Linotype" w:hAnsi="Palatino Linotype" w:cs="Palatino Linotype"/>
          <w:color w:val="010000"/>
          <w:sz w:val="24"/>
          <w:szCs w:val="24"/>
          <w:highlight w:val="yellow"/>
        </w:rPr>
        <w:t xml:space="preserve"> eklemesi gerekir.</w:t>
      </w:r>
    </w:p>
    <w:sectPr w:rsidR="009E0554" w:rsidSect="000D5D69">
      <w:footerReference w:type="default" r:id="rId8"/>
      <w:pgSz w:w="11906" w:h="16838"/>
      <w:pgMar w:top="1276" w:right="1416" w:bottom="1134" w:left="99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48A1" w14:textId="77777777" w:rsidR="00524361" w:rsidRDefault="00524361">
      <w:pPr>
        <w:spacing w:after="0" w:line="240" w:lineRule="auto"/>
      </w:pPr>
      <w:r>
        <w:separator/>
      </w:r>
    </w:p>
  </w:endnote>
  <w:endnote w:type="continuationSeparator" w:id="0">
    <w:p w14:paraId="6C160BD0" w14:textId="77777777" w:rsidR="00524361" w:rsidRDefault="0052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CF" w14:textId="6C31B502" w:rsidR="009E0554" w:rsidRDefault="00000000">
    <w:pPr>
      <w:pBdr>
        <w:top w:val="nil"/>
        <w:left w:val="nil"/>
        <w:bottom w:val="nil"/>
        <w:right w:val="nil"/>
        <w:between w:val="nil"/>
      </w:pBdr>
      <w:tabs>
        <w:tab w:val="center" w:pos="4536"/>
        <w:tab w:val="right" w:pos="9072"/>
      </w:tabs>
      <w:spacing w:after="0" w:line="240" w:lineRule="auto"/>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51CE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p>
  <w:p w14:paraId="000000D0" w14:textId="77777777" w:rsidR="009E0554" w:rsidRDefault="009E0554">
    <w:pPr>
      <w:pBdr>
        <w:top w:val="nil"/>
        <w:left w:val="nil"/>
        <w:bottom w:val="nil"/>
        <w:right w:val="nil"/>
        <w:between w:val="nil"/>
      </w:pBdr>
      <w:tabs>
        <w:tab w:val="center" w:pos="4536"/>
        <w:tab w:val="right" w:pos="9072"/>
      </w:tabs>
      <w:spacing w:after="0" w:line="240" w:lineRule="auto"/>
      <w:rPr>
        <w:rFonts w:ascii="Palatino Linotype" w:eastAsia="Palatino Linotype" w:hAnsi="Palatino Linotype" w:cs="Palatino Linotype"/>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7654" w14:textId="77777777" w:rsidR="00524361" w:rsidRDefault="00524361">
      <w:pPr>
        <w:spacing w:after="0" w:line="240" w:lineRule="auto"/>
      </w:pPr>
      <w:r>
        <w:separator/>
      </w:r>
    </w:p>
  </w:footnote>
  <w:footnote w:type="continuationSeparator" w:id="0">
    <w:p w14:paraId="4608E9B6" w14:textId="77777777" w:rsidR="00524361" w:rsidRDefault="00524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96C"/>
    <w:multiLevelType w:val="multilevel"/>
    <w:tmpl w:val="7FD6CA6A"/>
    <w:lvl w:ilvl="0">
      <w:start w:val="2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9B7582A"/>
    <w:multiLevelType w:val="hybridMultilevel"/>
    <w:tmpl w:val="E86CFBA2"/>
    <w:lvl w:ilvl="0" w:tplc="4648A35E">
      <w:start w:val="1"/>
      <w:numFmt w:val="upperLetter"/>
      <w:lvlText w:val="%1."/>
      <w:lvlJc w:val="left"/>
      <w:pPr>
        <w:ind w:left="951" w:hanging="384"/>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A7E4394"/>
    <w:multiLevelType w:val="multilevel"/>
    <w:tmpl w:val="E0CEE4CA"/>
    <w:lvl w:ilvl="0">
      <w:start w:val="26"/>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C547C41"/>
    <w:multiLevelType w:val="multilevel"/>
    <w:tmpl w:val="F7D09E8E"/>
    <w:lvl w:ilvl="0">
      <w:start w:val="40"/>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90D058E"/>
    <w:multiLevelType w:val="multilevel"/>
    <w:tmpl w:val="D74E65DE"/>
    <w:lvl w:ilvl="0">
      <w:start w:val="37"/>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291F336B"/>
    <w:multiLevelType w:val="multilevel"/>
    <w:tmpl w:val="7C9269EA"/>
    <w:lvl w:ilvl="0">
      <w:start w:val="6"/>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299C6E6B"/>
    <w:multiLevelType w:val="multilevel"/>
    <w:tmpl w:val="375ACB82"/>
    <w:lvl w:ilvl="0">
      <w:start w:val="11"/>
      <w:numFmt w:val="decimal"/>
      <w:lvlText w:val="%1."/>
      <w:lvlJc w:val="left"/>
      <w:pPr>
        <w:tabs>
          <w:tab w:val="num" w:pos="720"/>
        </w:tabs>
        <w:ind w:left="720" w:hanging="360"/>
      </w:pPr>
      <w:rPr>
        <w:rFonts w:hint="default"/>
        <w:b/>
        <w:bCs/>
        <w:i w:val="0"/>
        <w:i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6274006"/>
    <w:multiLevelType w:val="multilevel"/>
    <w:tmpl w:val="4C0A7DA6"/>
    <w:lvl w:ilvl="0">
      <w:start w:val="1"/>
      <w:numFmt w:val="decimal"/>
      <w:lvlText w:val="%1."/>
      <w:lvlJc w:val="left"/>
      <w:pPr>
        <w:ind w:left="1320" w:hanging="360"/>
      </w:pPr>
      <w:rPr>
        <w:b/>
        <w:i w:val="0"/>
      </w:r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abstractNum w:abstractNumId="8" w15:restartNumberingAfterBreak="0">
    <w:nsid w:val="373F2868"/>
    <w:multiLevelType w:val="multilevel"/>
    <w:tmpl w:val="C186C1C0"/>
    <w:lvl w:ilvl="0">
      <w:start w:val="29"/>
      <w:numFmt w:val="decimal"/>
      <w:lvlText w:val="%1."/>
      <w:lvlJc w:val="left"/>
      <w:pPr>
        <w:tabs>
          <w:tab w:val="num" w:pos="720"/>
        </w:tabs>
        <w:ind w:left="720" w:hanging="360"/>
      </w:pPr>
      <w:rPr>
        <w:rFonts w:hint="default"/>
        <w:b/>
        <w:bCs/>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F544C35"/>
    <w:multiLevelType w:val="multilevel"/>
    <w:tmpl w:val="4C7CB2A8"/>
    <w:lvl w:ilvl="0">
      <w:start w:val="18"/>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A527E04"/>
    <w:multiLevelType w:val="multilevel"/>
    <w:tmpl w:val="AD923D8C"/>
    <w:lvl w:ilvl="0">
      <w:start w:val="30"/>
      <w:numFmt w:val="decimal"/>
      <w:lvlText w:val="%1."/>
      <w:lvlJc w:val="left"/>
      <w:pPr>
        <w:tabs>
          <w:tab w:val="num" w:pos="720"/>
        </w:tabs>
        <w:ind w:left="720" w:hanging="360"/>
      </w:pPr>
      <w:rPr>
        <w:rFonts w:hint="default"/>
        <w:b/>
        <w:bCs/>
        <w:i w:val="0"/>
        <w:iCs w:val="0"/>
        <w:color w:val="000000" w:themeColor="text1"/>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4E0E23B2"/>
    <w:multiLevelType w:val="multilevel"/>
    <w:tmpl w:val="59602FB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01749E7"/>
    <w:multiLevelType w:val="multilevel"/>
    <w:tmpl w:val="5A4C7B5C"/>
    <w:lvl w:ilvl="0">
      <w:start w:val="3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5FD23FA1"/>
    <w:multiLevelType w:val="multilevel"/>
    <w:tmpl w:val="AF886C18"/>
    <w:lvl w:ilvl="0">
      <w:start w:val="1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619903C3"/>
    <w:multiLevelType w:val="multilevel"/>
    <w:tmpl w:val="E076C4D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9D7438"/>
    <w:multiLevelType w:val="multilevel"/>
    <w:tmpl w:val="407C23BA"/>
    <w:lvl w:ilvl="0">
      <w:start w:val="5"/>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691806C4"/>
    <w:multiLevelType w:val="multilevel"/>
    <w:tmpl w:val="6486DD8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776FEB"/>
    <w:multiLevelType w:val="multilevel"/>
    <w:tmpl w:val="C932F5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256B8A"/>
    <w:multiLevelType w:val="multilevel"/>
    <w:tmpl w:val="3416A964"/>
    <w:lvl w:ilvl="0">
      <w:start w:val="23"/>
      <w:numFmt w:val="decimal"/>
      <w:lvlText w:val="%1."/>
      <w:lvlJc w:val="left"/>
      <w:pPr>
        <w:tabs>
          <w:tab w:val="num" w:pos="720"/>
        </w:tabs>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2140955144">
    <w:abstractNumId w:val="7"/>
  </w:num>
  <w:num w:numId="2" w16cid:durableId="1201943072">
    <w:abstractNumId w:val="11"/>
  </w:num>
  <w:num w:numId="3" w16cid:durableId="545021732">
    <w:abstractNumId w:val="5"/>
  </w:num>
  <w:num w:numId="4" w16cid:durableId="1586528091">
    <w:abstractNumId w:val="1"/>
  </w:num>
  <w:num w:numId="5" w16cid:durableId="1970017339">
    <w:abstractNumId w:val="15"/>
  </w:num>
  <w:num w:numId="6" w16cid:durableId="784348112">
    <w:abstractNumId w:val="6"/>
  </w:num>
  <w:num w:numId="7" w16cid:durableId="2028217377">
    <w:abstractNumId w:val="13"/>
  </w:num>
  <w:num w:numId="8" w16cid:durableId="809783624">
    <w:abstractNumId w:val="9"/>
  </w:num>
  <w:num w:numId="9" w16cid:durableId="565844722">
    <w:abstractNumId w:val="0"/>
  </w:num>
  <w:num w:numId="10" w16cid:durableId="401801699">
    <w:abstractNumId w:val="18"/>
  </w:num>
  <w:num w:numId="11" w16cid:durableId="1615211041">
    <w:abstractNumId w:val="2"/>
  </w:num>
  <w:num w:numId="12" w16cid:durableId="989484163">
    <w:abstractNumId w:val="17"/>
  </w:num>
  <w:num w:numId="13" w16cid:durableId="645356185">
    <w:abstractNumId w:val="16"/>
  </w:num>
  <w:num w:numId="14" w16cid:durableId="935092167">
    <w:abstractNumId w:val="14"/>
  </w:num>
  <w:num w:numId="15" w16cid:durableId="229659918">
    <w:abstractNumId w:val="10"/>
  </w:num>
  <w:num w:numId="16" w16cid:durableId="329871154">
    <w:abstractNumId w:val="12"/>
  </w:num>
  <w:num w:numId="17" w16cid:durableId="2079788309">
    <w:abstractNumId w:val="4"/>
  </w:num>
  <w:num w:numId="18" w16cid:durableId="1328245030">
    <w:abstractNumId w:val="3"/>
  </w:num>
  <w:num w:numId="19" w16cid:durableId="6085866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54"/>
    <w:rsid w:val="00007559"/>
    <w:rsid w:val="000619E6"/>
    <w:rsid w:val="00073CD8"/>
    <w:rsid w:val="000B1DE1"/>
    <w:rsid w:val="000D5D69"/>
    <w:rsid w:val="000E4667"/>
    <w:rsid w:val="00173FAF"/>
    <w:rsid w:val="001B139A"/>
    <w:rsid w:val="001B7936"/>
    <w:rsid w:val="001E2495"/>
    <w:rsid w:val="00224DF3"/>
    <w:rsid w:val="002335C2"/>
    <w:rsid w:val="00244534"/>
    <w:rsid w:val="00277F14"/>
    <w:rsid w:val="002861B2"/>
    <w:rsid w:val="002A0DDA"/>
    <w:rsid w:val="002E5FEF"/>
    <w:rsid w:val="003060B6"/>
    <w:rsid w:val="0032694A"/>
    <w:rsid w:val="00340C74"/>
    <w:rsid w:val="00352475"/>
    <w:rsid w:val="0035450C"/>
    <w:rsid w:val="003945F9"/>
    <w:rsid w:val="0039725D"/>
    <w:rsid w:val="00456CB5"/>
    <w:rsid w:val="00462AB8"/>
    <w:rsid w:val="00471EBE"/>
    <w:rsid w:val="00477C8F"/>
    <w:rsid w:val="00496041"/>
    <w:rsid w:val="004A33CE"/>
    <w:rsid w:val="004A378D"/>
    <w:rsid w:val="00524361"/>
    <w:rsid w:val="005301AF"/>
    <w:rsid w:val="005423E7"/>
    <w:rsid w:val="005664E3"/>
    <w:rsid w:val="00584DB2"/>
    <w:rsid w:val="00585BA6"/>
    <w:rsid w:val="00586784"/>
    <w:rsid w:val="00593F88"/>
    <w:rsid w:val="005B7BEB"/>
    <w:rsid w:val="00643DD9"/>
    <w:rsid w:val="00644FFE"/>
    <w:rsid w:val="0067328A"/>
    <w:rsid w:val="006A066A"/>
    <w:rsid w:val="006A2D1E"/>
    <w:rsid w:val="006D141F"/>
    <w:rsid w:val="006F218A"/>
    <w:rsid w:val="00722181"/>
    <w:rsid w:val="0078480C"/>
    <w:rsid w:val="007A2F3F"/>
    <w:rsid w:val="007A7CFE"/>
    <w:rsid w:val="007B1334"/>
    <w:rsid w:val="007B38DD"/>
    <w:rsid w:val="00841375"/>
    <w:rsid w:val="008C6F11"/>
    <w:rsid w:val="008D55E4"/>
    <w:rsid w:val="008E1E66"/>
    <w:rsid w:val="008E790A"/>
    <w:rsid w:val="00977C24"/>
    <w:rsid w:val="00982F16"/>
    <w:rsid w:val="009E0554"/>
    <w:rsid w:val="009F07BE"/>
    <w:rsid w:val="00A12E7F"/>
    <w:rsid w:val="00B121DE"/>
    <w:rsid w:val="00B21384"/>
    <w:rsid w:val="00B763D9"/>
    <w:rsid w:val="00B86266"/>
    <w:rsid w:val="00B96CFF"/>
    <w:rsid w:val="00B979A3"/>
    <w:rsid w:val="00BE5008"/>
    <w:rsid w:val="00C00613"/>
    <w:rsid w:val="00C60AC7"/>
    <w:rsid w:val="00C73194"/>
    <w:rsid w:val="00CA5A82"/>
    <w:rsid w:val="00CB6888"/>
    <w:rsid w:val="00CD119B"/>
    <w:rsid w:val="00D33617"/>
    <w:rsid w:val="00D53C08"/>
    <w:rsid w:val="00D55AD5"/>
    <w:rsid w:val="00D647B8"/>
    <w:rsid w:val="00D669DC"/>
    <w:rsid w:val="00D72E31"/>
    <w:rsid w:val="00D773C0"/>
    <w:rsid w:val="00DF3D5D"/>
    <w:rsid w:val="00E51CE3"/>
    <w:rsid w:val="00E63E28"/>
    <w:rsid w:val="00EA6B0B"/>
    <w:rsid w:val="00ED5188"/>
    <w:rsid w:val="00F25DB8"/>
    <w:rsid w:val="00F36AA1"/>
    <w:rsid w:val="00F75237"/>
    <w:rsid w:val="00F938E7"/>
    <w:rsid w:val="00F93B56"/>
    <w:rsid w:val="00FC0B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1ADC"/>
  <w15:docId w15:val="{598677FC-E56A-4A3D-AAA8-0B7D8B3BE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240" w:after="0" w:line="256" w:lineRule="auto"/>
      <w:jc w:val="both"/>
      <w:outlineLvl w:val="0"/>
    </w:pPr>
    <w:rPr>
      <w:rFonts w:ascii="Palatino Linotype" w:eastAsia="Palatino Linotype" w:hAnsi="Palatino Linotype" w:cs="Palatino Linotype"/>
      <w:color w:val="000000"/>
      <w:sz w:val="24"/>
      <w:szCs w:val="24"/>
    </w:rPr>
  </w:style>
  <w:style w:type="paragraph" w:styleId="Balk2">
    <w:name w:val="heading 2"/>
    <w:basedOn w:val="Normal"/>
    <w:next w:val="Normal"/>
    <w:uiPriority w:val="9"/>
    <w:semiHidden/>
    <w:unhideWhenUsed/>
    <w:qFormat/>
    <w:pPr>
      <w:keepNext/>
      <w:keepLines/>
      <w:spacing w:before="40" w:after="0" w:line="256" w:lineRule="auto"/>
      <w:ind w:left="927" w:hanging="360"/>
      <w:jc w:val="both"/>
      <w:outlineLvl w:val="1"/>
    </w:pPr>
    <w:rPr>
      <w:rFonts w:ascii="Palatino Linotype" w:eastAsia="Palatino Linotype" w:hAnsi="Palatino Linotype" w:cs="Palatino Linotype"/>
      <w:b/>
      <w:color w:val="000000"/>
    </w:rPr>
  </w:style>
  <w:style w:type="paragraph" w:styleId="Balk3">
    <w:name w:val="heading 3"/>
    <w:basedOn w:val="Normal"/>
    <w:next w:val="Normal"/>
    <w:uiPriority w:val="9"/>
    <w:semiHidden/>
    <w:unhideWhenUsed/>
    <w:qFormat/>
    <w:pPr>
      <w:keepNext/>
      <w:keepLines/>
      <w:spacing w:before="40" w:after="0" w:line="256" w:lineRule="auto"/>
      <w:outlineLvl w:val="2"/>
    </w:pPr>
    <w:rPr>
      <w:rFonts w:ascii="Palatino Linotype" w:eastAsia="Palatino Linotype" w:hAnsi="Palatino Linotype" w:cs="Palatino Linotype"/>
    </w:rPr>
  </w:style>
  <w:style w:type="paragraph" w:styleId="Balk4">
    <w:name w:val="heading 4"/>
    <w:basedOn w:val="Normal"/>
    <w:next w:val="Normal"/>
    <w:uiPriority w:val="9"/>
    <w:semiHidden/>
    <w:unhideWhenUsed/>
    <w:qFormat/>
    <w:pPr>
      <w:keepNext/>
      <w:keepLines/>
      <w:spacing w:before="80" w:after="40"/>
      <w:outlineLvl w:val="3"/>
    </w:pPr>
    <w:rPr>
      <w:b/>
    </w:rPr>
  </w:style>
  <w:style w:type="paragraph" w:styleId="Balk5">
    <w:name w:val="heading 5"/>
    <w:basedOn w:val="Normal"/>
    <w:next w:val="Normal"/>
    <w:uiPriority w:val="9"/>
    <w:semiHidden/>
    <w:unhideWhenUsed/>
    <w:qFormat/>
    <w:pPr>
      <w:keepNext/>
      <w:keepLines/>
      <w:spacing w:before="80" w:after="40"/>
      <w:outlineLvl w:val="4"/>
    </w:pPr>
    <w:rPr>
      <w:color w:val="2F5496"/>
    </w:rPr>
  </w:style>
  <w:style w:type="paragraph" w:styleId="Balk6">
    <w:name w:val="heading 6"/>
    <w:basedOn w:val="Normal"/>
    <w:next w:val="Normal"/>
    <w:uiPriority w:val="9"/>
    <w:semiHidden/>
    <w:unhideWhenUsed/>
    <w:qFormat/>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spacing w:after="80" w:line="240" w:lineRule="auto"/>
    </w:pPr>
    <w:rPr>
      <w:sz w:val="56"/>
      <w:szCs w:val="56"/>
    </w:rPr>
  </w:style>
  <w:style w:type="paragraph" w:styleId="Altyaz">
    <w:name w:val="Subtitle"/>
    <w:basedOn w:val="Normal"/>
    <w:next w:val="Normal"/>
    <w:uiPriority w:val="11"/>
    <w:qFormat/>
    <w:rPr>
      <w:color w:val="595959"/>
      <w:sz w:val="28"/>
      <w:szCs w:val="28"/>
    </w:rPr>
  </w:style>
  <w:style w:type="paragraph" w:styleId="Dzeltme">
    <w:name w:val="Revision"/>
    <w:hidden/>
    <w:uiPriority w:val="99"/>
    <w:semiHidden/>
    <w:rsid w:val="00E51CE3"/>
    <w:pPr>
      <w:spacing w:after="0" w:line="240" w:lineRule="auto"/>
    </w:pPr>
  </w:style>
  <w:style w:type="paragraph" w:styleId="ListeParagraf">
    <w:name w:val="List Paragraph"/>
    <w:basedOn w:val="Normal"/>
    <w:uiPriority w:val="34"/>
    <w:qFormat/>
    <w:rsid w:val="00340C74"/>
    <w:pPr>
      <w:ind w:left="720"/>
      <w:contextualSpacing/>
    </w:pPr>
  </w:style>
  <w:style w:type="paragraph" w:styleId="DipnotMetni">
    <w:name w:val="footnote text"/>
    <w:basedOn w:val="Normal"/>
    <w:link w:val="DipnotMetniChar"/>
    <w:uiPriority w:val="99"/>
    <w:semiHidden/>
    <w:unhideWhenUsed/>
    <w:rsid w:val="0058678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586784"/>
    <w:rPr>
      <w:sz w:val="20"/>
      <w:szCs w:val="20"/>
    </w:rPr>
  </w:style>
  <w:style w:type="character" w:styleId="DipnotBavurusu">
    <w:name w:val="footnote reference"/>
    <w:basedOn w:val="VarsaylanParagrafYazTipi"/>
    <w:uiPriority w:val="99"/>
    <w:semiHidden/>
    <w:unhideWhenUsed/>
    <w:rsid w:val="00586784"/>
    <w:rPr>
      <w:vertAlign w:val="superscript"/>
    </w:rPr>
  </w:style>
  <w:style w:type="paragraph" w:styleId="NormalWeb">
    <w:name w:val="Normal (Web)"/>
    <w:basedOn w:val="Normal"/>
    <w:uiPriority w:val="99"/>
    <w:semiHidden/>
    <w:unhideWhenUsed/>
    <w:rsid w:val="009F07B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91F4F-2032-4AF5-B330-D82F16DE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6137</Words>
  <Characters>34981</Characters>
  <Application>Microsoft Office Word</Application>
  <DocSecurity>0</DocSecurity>
  <Lines>291</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 Y</cp:lastModifiedBy>
  <cp:revision>2</cp:revision>
  <dcterms:created xsi:type="dcterms:W3CDTF">2026-05-15T22:11:00Z</dcterms:created>
  <dcterms:modified xsi:type="dcterms:W3CDTF">2026-05-15T22:11:00Z</dcterms:modified>
</cp:coreProperties>
</file>