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0554" w:rsidRPr="009C541A"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…………AĞIR CEZA MAHKEMESİ BAŞKANLIĞINA</w:t>
      </w:r>
    </w:p>
    <w:p w14:paraId="00000002" w14:textId="77777777" w:rsidR="009E0554" w:rsidRPr="009C541A"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highlight w:val="yellow"/>
        </w:rPr>
        <w:t>(Hükmü veren ilk derece ağır ceza mahkemesinin adı yazılmalı)</w:t>
      </w:r>
    </w:p>
    <w:p w14:paraId="00000003" w14:textId="77777777" w:rsidR="009E0554" w:rsidRPr="009C541A"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 xml:space="preserve">                                                                                                                                           </w:t>
      </w:r>
    </w:p>
    <w:p w14:paraId="00000004" w14:textId="77777777" w:rsidR="009E0554" w:rsidRPr="009C541A" w:rsidRDefault="00000000" w:rsidP="00B763D9">
      <w:pPr>
        <w:tabs>
          <w:tab w:val="left" w:pos="709"/>
          <w:tab w:val="left" w:pos="851"/>
        </w:tabs>
        <w:spacing w:line="23" w:lineRule="atLeast"/>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 xml:space="preserve"> </w:t>
      </w:r>
      <w:r w:rsidRPr="009C541A">
        <w:rPr>
          <w:rFonts w:ascii="Palatino Linotype" w:eastAsia="Palatino Linotype" w:hAnsi="Palatino Linotype" w:cs="Palatino Linotype"/>
          <w:b/>
          <w:color w:val="000000" w:themeColor="text1"/>
          <w:u w:val="single"/>
        </w:rPr>
        <w:t xml:space="preserve">Dosya </w:t>
      </w:r>
      <w:proofErr w:type="gramStart"/>
      <w:r w:rsidRPr="009C541A">
        <w:rPr>
          <w:rFonts w:ascii="Palatino Linotype" w:eastAsia="Palatino Linotype" w:hAnsi="Palatino Linotype" w:cs="Palatino Linotype"/>
          <w:b/>
          <w:color w:val="000000" w:themeColor="text1"/>
          <w:u w:val="single"/>
        </w:rPr>
        <w:t>No:</w:t>
      </w:r>
      <w:r w:rsidRPr="009C541A">
        <w:rPr>
          <w:rFonts w:ascii="Palatino Linotype" w:eastAsia="Palatino Linotype" w:hAnsi="Palatino Linotype" w:cs="Palatino Linotype"/>
          <w:b/>
          <w:color w:val="000000" w:themeColor="text1"/>
        </w:rPr>
        <w:t>…</w:t>
      </w:r>
      <w:proofErr w:type="gramEnd"/>
      <w:r w:rsidRPr="009C541A">
        <w:rPr>
          <w:rFonts w:ascii="Palatino Linotype" w:eastAsia="Palatino Linotype" w:hAnsi="Palatino Linotype" w:cs="Palatino Linotype"/>
          <w:b/>
          <w:color w:val="000000" w:themeColor="text1"/>
        </w:rPr>
        <w:t>/...</w:t>
      </w:r>
      <w:proofErr w:type="gramStart"/>
      <w:r w:rsidRPr="009C541A">
        <w:rPr>
          <w:rFonts w:ascii="Palatino Linotype" w:eastAsia="Palatino Linotype" w:hAnsi="Palatino Linotype" w:cs="Palatino Linotype"/>
          <w:b/>
          <w:color w:val="000000" w:themeColor="text1"/>
        </w:rPr>
        <w:t>E,/</w:t>
      </w:r>
      <w:proofErr w:type="gramEnd"/>
      <w:r w:rsidRPr="009C541A">
        <w:rPr>
          <w:rFonts w:ascii="Palatino Linotype" w:eastAsia="Palatino Linotype" w:hAnsi="Palatino Linotype" w:cs="Palatino Linotype"/>
          <w:b/>
          <w:color w:val="000000" w:themeColor="text1"/>
        </w:rPr>
        <w:t xml:space="preserve">… K.  </w:t>
      </w:r>
      <w:r w:rsidRPr="009C541A">
        <w:rPr>
          <w:rFonts w:ascii="Palatino Linotype" w:eastAsia="Palatino Linotype" w:hAnsi="Palatino Linotype" w:cs="Palatino Linotype"/>
          <w:b/>
          <w:color w:val="000000" w:themeColor="text1"/>
          <w:highlight w:val="yellow"/>
        </w:rPr>
        <w:t>(İlk derece mahkemesi dava dosya numarası yazılmalı)</w:t>
      </w:r>
    </w:p>
    <w:p w14:paraId="00000005" w14:textId="77777777" w:rsidR="009E0554" w:rsidRPr="009C541A" w:rsidRDefault="009E0554" w:rsidP="00B763D9">
      <w:pPr>
        <w:tabs>
          <w:tab w:val="left" w:pos="709"/>
          <w:tab w:val="left" w:pos="851"/>
        </w:tabs>
        <w:spacing w:line="23" w:lineRule="atLeast"/>
        <w:rPr>
          <w:rFonts w:ascii="Palatino Linotype" w:eastAsia="Palatino Linotype" w:hAnsi="Palatino Linotype" w:cs="Palatino Linotype"/>
          <w:b/>
          <w:color w:val="000000" w:themeColor="text1"/>
        </w:rPr>
      </w:pPr>
    </w:p>
    <w:p w14:paraId="00000006" w14:textId="77777777" w:rsidR="009E0554" w:rsidRPr="009C541A" w:rsidRDefault="009E0554"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p>
    <w:p w14:paraId="00000007" w14:textId="77777777" w:rsidR="009E0554" w:rsidRPr="009C541A"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u w:val="single"/>
        </w:rPr>
        <w:t xml:space="preserve">Talepte Bulunan Hükümlü                       </w:t>
      </w:r>
      <w:proofErr w:type="gramStart"/>
      <w:r w:rsidRPr="009C541A">
        <w:rPr>
          <w:rFonts w:ascii="Palatino Linotype" w:eastAsia="Palatino Linotype" w:hAnsi="Palatino Linotype" w:cs="Palatino Linotype"/>
          <w:b/>
          <w:color w:val="000000" w:themeColor="text1"/>
          <w:u w:val="single"/>
        </w:rPr>
        <w:t xml:space="preserve">  :</w:t>
      </w:r>
      <w:proofErr w:type="gramEnd"/>
      <w:r w:rsidRPr="009C541A">
        <w:rPr>
          <w:rFonts w:ascii="Palatino Linotype" w:eastAsia="Palatino Linotype" w:hAnsi="Palatino Linotype" w:cs="Palatino Linotype"/>
          <w:b/>
          <w:color w:val="000000" w:themeColor="text1"/>
          <w:u w:val="single"/>
        </w:rPr>
        <w:t xml:space="preserve"> </w:t>
      </w:r>
    </w:p>
    <w:p w14:paraId="00000008" w14:textId="77777777" w:rsidR="009E0554" w:rsidRPr="009C541A"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u w:val="single"/>
        </w:rPr>
      </w:pPr>
      <w:r w:rsidRPr="009C541A">
        <w:rPr>
          <w:rFonts w:ascii="Palatino Linotype" w:eastAsia="Palatino Linotype" w:hAnsi="Palatino Linotype" w:cs="Palatino Linotype"/>
          <w:b/>
          <w:color w:val="000000" w:themeColor="text1"/>
        </w:rPr>
        <w:t xml:space="preserve">Talepte Bulunan                                     </w:t>
      </w:r>
      <w:proofErr w:type="gramStart"/>
      <w:r w:rsidRPr="009C541A">
        <w:rPr>
          <w:rFonts w:ascii="Palatino Linotype" w:eastAsia="Palatino Linotype" w:hAnsi="Palatino Linotype" w:cs="Palatino Linotype"/>
          <w:b/>
          <w:color w:val="000000" w:themeColor="text1"/>
        </w:rPr>
        <w:t xml:space="preserve">  :</w:t>
      </w:r>
      <w:proofErr w:type="gramEnd"/>
      <w:r w:rsidRPr="009C541A">
        <w:rPr>
          <w:rFonts w:ascii="Palatino Linotype" w:eastAsia="Palatino Linotype" w:hAnsi="Palatino Linotype" w:cs="Palatino Linotype"/>
          <w:b/>
          <w:color w:val="000000" w:themeColor="text1"/>
        </w:rPr>
        <w:t xml:space="preserve"> </w:t>
      </w:r>
      <w:r w:rsidRPr="009C541A">
        <w:rPr>
          <w:rFonts w:ascii="Palatino Linotype" w:eastAsia="Palatino Linotype" w:hAnsi="Palatino Linotype" w:cs="Palatino Linotype"/>
          <w:b/>
          <w:color w:val="000000" w:themeColor="text1"/>
          <w:highlight w:val="yellow"/>
        </w:rPr>
        <w:t>(Vasi ya da eş talepte bulunuyorsa, o kişinin bilgileri.  Eğer kişi kendisi başvuru yapacaksa bu kısmı doldurmaya gerek yok)</w:t>
      </w:r>
    </w:p>
    <w:p w14:paraId="64B47E67" w14:textId="437EE513" w:rsidR="00E51CE3" w:rsidRPr="009C541A" w:rsidRDefault="00000000"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b/>
          <w:color w:val="000000" w:themeColor="text1"/>
          <w:u w:val="single"/>
        </w:rPr>
        <w:t xml:space="preserve">Talep Konusu                                      </w:t>
      </w:r>
      <w:proofErr w:type="gramStart"/>
      <w:r w:rsidRPr="009C541A">
        <w:rPr>
          <w:rFonts w:ascii="Palatino Linotype" w:eastAsia="Palatino Linotype" w:hAnsi="Palatino Linotype" w:cs="Palatino Linotype"/>
          <w:b/>
          <w:color w:val="000000" w:themeColor="text1"/>
          <w:u w:val="single"/>
        </w:rPr>
        <w:tab/>
        <w:t xml:space="preserve"> :</w:t>
      </w:r>
      <w:proofErr w:type="gramEnd"/>
      <w:r w:rsidRPr="009C541A">
        <w:rPr>
          <w:rFonts w:ascii="Palatino Linotype" w:eastAsia="Palatino Linotype" w:hAnsi="Palatino Linotype" w:cs="Palatino Linotype"/>
          <w:b/>
          <w:color w:val="000000" w:themeColor="text1"/>
        </w:rPr>
        <w:t xml:space="preserve">  </w:t>
      </w:r>
      <w:r w:rsidRPr="009C541A">
        <w:rPr>
          <w:rFonts w:ascii="Palatino Linotype" w:eastAsia="Palatino Linotype" w:hAnsi="Palatino Linotype" w:cs="Palatino Linotype"/>
          <w:color w:val="000000" w:themeColor="text1"/>
        </w:rPr>
        <w:t xml:space="preserve">Avrupa İnsan Hakları Mahkemesi’nin (AİHM) </w:t>
      </w:r>
      <w:r w:rsidR="006D141F" w:rsidRPr="009C541A">
        <w:rPr>
          <w:rFonts w:ascii="Palatino Linotype" w:eastAsia="Palatino Linotype" w:hAnsi="Palatino Linotype" w:cs="Palatino Linotype"/>
          <w:b/>
          <w:bCs/>
          <w:color w:val="000000" w:themeColor="text1"/>
        </w:rPr>
        <w:t>Bozyokuş</w:t>
      </w:r>
      <w:r w:rsidR="00073CD8" w:rsidRPr="009C541A">
        <w:rPr>
          <w:rFonts w:ascii="Palatino Linotype" w:eastAsia="Palatino Linotype" w:hAnsi="Palatino Linotype" w:cs="Palatino Linotype"/>
          <w:b/>
          <w:bCs/>
          <w:color w:val="000000" w:themeColor="text1"/>
        </w:rPr>
        <w:t xml:space="preserve"> </w:t>
      </w:r>
      <w:r w:rsidRPr="009C541A">
        <w:rPr>
          <w:rFonts w:ascii="Palatino Linotype" w:eastAsia="Palatino Linotype" w:hAnsi="Palatino Linotype" w:cs="Palatino Linotype"/>
          <w:b/>
          <w:bCs/>
          <w:color w:val="000000" w:themeColor="text1"/>
        </w:rPr>
        <w:t>ve Diğerleri/Türkiye</w:t>
      </w:r>
      <w:r w:rsidRPr="009C541A">
        <w:rPr>
          <w:rFonts w:ascii="Palatino Linotype" w:eastAsia="Palatino Linotype" w:hAnsi="Palatino Linotype" w:cs="Palatino Linotype"/>
          <w:color w:val="000000" w:themeColor="text1"/>
        </w:rPr>
        <w:t xml:space="preserve"> </w:t>
      </w:r>
      <w:r w:rsidR="00E51CE3" w:rsidRPr="009C541A">
        <w:rPr>
          <w:rFonts w:ascii="Palatino Linotype" w:eastAsia="Palatino Linotype" w:hAnsi="Palatino Linotype" w:cs="Palatino Linotype"/>
          <w:color w:val="000000" w:themeColor="text1"/>
        </w:rPr>
        <w:t>başvurusunda</w:t>
      </w:r>
      <w:r w:rsidRPr="009C541A">
        <w:rPr>
          <w:rFonts w:ascii="Palatino Linotype" w:eastAsia="Palatino Linotype" w:hAnsi="Palatino Linotype" w:cs="Palatino Linotype"/>
          <w:color w:val="000000" w:themeColor="text1"/>
        </w:rPr>
        <w:t>, AİHS’in 6 ve 7. maddelerinden verdiği ihlal kararı</w:t>
      </w:r>
      <w:r w:rsidR="00562CC6" w:rsidRPr="009C541A">
        <w:rPr>
          <w:rFonts w:ascii="Palatino Linotype" w:eastAsia="Palatino Linotype" w:hAnsi="Palatino Linotype" w:cs="Palatino Linotype"/>
          <w:color w:val="000000" w:themeColor="text1"/>
        </w:rPr>
        <w:t xml:space="preserve"> </w:t>
      </w:r>
      <w:r w:rsidR="00562CC6" w:rsidRPr="009C541A">
        <w:rPr>
          <w:rFonts w:ascii="Palatino Linotype" w:hAnsi="Palatino Linotype"/>
          <w:b/>
          <w:bCs/>
          <w:color w:val="000000" w:themeColor="text1"/>
        </w:rPr>
        <w:t>ve Yasak</w:t>
      </w:r>
      <w:r w:rsidR="00FC7B65">
        <w:rPr>
          <w:rFonts w:ascii="Palatino Linotype" w:hAnsi="Palatino Linotype"/>
          <w:b/>
          <w:bCs/>
          <w:color w:val="000000" w:themeColor="text1"/>
        </w:rPr>
        <w:t>/</w:t>
      </w:r>
      <w:r w:rsidR="00562CC6" w:rsidRPr="009C541A">
        <w:rPr>
          <w:rFonts w:ascii="Palatino Linotype" w:hAnsi="Palatino Linotype"/>
          <w:b/>
          <w:bCs/>
          <w:color w:val="000000" w:themeColor="text1"/>
        </w:rPr>
        <w:t>Türkiye Büyük Daire Kararı</w:t>
      </w:r>
      <w:r w:rsidRPr="009C541A">
        <w:rPr>
          <w:rFonts w:ascii="Palatino Linotype" w:eastAsia="Palatino Linotype" w:hAnsi="Palatino Linotype" w:cs="Palatino Linotype"/>
          <w:color w:val="000000" w:themeColor="text1"/>
        </w:rPr>
        <w:t xml:space="preserve"> sonrası, Mahkemenizin …………. </w:t>
      </w:r>
      <w:r w:rsidR="00E51CE3" w:rsidRPr="009C541A">
        <w:rPr>
          <w:rFonts w:ascii="Palatino Linotype" w:eastAsia="Palatino Linotype" w:hAnsi="Palatino Linotype" w:cs="Palatino Linotype"/>
          <w:color w:val="000000" w:themeColor="text1"/>
        </w:rPr>
        <w:t>T</w:t>
      </w:r>
      <w:r w:rsidRPr="009C541A">
        <w:rPr>
          <w:rFonts w:ascii="Palatino Linotype" w:eastAsia="Palatino Linotype" w:hAnsi="Palatino Linotype" w:cs="Palatino Linotype"/>
          <w:color w:val="000000" w:themeColor="text1"/>
        </w:rPr>
        <w:t>arih</w:t>
      </w:r>
      <w:r w:rsidR="00E51CE3" w:rsidRPr="009C541A">
        <w:rPr>
          <w:rFonts w:ascii="Palatino Linotype" w:eastAsia="Palatino Linotype" w:hAnsi="Palatino Linotype" w:cs="Palatino Linotype"/>
          <w:color w:val="000000" w:themeColor="text1"/>
        </w:rPr>
        <w:t>li,</w:t>
      </w:r>
      <w:r w:rsidRPr="009C541A">
        <w:rPr>
          <w:rFonts w:ascii="Palatino Linotype" w:eastAsia="Palatino Linotype" w:hAnsi="Palatino Linotype" w:cs="Palatino Linotype"/>
          <w:color w:val="000000" w:themeColor="text1"/>
        </w:rPr>
        <w:t xml:space="preserve"> ………. E. </w:t>
      </w:r>
      <w:r w:rsidR="00E51CE3" w:rsidRPr="009C541A">
        <w:rPr>
          <w:rFonts w:ascii="Palatino Linotype" w:eastAsia="Palatino Linotype" w:hAnsi="Palatino Linotype" w:cs="Palatino Linotype"/>
          <w:color w:val="000000" w:themeColor="text1"/>
        </w:rPr>
        <w:t xml:space="preserve">ve </w:t>
      </w:r>
      <w:r w:rsidRPr="009C541A">
        <w:rPr>
          <w:rFonts w:ascii="Palatino Linotype" w:eastAsia="Palatino Linotype" w:hAnsi="Palatino Linotype" w:cs="Palatino Linotype"/>
          <w:color w:val="000000" w:themeColor="text1"/>
        </w:rPr>
        <w:t>…</w:t>
      </w:r>
      <w:proofErr w:type="gramStart"/>
      <w:r w:rsidRPr="009C541A">
        <w:rPr>
          <w:rFonts w:ascii="Palatino Linotype" w:eastAsia="Palatino Linotype" w:hAnsi="Palatino Linotype" w:cs="Palatino Linotype"/>
          <w:color w:val="000000" w:themeColor="text1"/>
        </w:rPr>
        <w:t>…….</w:t>
      </w:r>
      <w:proofErr w:type="gramEnd"/>
      <w:r w:rsidRPr="009C541A">
        <w:rPr>
          <w:rFonts w:ascii="Palatino Linotype" w:eastAsia="Palatino Linotype" w:hAnsi="Palatino Linotype" w:cs="Palatino Linotype"/>
          <w:color w:val="000000" w:themeColor="text1"/>
        </w:rPr>
        <w:t xml:space="preserve">.K.  </w:t>
      </w:r>
      <w:proofErr w:type="gramStart"/>
      <w:r w:rsidRPr="009C541A">
        <w:rPr>
          <w:rFonts w:ascii="Palatino Linotype" w:eastAsia="Palatino Linotype" w:hAnsi="Palatino Linotype" w:cs="Palatino Linotype"/>
          <w:color w:val="000000" w:themeColor="text1"/>
        </w:rPr>
        <w:t>sayılı</w:t>
      </w:r>
      <w:proofErr w:type="gramEnd"/>
      <w:r w:rsidR="00E51CE3" w:rsidRPr="009C541A">
        <w:rPr>
          <w:rFonts w:ascii="Palatino Linotype" w:eastAsia="Palatino Linotype" w:hAnsi="Palatino Linotype" w:cs="Palatino Linotype"/>
          <w:color w:val="000000" w:themeColor="text1"/>
        </w:rPr>
        <w:t xml:space="preserve"> </w:t>
      </w:r>
      <w:r w:rsidRPr="009C541A">
        <w:rPr>
          <w:rFonts w:ascii="Palatino Linotype" w:eastAsia="Palatino Linotype" w:hAnsi="Palatino Linotype" w:cs="Palatino Linotype"/>
          <w:color w:val="000000" w:themeColor="text1"/>
        </w:rPr>
        <w:t>kesinleşmiş kararın</w:t>
      </w:r>
      <w:r w:rsidR="00E51CE3" w:rsidRPr="009C541A">
        <w:rPr>
          <w:rFonts w:ascii="Palatino Linotype" w:eastAsia="Palatino Linotype" w:hAnsi="Palatino Linotype" w:cs="Palatino Linotype"/>
          <w:color w:val="000000" w:themeColor="text1"/>
        </w:rPr>
        <w:t>;</w:t>
      </w:r>
    </w:p>
    <w:p w14:paraId="5B1F6CB8" w14:textId="7DFF80FE" w:rsidR="00E51CE3" w:rsidRPr="009C541A"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t xml:space="preserve">- </w:t>
      </w:r>
      <w:r w:rsidR="007A7CFE" w:rsidRPr="009C541A">
        <w:rPr>
          <w:rFonts w:ascii="Palatino Linotype" w:eastAsia="Palatino Linotype" w:hAnsi="Palatino Linotype" w:cs="Palatino Linotype"/>
          <w:color w:val="000000" w:themeColor="text1"/>
        </w:rPr>
        <w:t>Ö</w:t>
      </w:r>
      <w:r w:rsidRPr="009C541A">
        <w:rPr>
          <w:rFonts w:ascii="Palatino Linotype" w:eastAsia="Palatino Linotype" w:hAnsi="Palatino Linotype" w:cs="Palatino Linotype"/>
          <w:color w:val="000000" w:themeColor="text1"/>
        </w:rPr>
        <w:t xml:space="preserve">ncelikle </w:t>
      </w:r>
      <w:r w:rsidRPr="009C541A">
        <w:rPr>
          <w:rFonts w:ascii="Palatino Linotype" w:eastAsia="Palatino Linotype" w:hAnsi="Palatino Linotype" w:cs="Palatino Linotype"/>
          <w:b/>
          <w:color w:val="000000" w:themeColor="text1"/>
        </w:rPr>
        <w:t>CMK’nın 311/1-f maddesi uyarınca yeniden yargılamaya konu yapılmasına,</w:t>
      </w:r>
      <w:r w:rsidRPr="009C541A">
        <w:rPr>
          <w:rFonts w:ascii="Palatino Linotype" w:eastAsia="Palatino Linotype" w:hAnsi="Palatino Linotype" w:cs="Palatino Linotype"/>
          <w:color w:val="000000" w:themeColor="text1"/>
        </w:rPr>
        <w:t xml:space="preserve"> </w:t>
      </w:r>
    </w:p>
    <w:p w14:paraId="61F3B2E8" w14:textId="77777777" w:rsidR="009A3ECB" w:rsidRPr="009C541A" w:rsidRDefault="00E51CE3" w:rsidP="009A3ECB">
      <w:pPr>
        <w:tabs>
          <w:tab w:val="left" w:pos="851"/>
        </w:tabs>
        <w:spacing w:line="23" w:lineRule="atLeast"/>
        <w:ind w:left="3969" w:hanging="2976"/>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ab/>
        <w:t xml:space="preserve">- </w:t>
      </w:r>
      <w:r w:rsidR="007A7CFE" w:rsidRPr="009C541A">
        <w:rPr>
          <w:rFonts w:ascii="Palatino Linotype" w:eastAsia="Palatino Linotype" w:hAnsi="Palatino Linotype" w:cs="Palatino Linotype"/>
          <w:color w:val="000000" w:themeColor="text1"/>
        </w:rPr>
        <w:t>A</w:t>
      </w:r>
      <w:r w:rsidRPr="009C541A">
        <w:rPr>
          <w:rFonts w:ascii="Palatino Linotype" w:eastAsia="Palatino Linotype" w:hAnsi="Palatino Linotype" w:cs="Palatino Linotype"/>
          <w:color w:val="000000" w:themeColor="text1"/>
        </w:rPr>
        <w:t xml:space="preserve">kabinde ise suçun yasal unsurları oluşmadan </w:t>
      </w:r>
      <w:proofErr w:type="gramStart"/>
      <w:r w:rsidRPr="009C541A">
        <w:rPr>
          <w:rFonts w:ascii="Palatino Linotype" w:eastAsia="Palatino Linotype" w:hAnsi="Palatino Linotype" w:cs="Palatino Linotype"/>
          <w:color w:val="000000" w:themeColor="text1"/>
        </w:rPr>
        <w:t>mahkumiyet</w:t>
      </w:r>
      <w:proofErr w:type="gramEnd"/>
      <w:r w:rsidRPr="009C541A">
        <w:rPr>
          <w:rFonts w:ascii="Palatino Linotype" w:eastAsia="Palatino Linotype" w:hAnsi="Palatino Linotype" w:cs="Palatino Linotype"/>
          <w:color w:val="000000" w:themeColor="text1"/>
        </w:rPr>
        <w:t xml:space="preserve"> kararı verildiği AİHM kararı ile tespit edildiğinden dolayı derhal </w:t>
      </w:r>
      <w:r w:rsidRPr="009C541A">
        <w:rPr>
          <w:rFonts w:ascii="Palatino Linotype" w:eastAsia="Palatino Linotype" w:hAnsi="Palatino Linotype" w:cs="Palatino Linotype"/>
          <w:color w:val="000000" w:themeColor="text1"/>
          <w:highlight w:val="yellow"/>
        </w:rPr>
        <w:t>beraatıma/eşimin/vasisi olduğum</w:t>
      </w:r>
      <w:proofErr w:type="gramStart"/>
      <w:r w:rsidRPr="009C541A">
        <w:rPr>
          <w:rFonts w:ascii="Palatino Linotype" w:eastAsia="Palatino Linotype" w:hAnsi="Palatino Linotype" w:cs="Palatino Linotype"/>
          <w:color w:val="000000" w:themeColor="text1"/>
          <w:highlight w:val="yellow"/>
        </w:rPr>
        <w:t xml:space="preserve"> ....</w:t>
      </w:r>
      <w:proofErr w:type="gramEnd"/>
      <w:r w:rsidRPr="009C541A">
        <w:rPr>
          <w:rFonts w:ascii="Palatino Linotype" w:eastAsia="Palatino Linotype" w:hAnsi="Palatino Linotype" w:cs="Palatino Linotype"/>
          <w:color w:val="000000" w:themeColor="text1"/>
          <w:highlight w:val="yellow"/>
        </w:rPr>
        <w:t>’in/müvekkilin beraatına</w:t>
      </w:r>
      <w:r w:rsidRPr="009C541A">
        <w:rPr>
          <w:rFonts w:ascii="Palatino Linotype" w:eastAsia="Palatino Linotype" w:hAnsi="Palatino Linotype" w:cs="Palatino Linotype"/>
          <w:color w:val="000000" w:themeColor="text1"/>
        </w:rPr>
        <w:t xml:space="preserve"> karar verilmesine</w:t>
      </w:r>
      <w:r w:rsidR="009A3ECB" w:rsidRPr="009C541A">
        <w:rPr>
          <w:rFonts w:ascii="Palatino Linotype" w:eastAsia="Palatino Linotype" w:hAnsi="Palatino Linotype" w:cs="Palatino Linotype"/>
          <w:color w:val="000000" w:themeColor="text1"/>
        </w:rPr>
        <w:t>,</w:t>
      </w:r>
    </w:p>
    <w:p w14:paraId="0AC4779E" w14:textId="519E95BA" w:rsidR="009A3ECB" w:rsidRPr="009C541A" w:rsidRDefault="009A3ECB" w:rsidP="009A3ECB">
      <w:pPr>
        <w:tabs>
          <w:tab w:val="left" w:pos="851"/>
        </w:tabs>
        <w:spacing w:line="23" w:lineRule="atLeast"/>
        <w:ind w:left="3969" w:hanging="2976"/>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ab/>
        <w:t>- Y</w:t>
      </w:r>
      <w:r w:rsidR="00E51CE3" w:rsidRPr="009C541A">
        <w:rPr>
          <w:rFonts w:ascii="Palatino Linotype" w:eastAsia="Palatino Linotype" w:hAnsi="Palatino Linotype" w:cs="Palatino Linotype"/>
          <w:color w:val="000000" w:themeColor="text1"/>
        </w:rPr>
        <w:t xml:space="preserve">argılama sonuna kadar </w:t>
      </w:r>
      <w:r w:rsidR="00E51CE3" w:rsidRPr="009C541A">
        <w:rPr>
          <w:rFonts w:ascii="Palatino Linotype" w:eastAsia="Palatino Linotype" w:hAnsi="Palatino Linotype" w:cs="Palatino Linotype"/>
          <w:color w:val="000000" w:themeColor="text1"/>
          <w:highlight w:val="yellow"/>
        </w:rPr>
        <w:t xml:space="preserve">infazın/infazını (ilgili kişi </w:t>
      </w:r>
      <w:proofErr w:type="spellStart"/>
      <w:r w:rsidR="00E51CE3" w:rsidRPr="009C541A">
        <w:rPr>
          <w:rFonts w:ascii="Palatino Linotype" w:eastAsia="Palatino Linotype" w:hAnsi="Palatino Linotype" w:cs="Palatino Linotype"/>
          <w:color w:val="000000" w:themeColor="text1"/>
          <w:highlight w:val="yellow"/>
        </w:rPr>
        <w:t>tutkluysa</w:t>
      </w:r>
      <w:proofErr w:type="spellEnd"/>
      <w:r w:rsidR="00E51CE3" w:rsidRPr="009C541A">
        <w:rPr>
          <w:rFonts w:ascii="Palatino Linotype" w:eastAsia="Palatino Linotype" w:hAnsi="Palatino Linotype" w:cs="Palatino Linotype"/>
          <w:color w:val="000000" w:themeColor="text1"/>
          <w:highlight w:val="yellow"/>
        </w:rPr>
        <w:t>)</w:t>
      </w:r>
      <w:r w:rsidR="00E51CE3" w:rsidRPr="009C541A">
        <w:rPr>
          <w:rFonts w:ascii="Palatino Linotype" w:eastAsia="Palatino Linotype" w:hAnsi="Palatino Linotype" w:cs="Palatino Linotype"/>
          <w:color w:val="000000" w:themeColor="text1"/>
        </w:rPr>
        <w:t xml:space="preserve"> tedbiren durdurulmasına,</w:t>
      </w:r>
      <w:r w:rsidRPr="009C541A">
        <w:rPr>
          <w:rFonts w:ascii="Palatino Linotype" w:eastAsia="Palatino Linotype" w:hAnsi="Palatino Linotype" w:cs="Palatino Linotype"/>
          <w:color w:val="000000" w:themeColor="text1"/>
        </w:rPr>
        <w:t xml:space="preserve">                                                              </w:t>
      </w:r>
    </w:p>
    <w:p w14:paraId="509ABDA9" w14:textId="0062164B" w:rsidR="009A3ECB" w:rsidRPr="009C541A" w:rsidRDefault="009A3ECB" w:rsidP="009A3ECB">
      <w:pPr>
        <w:tabs>
          <w:tab w:val="left" w:pos="851"/>
        </w:tabs>
        <w:spacing w:line="23" w:lineRule="atLeast"/>
        <w:ind w:left="3969" w:hanging="2976"/>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rPr>
        <w:tab/>
        <w:t>- A</w:t>
      </w:r>
      <w:r w:rsidRPr="009C541A">
        <w:rPr>
          <w:rFonts w:ascii="Palatino Linotype" w:eastAsia="Palatino Linotype" w:hAnsi="Palatino Linotype" w:cs="Palatino Linotype"/>
          <w:color w:val="000000" w:themeColor="text1"/>
          <w:lang w:val="tr-TR"/>
        </w:rPr>
        <w:t>dli Sicil Yönetmeli</w:t>
      </w:r>
      <w:r w:rsidR="00FC7B65">
        <w:rPr>
          <w:rFonts w:ascii="Palatino Linotype" w:eastAsia="Palatino Linotype" w:hAnsi="Palatino Linotype" w:cs="Palatino Linotype"/>
          <w:color w:val="000000" w:themeColor="text1"/>
          <w:lang w:val="tr-TR"/>
        </w:rPr>
        <w:t>ğ</w:t>
      </w:r>
      <w:r w:rsidRPr="009C541A">
        <w:rPr>
          <w:rFonts w:ascii="Palatino Linotype" w:eastAsia="Palatino Linotype" w:hAnsi="Palatino Linotype" w:cs="Palatino Linotype"/>
          <w:color w:val="000000" w:themeColor="text1"/>
          <w:lang w:val="tr-TR"/>
        </w:rPr>
        <w:t>inin 3. ve 13/3. maddesi gere</w:t>
      </w:r>
      <w:r w:rsidR="00FC7B65">
        <w:rPr>
          <w:rFonts w:ascii="Palatino Linotype" w:eastAsia="Palatino Linotype" w:hAnsi="Palatino Linotype" w:cs="Palatino Linotype"/>
          <w:color w:val="000000" w:themeColor="text1"/>
          <w:lang w:val="tr-TR"/>
        </w:rPr>
        <w:t>ğ</w:t>
      </w:r>
      <w:r w:rsidRPr="009C541A">
        <w:rPr>
          <w:rFonts w:ascii="Palatino Linotype" w:eastAsia="Palatino Linotype" w:hAnsi="Palatino Linotype" w:cs="Palatino Linotype"/>
          <w:color w:val="000000" w:themeColor="text1"/>
          <w:lang w:val="tr-TR"/>
        </w:rPr>
        <w:t xml:space="preserve">ince tali karar fişi </w:t>
      </w:r>
      <w:r w:rsidRPr="009C541A">
        <w:rPr>
          <w:rFonts w:ascii="Palatino Linotype" w:eastAsia="Palatino Linotype" w:hAnsi="Palatino Linotype" w:cs="Palatino Linotype"/>
          <w:b/>
          <w:bCs/>
          <w:color w:val="000000" w:themeColor="text1"/>
          <w:lang w:val="tr-TR"/>
        </w:rPr>
        <w:t>DÜZENLENMESİNE,</w:t>
      </w:r>
      <w:r w:rsidRPr="009C541A">
        <w:rPr>
          <w:rFonts w:ascii="Palatino Linotype" w:eastAsia="Palatino Linotype" w:hAnsi="Palatino Linotype" w:cs="Palatino Linotype"/>
          <w:color w:val="000000" w:themeColor="text1"/>
          <w:lang w:val="tr-TR"/>
        </w:rPr>
        <w:t xml:space="preserve"> </w:t>
      </w:r>
      <w:r w:rsidRPr="009C541A">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Pr="009C541A">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FC7B65">
        <w:rPr>
          <w:rFonts w:ascii="Palatino Linotype" w:eastAsia="Palatino Linotype" w:hAnsi="Palatino Linotype" w:cs="Palatino Linotype"/>
          <w:color w:val="000000" w:themeColor="text1"/>
          <w:lang w:val="tr-TR"/>
        </w:rPr>
        <w:t>ğ</w:t>
      </w:r>
      <w:r w:rsidRPr="009C541A">
        <w:rPr>
          <w:rFonts w:ascii="Palatino Linotype" w:eastAsia="Palatino Linotype" w:hAnsi="Palatino Linotype" w:cs="Palatino Linotype"/>
          <w:color w:val="000000" w:themeColor="text1"/>
          <w:lang w:val="tr-TR"/>
        </w:rPr>
        <w:t xml:space="preserve">üne </w:t>
      </w:r>
      <w:r w:rsidRPr="009C541A">
        <w:rPr>
          <w:rFonts w:ascii="Palatino Linotype" w:eastAsia="Palatino Linotype" w:hAnsi="Palatino Linotype" w:cs="Palatino Linotype"/>
          <w:b/>
          <w:bCs/>
          <w:color w:val="000000" w:themeColor="text1"/>
          <w:lang w:val="tr-TR"/>
        </w:rPr>
        <w:t xml:space="preserve">GÖNDERİLMESİNE,                                                                       </w:t>
      </w:r>
    </w:p>
    <w:p w14:paraId="5588CA68" w14:textId="4DFDF6F7" w:rsidR="00E51CE3" w:rsidRPr="009C541A" w:rsidRDefault="009A3ECB" w:rsidP="009A3ECB">
      <w:pPr>
        <w:tabs>
          <w:tab w:val="left" w:pos="851"/>
        </w:tabs>
        <w:spacing w:line="23" w:lineRule="atLeast"/>
        <w:ind w:left="3969"/>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 İnfaz evraklar</w:t>
      </w:r>
      <w:r w:rsidR="00FC7B65">
        <w:rPr>
          <w:rFonts w:ascii="Palatino Linotype" w:eastAsia="Palatino Linotype" w:hAnsi="Palatino Linotype" w:cs="Palatino Linotype"/>
          <w:color w:val="000000" w:themeColor="text1"/>
          <w:lang w:val="tr-TR"/>
        </w:rPr>
        <w:t>ı</w:t>
      </w:r>
      <w:r w:rsidRPr="009C541A">
        <w:rPr>
          <w:rFonts w:ascii="Palatino Linotype" w:eastAsia="Palatino Linotype" w:hAnsi="Palatino Linotype" w:cs="Palatino Linotype"/>
          <w:color w:val="000000" w:themeColor="text1"/>
          <w:lang w:val="tr-TR"/>
        </w:rPr>
        <w:t>n</w:t>
      </w:r>
      <w:proofErr w:type="spellStart"/>
      <w:r w:rsidRPr="009C541A">
        <w:rPr>
          <w:rFonts w:ascii="Palatino Linotype" w:eastAsia="Palatino Linotype" w:hAnsi="Palatino Linotype" w:cs="Palatino Linotype"/>
          <w:color w:val="000000" w:themeColor="text1"/>
        </w:rPr>
        <w:t>ın</w:t>
      </w:r>
      <w:proofErr w:type="spellEnd"/>
      <w:r w:rsidRPr="009C541A">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Pr="009C541A">
        <w:rPr>
          <w:rFonts w:ascii="Palatino Linotype" w:eastAsia="Palatino Linotype" w:hAnsi="Palatino Linotype" w:cs="Palatino Linotype"/>
          <w:b/>
          <w:bCs/>
          <w:color w:val="000000" w:themeColor="text1"/>
          <w:lang w:val="tr-TR"/>
        </w:rPr>
        <w:t>MÜZEKKERE YAZILMASINA,</w:t>
      </w:r>
    </w:p>
    <w:p w14:paraId="00000009" w14:textId="1A5717E7" w:rsidR="009E0554" w:rsidRPr="009C541A"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r w:rsidRPr="009C541A">
        <w:rPr>
          <w:rFonts w:ascii="Palatino Linotype" w:eastAsia="Palatino Linotype" w:hAnsi="Palatino Linotype" w:cs="Palatino Linotype"/>
          <w:color w:val="000000" w:themeColor="text1"/>
        </w:rPr>
        <w:tab/>
      </w:r>
      <w:proofErr w:type="gramStart"/>
      <w:r w:rsidRPr="009C541A">
        <w:rPr>
          <w:rFonts w:ascii="Palatino Linotype" w:eastAsia="Palatino Linotype" w:hAnsi="Palatino Linotype" w:cs="Palatino Linotype"/>
          <w:color w:val="000000" w:themeColor="text1"/>
        </w:rPr>
        <w:t>karar</w:t>
      </w:r>
      <w:proofErr w:type="gramEnd"/>
      <w:r w:rsidRPr="009C541A">
        <w:rPr>
          <w:rFonts w:ascii="Palatino Linotype" w:eastAsia="Palatino Linotype" w:hAnsi="Palatino Linotype" w:cs="Palatino Linotype"/>
          <w:color w:val="000000" w:themeColor="text1"/>
        </w:rPr>
        <w:t xml:space="preserve"> verilmesi istemine ilişkindir.</w:t>
      </w:r>
    </w:p>
    <w:p w14:paraId="0000000A" w14:textId="1FAE3449" w:rsidR="009E0554" w:rsidRPr="009C541A" w:rsidRDefault="00000000" w:rsidP="00B763D9">
      <w:pPr>
        <w:tabs>
          <w:tab w:val="left" w:pos="709"/>
          <w:tab w:val="left" w:pos="851"/>
          <w:tab w:val="left" w:pos="3870"/>
        </w:tabs>
        <w:spacing w:line="23" w:lineRule="atLeast"/>
        <w:ind w:left="3960" w:hanging="396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b/>
          <w:color w:val="000000" w:themeColor="text1"/>
          <w:u w:val="single"/>
        </w:rPr>
        <w:t xml:space="preserve">Dayanılan Hukuki Kurallar             </w:t>
      </w:r>
      <w:proofErr w:type="gramStart"/>
      <w:r w:rsidRPr="009C541A">
        <w:rPr>
          <w:rFonts w:ascii="Palatino Linotype" w:eastAsia="Palatino Linotype" w:hAnsi="Palatino Linotype" w:cs="Palatino Linotype"/>
          <w:b/>
          <w:color w:val="000000" w:themeColor="text1"/>
          <w:u w:val="single"/>
        </w:rPr>
        <w:t xml:space="preserve">  </w:t>
      </w:r>
      <w:r w:rsidRPr="009C541A">
        <w:rPr>
          <w:rFonts w:ascii="Palatino Linotype" w:eastAsia="Palatino Linotype" w:hAnsi="Palatino Linotype" w:cs="Palatino Linotype"/>
          <w:b/>
          <w:bCs/>
          <w:color w:val="000000" w:themeColor="text1"/>
          <w:u w:val="single"/>
        </w:rPr>
        <w:t>:</w:t>
      </w:r>
      <w:proofErr w:type="gramEnd"/>
      <w:r w:rsidRPr="009C541A">
        <w:rPr>
          <w:rFonts w:ascii="Palatino Linotype" w:eastAsia="Palatino Linotype" w:hAnsi="Palatino Linotype" w:cs="Palatino Linotype"/>
          <w:color w:val="000000" w:themeColor="text1"/>
        </w:rPr>
        <w:t xml:space="preserve">    CMK’nın</w:t>
      </w:r>
      <w:r w:rsidRPr="009C541A">
        <w:rPr>
          <w:rFonts w:ascii="Palatino Linotype" w:eastAsia="Palatino Linotype" w:hAnsi="Palatino Linotype" w:cs="Palatino Linotype"/>
          <w:color w:val="000000" w:themeColor="text1"/>
          <w:highlight w:val="yellow"/>
        </w:rPr>
        <w:t xml:space="preserve"> 262//1 (eş veya vasi başvuracaksa bu madde yazılmalı, şahsi başvuru yapılacaksa çıkarılmalı)</w:t>
      </w:r>
      <w:r w:rsidRPr="009C541A">
        <w:rPr>
          <w:rFonts w:ascii="Palatino Linotype" w:eastAsia="Palatino Linotype" w:hAnsi="Palatino Linotype" w:cs="Palatino Linotype"/>
          <w:color w:val="000000" w:themeColor="text1"/>
        </w:rPr>
        <w:t xml:space="preserve"> 311/1-f maddesi</w:t>
      </w:r>
      <w:r w:rsidR="00E51CE3" w:rsidRPr="009C541A">
        <w:rPr>
          <w:rFonts w:ascii="Palatino Linotype" w:eastAsia="Palatino Linotype" w:hAnsi="Palatino Linotype" w:cs="Palatino Linotype"/>
          <w:color w:val="000000" w:themeColor="text1"/>
        </w:rPr>
        <w:t>,</w:t>
      </w:r>
      <w:r w:rsidRPr="009C541A">
        <w:rPr>
          <w:rFonts w:ascii="Palatino Linotype" w:eastAsia="Palatino Linotype" w:hAnsi="Palatino Linotype" w:cs="Palatino Linotype"/>
          <w:color w:val="000000" w:themeColor="text1"/>
        </w:rPr>
        <w:t xml:space="preserve"> </w:t>
      </w:r>
      <w:proofErr w:type="spellStart"/>
      <w:r w:rsidRPr="009C541A">
        <w:rPr>
          <w:rFonts w:ascii="Palatino Linotype" w:eastAsia="Palatino Linotype" w:hAnsi="Palatino Linotype" w:cs="Palatino Linotype"/>
          <w:color w:val="000000" w:themeColor="text1"/>
        </w:rPr>
        <w:t>AY’n</w:t>
      </w:r>
      <w:r w:rsidR="00E51CE3" w:rsidRPr="009C541A">
        <w:rPr>
          <w:rFonts w:ascii="Palatino Linotype" w:eastAsia="Palatino Linotype" w:hAnsi="Palatino Linotype" w:cs="Palatino Linotype"/>
          <w:color w:val="000000" w:themeColor="text1"/>
        </w:rPr>
        <w:t>i</w:t>
      </w:r>
      <w:r w:rsidRPr="009C541A">
        <w:rPr>
          <w:rFonts w:ascii="Palatino Linotype" w:eastAsia="Palatino Linotype" w:hAnsi="Palatino Linotype" w:cs="Palatino Linotype"/>
          <w:color w:val="000000" w:themeColor="text1"/>
        </w:rPr>
        <w:t>n</w:t>
      </w:r>
      <w:proofErr w:type="spellEnd"/>
      <w:r w:rsidRPr="009C541A">
        <w:rPr>
          <w:rFonts w:ascii="Palatino Linotype" w:eastAsia="Palatino Linotype" w:hAnsi="Palatino Linotype" w:cs="Palatino Linotype"/>
          <w:color w:val="000000" w:themeColor="text1"/>
        </w:rPr>
        <w:t xml:space="preserve"> 90. maddesi</w:t>
      </w:r>
      <w:r w:rsidR="00E51CE3" w:rsidRPr="009C541A">
        <w:rPr>
          <w:rFonts w:ascii="Palatino Linotype" w:eastAsia="Palatino Linotype" w:hAnsi="Palatino Linotype" w:cs="Palatino Linotype"/>
          <w:color w:val="000000" w:themeColor="text1"/>
        </w:rPr>
        <w:t xml:space="preserve"> ve</w:t>
      </w:r>
      <w:r w:rsidRPr="009C541A">
        <w:rPr>
          <w:rFonts w:ascii="Palatino Linotype" w:eastAsia="Palatino Linotype" w:hAnsi="Palatino Linotype" w:cs="Palatino Linotype"/>
          <w:color w:val="000000" w:themeColor="text1"/>
        </w:rPr>
        <w:t xml:space="preserve"> AİHS’in 6</w:t>
      </w:r>
      <w:r w:rsidR="00E51CE3" w:rsidRPr="009C541A">
        <w:rPr>
          <w:rFonts w:ascii="Palatino Linotype" w:eastAsia="Palatino Linotype" w:hAnsi="Palatino Linotype" w:cs="Palatino Linotype"/>
          <w:color w:val="000000" w:themeColor="text1"/>
        </w:rPr>
        <w:t>.</w:t>
      </w:r>
      <w:r w:rsidRPr="009C541A">
        <w:rPr>
          <w:rFonts w:ascii="Palatino Linotype" w:eastAsia="Palatino Linotype" w:hAnsi="Palatino Linotype" w:cs="Palatino Linotype"/>
          <w:color w:val="000000" w:themeColor="text1"/>
        </w:rPr>
        <w:t>, 7</w:t>
      </w:r>
      <w:r w:rsidR="00E51CE3" w:rsidRPr="009C541A">
        <w:rPr>
          <w:rFonts w:ascii="Palatino Linotype" w:eastAsia="Palatino Linotype" w:hAnsi="Palatino Linotype" w:cs="Palatino Linotype"/>
          <w:color w:val="000000" w:themeColor="text1"/>
        </w:rPr>
        <w:t>.</w:t>
      </w:r>
      <w:r w:rsidRPr="009C541A">
        <w:rPr>
          <w:rFonts w:ascii="Palatino Linotype" w:eastAsia="Palatino Linotype" w:hAnsi="Palatino Linotype" w:cs="Palatino Linotype"/>
          <w:color w:val="000000" w:themeColor="text1"/>
        </w:rPr>
        <w:t xml:space="preserve"> ve 46. </w:t>
      </w:r>
      <w:r w:rsidR="00E51CE3" w:rsidRPr="009C541A">
        <w:rPr>
          <w:rFonts w:ascii="Palatino Linotype" w:eastAsia="Palatino Linotype" w:hAnsi="Palatino Linotype" w:cs="Palatino Linotype"/>
          <w:color w:val="000000" w:themeColor="text1"/>
        </w:rPr>
        <w:t>m</w:t>
      </w:r>
      <w:r w:rsidRPr="009C541A">
        <w:rPr>
          <w:rFonts w:ascii="Palatino Linotype" w:eastAsia="Palatino Linotype" w:hAnsi="Palatino Linotype" w:cs="Palatino Linotype"/>
          <w:color w:val="000000" w:themeColor="text1"/>
        </w:rPr>
        <w:t>addeleri.</w:t>
      </w:r>
    </w:p>
    <w:p w14:paraId="0000000C" w14:textId="77777777" w:rsidR="009E0554" w:rsidRPr="009C541A" w:rsidRDefault="009E0554" w:rsidP="00B763D9">
      <w:pPr>
        <w:tabs>
          <w:tab w:val="left" w:pos="709"/>
          <w:tab w:val="left" w:pos="851"/>
          <w:tab w:val="left" w:pos="3870"/>
        </w:tabs>
        <w:spacing w:line="23" w:lineRule="atLeast"/>
        <w:rPr>
          <w:rFonts w:ascii="Palatino Linotype" w:eastAsia="Palatino Linotype" w:hAnsi="Palatino Linotype" w:cs="Palatino Linotype"/>
          <w:b/>
          <w:color w:val="000000" w:themeColor="text1"/>
        </w:rPr>
      </w:pPr>
    </w:p>
    <w:p w14:paraId="0000000D" w14:textId="578FD331" w:rsidR="009E0554" w:rsidRPr="009C541A" w:rsidRDefault="00000000" w:rsidP="00B763D9">
      <w:pPr>
        <w:tabs>
          <w:tab w:val="left" w:pos="709"/>
          <w:tab w:val="left" w:pos="851"/>
          <w:tab w:val="left" w:pos="3870"/>
        </w:tabs>
        <w:spacing w:line="23" w:lineRule="atLeast"/>
        <w:ind w:left="3960" w:hanging="3960"/>
        <w:jc w:val="center"/>
        <w:rPr>
          <w:rFonts w:ascii="Palatino Linotype" w:eastAsia="Palatino Linotype" w:hAnsi="Palatino Linotype" w:cs="Palatino Linotype"/>
          <w:b/>
          <w:color w:val="000000" w:themeColor="text1"/>
          <w:u w:val="single"/>
        </w:rPr>
      </w:pPr>
      <w:r w:rsidRPr="009C541A">
        <w:rPr>
          <w:rFonts w:ascii="Palatino Linotype" w:eastAsia="Palatino Linotype" w:hAnsi="Palatino Linotype" w:cs="Palatino Linotype"/>
          <w:b/>
          <w:color w:val="000000" w:themeColor="text1"/>
          <w:u w:val="single"/>
        </w:rPr>
        <w:t>AÇIKLAMALAR</w:t>
      </w:r>
    </w:p>
    <w:p w14:paraId="0000000E" w14:textId="3F94641C" w:rsidR="009E0554" w:rsidRPr="009C541A" w:rsidRDefault="00000000" w:rsidP="00B763D9">
      <w:pPr>
        <w:tabs>
          <w:tab w:val="left" w:pos="3870"/>
        </w:tabs>
        <w:spacing w:line="23" w:lineRule="atLeast"/>
        <w:ind w:left="709" w:hanging="425"/>
        <w:jc w:val="both"/>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 xml:space="preserve">I. </w:t>
      </w:r>
      <w:r w:rsidR="00D136B9" w:rsidRPr="009C541A">
        <w:rPr>
          <w:rFonts w:ascii="Palatino Linotype" w:eastAsia="Palatino Linotype" w:hAnsi="Palatino Linotype" w:cs="Palatino Linotype"/>
          <w:b/>
          <w:color w:val="000000" w:themeColor="text1"/>
          <w:highlight w:val="yellow"/>
        </w:rPr>
        <w:t xml:space="preserve">HAKKIMDA VERİLEN/ EŞİM HAKKINDA VERİLEN/VASİSİ OLDUĞUM ... HAKKINDA VERİLEN/MÜVEKKİL HAKKINDA VERİLEN </w:t>
      </w:r>
      <w:proofErr w:type="gramStart"/>
      <w:r w:rsidR="00D136B9" w:rsidRPr="009C541A">
        <w:rPr>
          <w:rFonts w:ascii="Palatino Linotype" w:eastAsia="Palatino Linotype" w:hAnsi="Palatino Linotype" w:cs="Palatino Linotype"/>
          <w:b/>
          <w:color w:val="000000" w:themeColor="text1"/>
          <w:highlight w:val="yellow"/>
        </w:rPr>
        <w:t>MAHKUMİYET</w:t>
      </w:r>
      <w:proofErr w:type="gramEnd"/>
      <w:r w:rsidR="00D136B9" w:rsidRPr="009C541A">
        <w:rPr>
          <w:rFonts w:ascii="Palatino Linotype" w:eastAsia="Palatino Linotype" w:hAnsi="Palatino Linotype" w:cs="Palatino Linotype"/>
          <w:b/>
          <w:color w:val="000000" w:themeColor="text1"/>
          <w:highlight w:val="yellow"/>
        </w:rPr>
        <w:t xml:space="preserve"> GEREKÇESİ</w:t>
      </w:r>
    </w:p>
    <w:p w14:paraId="0000000F" w14:textId="40760D28" w:rsidR="009E0554" w:rsidRPr="009C541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 xml:space="preserve">Mahkemenizin </w:t>
      </w:r>
      <w:r w:rsidR="00340C74" w:rsidRPr="009C541A">
        <w:rPr>
          <w:rFonts w:ascii="Palatino Linotype" w:eastAsia="Palatino Linotype" w:hAnsi="Palatino Linotype" w:cs="Palatino Linotype"/>
          <w:color w:val="000000" w:themeColor="text1"/>
          <w:highlight w:val="yellow"/>
        </w:rPr>
        <w:t xml:space="preserve">... </w:t>
      </w:r>
      <w:proofErr w:type="gramStart"/>
      <w:r w:rsidR="00340C74" w:rsidRPr="009C541A">
        <w:rPr>
          <w:rFonts w:ascii="Palatino Linotype" w:eastAsia="Palatino Linotype" w:hAnsi="Palatino Linotype" w:cs="Palatino Linotype"/>
          <w:color w:val="000000" w:themeColor="text1"/>
          <w:highlight w:val="yellow"/>
        </w:rPr>
        <w:t xml:space="preserve">tarihli, </w:t>
      </w:r>
      <w:r w:rsidRPr="009C541A">
        <w:rPr>
          <w:rFonts w:ascii="Palatino Linotype" w:eastAsia="Palatino Linotype" w:hAnsi="Palatino Linotype" w:cs="Palatino Linotype"/>
          <w:color w:val="000000" w:themeColor="text1"/>
          <w:highlight w:val="yellow"/>
        </w:rPr>
        <w:t>….</w:t>
      </w:r>
      <w:proofErr w:type="gramEnd"/>
      <w:r w:rsidRPr="009C541A">
        <w:rPr>
          <w:rFonts w:ascii="Palatino Linotype" w:eastAsia="Palatino Linotype" w:hAnsi="Palatino Linotype" w:cs="Palatino Linotype"/>
          <w:color w:val="000000" w:themeColor="text1"/>
          <w:highlight w:val="yellow"/>
        </w:rPr>
        <w:t>E. ve</w:t>
      </w:r>
      <w:proofErr w:type="gramStart"/>
      <w:r w:rsidRPr="009C541A">
        <w:rPr>
          <w:rFonts w:ascii="Palatino Linotype" w:eastAsia="Palatino Linotype" w:hAnsi="Palatino Linotype" w:cs="Palatino Linotype"/>
          <w:color w:val="000000" w:themeColor="text1"/>
          <w:highlight w:val="yellow"/>
        </w:rPr>
        <w:t xml:space="preserve"> ….</w:t>
      </w:r>
      <w:proofErr w:type="gramEnd"/>
      <w:r w:rsidRPr="009C541A">
        <w:rPr>
          <w:rFonts w:ascii="Palatino Linotype" w:eastAsia="Palatino Linotype" w:hAnsi="Palatino Linotype" w:cs="Palatino Linotype"/>
          <w:color w:val="000000" w:themeColor="text1"/>
          <w:highlight w:val="yellow"/>
        </w:rPr>
        <w:t>K….</w:t>
      </w:r>
      <w:r w:rsidRPr="009C541A">
        <w:rPr>
          <w:rFonts w:ascii="Palatino Linotype" w:eastAsia="Palatino Linotype" w:hAnsi="Palatino Linotype" w:cs="Palatino Linotype"/>
          <w:color w:val="000000" w:themeColor="text1"/>
        </w:rPr>
        <w:t xml:space="preserve"> </w:t>
      </w:r>
      <w:proofErr w:type="gramStart"/>
      <w:r w:rsidRPr="009C541A">
        <w:rPr>
          <w:rFonts w:ascii="Palatino Linotype" w:eastAsia="Palatino Linotype" w:hAnsi="Palatino Linotype" w:cs="Palatino Linotype"/>
          <w:color w:val="000000" w:themeColor="text1"/>
        </w:rPr>
        <w:t>sayılı</w:t>
      </w:r>
      <w:proofErr w:type="gramEnd"/>
      <w:r w:rsidRPr="009C541A">
        <w:rPr>
          <w:rFonts w:ascii="Palatino Linotype" w:eastAsia="Palatino Linotype" w:hAnsi="Palatino Linotype" w:cs="Palatino Linotype"/>
          <w:color w:val="000000" w:themeColor="text1"/>
        </w:rPr>
        <w:t xml:space="preserve"> kararı ile </w:t>
      </w:r>
      <w:r w:rsidR="00340C74" w:rsidRPr="009C541A">
        <w:rPr>
          <w:rFonts w:ascii="Palatino Linotype" w:eastAsia="Palatino Linotype" w:hAnsi="Palatino Linotype" w:cs="Palatino Linotype"/>
          <w:color w:val="000000" w:themeColor="text1"/>
        </w:rPr>
        <w:t>TCK’nın 314/2. maddesi uyarınca</w:t>
      </w:r>
      <w:r w:rsidRPr="009C541A">
        <w:rPr>
          <w:rFonts w:ascii="Palatino Linotype" w:eastAsia="Palatino Linotype" w:hAnsi="Palatino Linotype" w:cs="Palatino Linotype"/>
          <w:color w:val="000000" w:themeColor="text1"/>
        </w:rPr>
        <w:t xml:space="preserve"> silahlı terör örgütüne üyelik suçlaması ile …. </w:t>
      </w:r>
      <w:proofErr w:type="gramStart"/>
      <w:r w:rsidRPr="009C541A">
        <w:rPr>
          <w:rFonts w:ascii="Palatino Linotype" w:eastAsia="Palatino Linotype" w:hAnsi="Palatino Linotype" w:cs="Palatino Linotype"/>
          <w:color w:val="000000" w:themeColor="text1"/>
        </w:rPr>
        <w:t>hapis</w:t>
      </w:r>
      <w:proofErr w:type="gramEnd"/>
      <w:r w:rsidRPr="009C541A">
        <w:rPr>
          <w:rFonts w:ascii="Palatino Linotype" w:eastAsia="Palatino Linotype" w:hAnsi="Palatino Linotype" w:cs="Palatino Linotype"/>
          <w:color w:val="000000" w:themeColor="text1"/>
        </w:rPr>
        <w:t xml:space="preserve"> cezasına </w:t>
      </w:r>
      <w:proofErr w:type="gramStart"/>
      <w:r w:rsidRPr="009C541A">
        <w:rPr>
          <w:rFonts w:ascii="Palatino Linotype" w:eastAsia="Palatino Linotype" w:hAnsi="Palatino Linotype" w:cs="Palatino Linotype"/>
          <w:color w:val="000000" w:themeColor="text1"/>
          <w:highlight w:val="yellow"/>
        </w:rPr>
        <w:t>mahkum</w:t>
      </w:r>
      <w:proofErr w:type="gramEnd"/>
      <w:r w:rsidRPr="009C541A">
        <w:rPr>
          <w:rFonts w:ascii="Palatino Linotype" w:eastAsia="Palatino Linotype" w:hAnsi="Palatino Linotype" w:cs="Palatino Linotype"/>
          <w:color w:val="000000" w:themeColor="text1"/>
          <w:highlight w:val="yellow"/>
        </w:rPr>
        <w:t xml:space="preserve"> edildim/eşim-vasisi </w:t>
      </w:r>
      <w:proofErr w:type="gramStart"/>
      <w:r w:rsidRPr="009C541A">
        <w:rPr>
          <w:rFonts w:ascii="Palatino Linotype" w:eastAsia="Palatino Linotype" w:hAnsi="Palatino Linotype" w:cs="Palatino Linotype"/>
          <w:color w:val="000000" w:themeColor="text1"/>
          <w:highlight w:val="yellow"/>
        </w:rPr>
        <w:t>olduğum(</w:t>
      </w:r>
      <w:proofErr w:type="gramEnd"/>
      <w:r w:rsidRPr="009C541A">
        <w:rPr>
          <w:rFonts w:ascii="Palatino Linotype" w:eastAsia="Palatino Linotype" w:hAnsi="Palatino Linotype" w:cs="Palatino Linotype"/>
          <w:color w:val="000000" w:themeColor="text1"/>
          <w:highlight w:val="yellow"/>
        </w:rPr>
        <w:t xml:space="preserve">kişi ismi </w:t>
      </w:r>
      <w:proofErr w:type="gramStart"/>
      <w:r w:rsidRPr="009C541A">
        <w:rPr>
          <w:rFonts w:ascii="Palatino Linotype" w:eastAsia="Palatino Linotype" w:hAnsi="Palatino Linotype" w:cs="Palatino Linotype"/>
          <w:color w:val="000000" w:themeColor="text1"/>
          <w:highlight w:val="yellow"/>
        </w:rPr>
        <w:t>yazılacak)/</w:t>
      </w:r>
      <w:proofErr w:type="gramEnd"/>
      <w:r w:rsidRPr="009C541A">
        <w:rPr>
          <w:rFonts w:ascii="Palatino Linotype" w:eastAsia="Palatino Linotype" w:hAnsi="Palatino Linotype" w:cs="Palatino Linotype"/>
          <w:color w:val="000000" w:themeColor="text1"/>
          <w:highlight w:val="yellow"/>
        </w:rPr>
        <w:t xml:space="preserve">müvekkil </w:t>
      </w:r>
      <w:proofErr w:type="gramStart"/>
      <w:r w:rsidRPr="009C541A">
        <w:rPr>
          <w:rFonts w:ascii="Palatino Linotype" w:eastAsia="Palatino Linotype" w:hAnsi="Palatino Linotype" w:cs="Palatino Linotype"/>
          <w:color w:val="000000" w:themeColor="text1"/>
          <w:highlight w:val="yellow"/>
        </w:rPr>
        <w:t>mahkum</w:t>
      </w:r>
      <w:proofErr w:type="gramEnd"/>
      <w:r w:rsidRPr="009C541A">
        <w:rPr>
          <w:rFonts w:ascii="Palatino Linotype" w:eastAsia="Palatino Linotype" w:hAnsi="Palatino Linotype" w:cs="Palatino Linotype"/>
          <w:color w:val="000000" w:themeColor="text1"/>
          <w:highlight w:val="yellow"/>
        </w:rPr>
        <w:t xml:space="preserve"> edildi</w:t>
      </w:r>
      <w:r w:rsidRPr="009C541A">
        <w:rPr>
          <w:rFonts w:ascii="Palatino Linotype" w:eastAsia="Palatino Linotype" w:hAnsi="Palatino Linotype" w:cs="Palatino Linotype"/>
          <w:color w:val="000000" w:themeColor="text1"/>
        </w:rPr>
        <w:t xml:space="preserve">. </w:t>
      </w:r>
      <w:r w:rsidRPr="009C541A">
        <w:rPr>
          <w:rFonts w:ascii="Palatino Linotype" w:eastAsia="Palatino Linotype" w:hAnsi="Palatino Linotype" w:cs="Palatino Linotype"/>
          <w:color w:val="000000" w:themeColor="text1"/>
          <w:highlight w:val="yellow"/>
        </w:rPr>
        <w:t>Hakkımdaki/hakkındaki</w:t>
      </w:r>
      <w:r w:rsidRPr="009C541A">
        <w:rPr>
          <w:rFonts w:ascii="Palatino Linotype" w:eastAsia="Palatino Linotype" w:hAnsi="Palatino Linotype" w:cs="Palatino Linotype"/>
          <w:color w:val="000000" w:themeColor="text1"/>
        </w:rPr>
        <w:t xml:space="preserve"> karar …tarihinde kesinleşmiştir.</w:t>
      </w:r>
    </w:p>
    <w:p w14:paraId="00000010" w14:textId="77777777" w:rsidR="009E0554" w:rsidRPr="009C541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highlight w:val="yellow"/>
        </w:rPr>
        <w:t>Hakkımdaki/hakkındaki</w:t>
      </w:r>
      <w:r w:rsidRPr="009C541A">
        <w:rPr>
          <w:rFonts w:ascii="Palatino Linotype" w:eastAsia="Palatino Linotype" w:hAnsi="Palatino Linotype" w:cs="Palatino Linotype"/>
          <w:color w:val="000000" w:themeColor="text1"/>
        </w:rPr>
        <w:t xml:space="preserve"> mahkumiyet gerekçesi; sırasıyla </w:t>
      </w:r>
      <w:r w:rsidRPr="009C541A">
        <w:rPr>
          <w:rFonts w:ascii="Palatino Linotype" w:eastAsia="Palatino Linotype" w:hAnsi="Palatino Linotype" w:cs="Palatino Linotype"/>
          <w:color w:val="000000" w:themeColor="text1"/>
          <w:highlight w:val="yellow"/>
        </w:rPr>
        <w:t>(herkes kendi mahkumiyet gerekçesini yazmalı)</w:t>
      </w:r>
      <w:r w:rsidRPr="009C541A">
        <w:rPr>
          <w:rFonts w:ascii="Palatino Linotype" w:eastAsia="Palatino Linotype" w:hAnsi="Palatino Linotype" w:cs="Palatino Linotype"/>
          <w:color w:val="000000" w:themeColor="text1"/>
        </w:rPr>
        <w:t xml:space="preserve"> </w:t>
      </w:r>
      <w:r w:rsidRPr="009C541A">
        <w:rPr>
          <w:rFonts w:ascii="Palatino Linotype" w:eastAsia="Palatino Linotype" w:hAnsi="Palatino Linotype" w:cs="Palatino Linotype"/>
          <w:color w:val="000000" w:themeColor="text1"/>
          <w:highlight w:val="yellow"/>
        </w:rPr>
        <w:t xml:space="preserve">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w:t>
      </w:r>
      <w:proofErr w:type="spellStart"/>
      <w:r w:rsidRPr="009C541A">
        <w:rPr>
          <w:rFonts w:ascii="Palatino Linotype" w:eastAsia="Palatino Linotype" w:hAnsi="Palatino Linotype" w:cs="Palatino Linotype"/>
          <w:color w:val="000000" w:themeColor="text1"/>
          <w:highlight w:val="yellow"/>
        </w:rPr>
        <w:t>xyz</w:t>
      </w:r>
      <w:proofErr w:type="spellEnd"/>
      <w:r w:rsidRPr="009C541A">
        <w:rPr>
          <w:rFonts w:ascii="Palatino Linotype" w:eastAsia="Palatino Linotype" w:hAnsi="Palatino Linotype" w:cs="Palatino Linotype"/>
          <w:color w:val="000000" w:themeColor="text1"/>
          <w:highlight w:val="yellow"/>
        </w:rPr>
        <w:t xml:space="preserve"> kişiler ile görüşmek, seçimlerde …x partisine veya (HSK ve </w:t>
      </w:r>
      <w:proofErr w:type="spellStart"/>
      <w:r w:rsidRPr="009C541A">
        <w:rPr>
          <w:rFonts w:ascii="Palatino Linotype" w:eastAsia="Palatino Linotype" w:hAnsi="Palatino Linotype" w:cs="Palatino Linotype"/>
          <w:color w:val="000000" w:themeColor="text1"/>
          <w:highlight w:val="yellow"/>
        </w:rPr>
        <w:t>vb</w:t>
      </w:r>
      <w:proofErr w:type="spellEnd"/>
      <w:r w:rsidRPr="009C541A">
        <w:rPr>
          <w:rFonts w:ascii="Palatino Linotype" w:eastAsia="Palatino Linotype" w:hAnsi="Palatino Linotype" w:cs="Palatino Linotype"/>
          <w:color w:val="000000" w:themeColor="text1"/>
          <w:highlight w:val="yellow"/>
        </w:rPr>
        <w:t xml:space="preserve"> kurum seçimlerinde) x grubuna destek vermek (</w:t>
      </w:r>
      <w:proofErr w:type="spellStart"/>
      <w:r w:rsidRPr="009C541A">
        <w:rPr>
          <w:rFonts w:ascii="Palatino Linotype" w:eastAsia="Palatino Linotype" w:hAnsi="Palatino Linotype" w:cs="Palatino Linotype"/>
          <w:color w:val="000000" w:themeColor="text1"/>
          <w:highlight w:val="yellow"/>
        </w:rPr>
        <w:t>vb</w:t>
      </w:r>
      <w:proofErr w:type="spellEnd"/>
      <w:r w:rsidRPr="009C541A">
        <w:rPr>
          <w:rFonts w:ascii="Palatino Linotype" w:eastAsia="Palatino Linotype" w:hAnsi="Palatino Linotype" w:cs="Palatino Linotype"/>
          <w:color w:val="000000" w:themeColor="text1"/>
          <w:highlight w:val="yellow"/>
        </w:rPr>
        <w:t>)</w:t>
      </w:r>
      <w:r w:rsidRPr="009C541A">
        <w:rPr>
          <w:rFonts w:ascii="Palatino Linotype" w:eastAsia="Palatino Linotype" w:hAnsi="Palatino Linotype" w:cs="Palatino Linotype"/>
          <w:color w:val="000000" w:themeColor="text1"/>
        </w:rPr>
        <w:t xml:space="preserve"> hususlarına dayandırılmıştır. </w:t>
      </w:r>
    </w:p>
    <w:p w14:paraId="00000011" w14:textId="54FFB8D3" w:rsidR="009E0554" w:rsidRPr="009C541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Bununla birlikte AİHM, anılan mahkûmiyet kararına ilişkin olarak, AİHS</w:t>
      </w:r>
      <w:r w:rsidR="00340C74" w:rsidRPr="009C541A">
        <w:rPr>
          <w:rFonts w:ascii="Palatino Linotype" w:eastAsia="Palatino Linotype" w:hAnsi="Palatino Linotype" w:cs="Palatino Linotype"/>
          <w:color w:val="000000" w:themeColor="text1"/>
        </w:rPr>
        <w:t>’in</w:t>
      </w:r>
      <w:r w:rsidRPr="009C541A">
        <w:rPr>
          <w:rFonts w:ascii="Palatino Linotype" w:eastAsia="Palatino Linotype" w:hAnsi="Palatino Linotype" w:cs="Palatino Linotype"/>
          <w:color w:val="000000" w:themeColor="text1"/>
        </w:rPr>
        <w:t xml:space="preserve"> </w:t>
      </w:r>
      <w:r w:rsidR="00D136B9" w:rsidRPr="009C541A">
        <w:rPr>
          <w:rFonts w:ascii="Palatino Linotype" w:eastAsia="Palatino Linotype" w:hAnsi="Palatino Linotype" w:cs="Palatino Linotype"/>
          <w:color w:val="000000" w:themeColor="text1"/>
        </w:rPr>
        <w:t>7</w:t>
      </w:r>
      <w:r w:rsidRPr="009C541A">
        <w:rPr>
          <w:rFonts w:ascii="Palatino Linotype" w:eastAsia="Palatino Linotype" w:hAnsi="Palatino Linotype" w:cs="Palatino Linotype"/>
          <w:color w:val="000000" w:themeColor="text1"/>
        </w:rPr>
        <w:t xml:space="preserve">. maddesinde güvence altına alınan suç ve cezaların yasallığı ilkesinin ihlal edildiğine karar vermiştir. İşbu dilekçe, </w:t>
      </w:r>
      <w:r w:rsidRPr="009C541A">
        <w:rPr>
          <w:rFonts w:ascii="Palatino Linotype" w:eastAsia="Palatino Linotype" w:hAnsi="Palatino Linotype" w:cs="Palatino Linotype"/>
          <w:b/>
          <w:color w:val="000000" w:themeColor="text1"/>
        </w:rPr>
        <w:t>AİHM’in söz konusu ihlal kararı doğrultusunda yargılamanın yenilenmesi talebine ilişkindir.</w:t>
      </w:r>
    </w:p>
    <w:p w14:paraId="00000012" w14:textId="630BE771" w:rsidR="009E0554" w:rsidRPr="009C541A" w:rsidRDefault="00000000" w:rsidP="00B763D9">
      <w:pPr>
        <w:tabs>
          <w:tab w:val="left" w:pos="3870"/>
        </w:tabs>
        <w:spacing w:line="23" w:lineRule="atLeast"/>
        <w:ind w:left="284"/>
        <w:jc w:val="both"/>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 xml:space="preserve">II. </w:t>
      </w:r>
      <w:r w:rsidR="00D136B9" w:rsidRPr="009C541A">
        <w:rPr>
          <w:rFonts w:ascii="Palatino Linotype" w:eastAsia="Palatino Linotype" w:hAnsi="Palatino Linotype" w:cs="Palatino Linotype"/>
          <w:b/>
          <w:color w:val="000000" w:themeColor="text1"/>
        </w:rPr>
        <w:t>YARGILAMANIN YENİLENMESİ TALEBİNİN DAYANDIĞI HUKUKİ KURALLAR</w:t>
      </w:r>
    </w:p>
    <w:p w14:paraId="51B18973" w14:textId="77777777" w:rsidR="009F07BE" w:rsidRPr="009C541A" w:rsidRDefault="00000000" w:rsidP="00073CD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 xml:space="preserve">Hükümlü lehine </w:t>
      </w:r>
      <w:r w:rsidRPr="009C541A">
        <w:rPr>
          <w:rFonts w:ascii="Palatino Linotype" w:eastAsia="Palatino Linotype" w:hAnsi="Palatino Linotype" w:cs="Palatino Linotype"/>
          <w:b/>
          <w:color w:val="000000" w:themeColor="text1"/>
        </w:rPr>
        <w:t>yargılamanın yenilenmesi nedenleri CMK’nın 311. maddesinde</w:t>
      </w:r>
      <w:r w:rsidRPr="009C541A">
        <w:rPr>
          <w:rFonts w:ascii="Palatino Linotype" w:eastAsia="Palatino Linotype" w:hAnsi="Palatino Linotype" w:cs="Palatino Linotype"/>
          <w:color w:val="000000" w:themeColor="text1"/>
        </w:rPr>
        <w:t xml:space="preserve"> düzenlenmiştir. </w:t>
      </w:r>
      <w:r w:rsidRPr="009C541A">
        <w:rPr>
          <w:rFonts w:ascii="Palatino Linotype" w:eastAsia="Palatino Linotype" w:hAnsi="Palatino Linotype" w:cs="Palatino Linotype"/>
          <w:color w:val="000000" w:themeColor="text1"/>
          <w:highlight w:val="yellow"/>
        </w:rPr>
        <w:t>Lehime/eşimin lehine/Müvekkil açısından</w:t>
      </w:r>
      <w:r w:rsidRPr="009C541A">
        <w:rPr>
          <w:rFonts w:ascii="Palatino Linotype" w:eastAsia="Palatino Linotype" w:hAnsi="Palatino Linotype" w:cs="Palatino Linotype"/>
          <w:color w:val="000000" w:themeColor="text1"/>
        </w:rPr>
        <w:t xml:space="preserve"> yargılamanın yenilenmesi dayanağını oluşturacak düzenleme aşağıdaki gibidir: </w:t>
      </w:r>
    </w:p>
    <w:p w14:paraId="596C1490" w14:textId="77777777" w:rsidR="009F07BE" w:rsidRPr="009C541A"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themeColor="text1"/>
        </w:rPr>
      </w:pPr>
      <w:r w:rsidRPr="009C541A">
        <w:rPr>
          <w:rFonts w:ascii="Palatino Linotype" w:eastAsia="Palatino Linotype" w:hAnsi="Palatino Linotype" w:cs="Palatino Linotype"/>
          <w:b/>
          <w:i/>
          <w:color w:val="000000" w:themeColor="text1"/>
        </w:rPr>
        <w:t>“Madde 311 – (1)</w:t>
      </w:r>
      <w:r w:rsidRPr="009C541A">
        <w:rPr>
          <w:rFonts w:ascii="Palatino Linotype" w:eastAsia="Palatino Linotype" w:hAnsi="Palatino Linotype" w:cs="Palatino Linotype"/>
          <w:i/>
          <w:color w:val="000000" w:themeColor="text1"/>
        </w:rPr>
        <w:t xml:space="preserve"> Kesinleşen bir hükümle sonuçlanmış bir dava, aşağıda yazılı hâllerde hükümlü lehine olarak yargılamanın yenilenmesi yoluyla tekrar görülür:</w:t>
      </w:r>
    </w:p>
    <w:p w14:paraId="2CC5174B" w14:textId="22F2D898" w:rsidR="009F07BE" w:rsidRPr="009C541A"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i/>
          <w:color w:val="000000" w:themeColor="text1"/>
        </w:rPr>
        <w:t xml:space="preserve"> </w:t>
      </w:r>
      <w:r w:rsidRPr="009C541A">
        <w:rPr>
          <w:rFonts w:ascii="Palatino Linotype" w:eastAsia="Palatino Linotype" w:hAnsi="Palatino Linotype" w:cs="Palatino Linotype"/>
          <w:b/>
          <w:i/>
          <w:color w:val="000000" w:themeColor="text1"/>
        </w:rPr>
        <w:t>f)</w:t>
      </w:r>
      <w:r w:rsidRPr="009C541A">
        <w:rPr>
          <w:rFonts w:ascii="Palatino Linotype" w:eastAsia="Palatino Linotype" w:hAnsi="Palatino Linotype" w:cs="Palatino Linotype"/>
          <w:i/>
          <w:color w:val="000000" w:themeColor="text1"/>
        </w:rPr>
        <w:t xml:space="preserve">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w:t>
      </w:r>
      <w:r w:rsidRPr="009C541A">
        <w:rPr>
          <w:rFonts w:ascii="Palatino Linotype" w:eastAsia="Palatino Linotype" w:hAnsi="Palatino Linotype" w:cs="Palatino Linotype"/>
          <w:b/>
          <w:i/>
          <w:color w:val="000000" w:themeColor="text1"/>
        </w:rPr>
        <w:t>Bu hâlde yargılamanın yenilenmesi, Avrupa İnsan Hakları Mahkemesi kararının kesinleştiği tarihten itibaren bir yıl içinde istenebilir.”</w:t>
      </w:r>
    </w:p>
    <w:p w14:paraId="61FFA099" w14:textId="18353354" w:rsidR="009F07BE" w:rsidRPr="009C541A" w:rsidRDefault="00000000" w:rsidP="00D136B9">
      <w:pPr>
        <w:pBdr>
          <w:top w:val="nil"/>
          <w:left w:val="nil"/>
          <w:bottom w:val="nil"/>
          <w:right w:val="nil"/>
          <w:between w:val="nil"/>
        </w:pBdr>
        <w:tabs>
          <w:tab w:val="left" w:pos="3870"/>
        </w:tabs>
        <w:spacing w:line="23" w:lineRule="atLeast"/>
        <w:ind w:left="630" w:hanging="346"/>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b/>
          <w:color w:val="000000" w:themeColor="text1"/>
        </w:rPr>
        <w:t xml:space="preserve">III. </w:t>
      </w:r>
      <w:r w:rsidR="00D136B9" w:rsidRPr="009C541A">
        <w:rPr>
          <w:rFonts w:ascii="Palatino Linotype" w:eastAsia="Palatino Linotype" w:hAnsi="Palatino Linotype" w:cs="Palatino Linotype"/>
          <w:b/>
          <w:color w:val="000000" w:themeColor="text1"/>
        </w:rPr>
        <w:t xml:space="preserve">YARGILAMANIN YENİLENMESİ TALEBİNİN NEDENİ VE </w:t>
      </w:r>
      <w:r w:rsidR="006A7671" w:rsidRPr="009C541A">
        <w:rPr>
          <w:rFonts w:ascii="Palatino Linotype" w:eastAsia="Palatino Linotype" w:hAnsi="Palatino Linotype" w:cs="Palatino Linotype"/>
          <w:b/>
          <w:color w:val="000000" w:themeColor="text1"/>
        </w:rPr>
        <w:t>BOZYOKUŞ</w:t>
      </w:r>
      <w:r w:rsidR="00D136B9" w:rsidRPr="009C541A">
        <w:rPr>
          <w:rFonts w:ascii="Palatino Linotype" w:eastAsia="Palatino Linotype" w:hAnsi="Palatino Linotype" w:cs="Palatino Linotype"/>
          <w:b/>
          <w:color w:val="000000" w:themeColor="text1"/>
        </w:rPr>
        <w:t xml:space="preserve"> VE DİĞERLERİ KARARI İLE YALÇINKAYA KARARI ARASINDAKİ BAĞLANTI</w:t>
      </w:r>
    </w:p>
    <w:p w14:paraId="01FD56BF" w14:textId="4C6703B2" w:rsidR="00E63E28" w:rsidRPr="009C541A" w:rsidRDefault="00073CD8"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 xml:space="preserve">AİHM, </w:t>
      </w:r>
      <w:r w:rsidR="00A44AFD" w:rsidRPr="009C541A">
        <w:rPr>
          <w:rFonts w:ascii="Palatino Linotype" w:eastAsia="Palatino Linotype" w:hAnsi="Palatino Linotype" w:cs="Palatino Linotype"/>
          <w:color w:val="000000" w:themeColor="text1"/>
          <w:lang w:val="tr-TR"/>
        </w:rPr>
        <w:t>1</w:t>
      </w:r>
      <w:r w:rsidR="00E63E28" w:rsidRPr="009C541A">
        <w:rPr>
          <w:rFonts w:ascii="Palatino Linotype" w:eastAsia="Palatino Linotype" w:hAnsi="Palatino Linotype" w:cs="Palatino Linotype"/>
          <w:color w:val="000000" w:themeColor="text1"/>
          <w:lang w:val="tr-TR"/>
        </w:rPr>
        <w:t xml:space="preserve">6 Aralık 2025 tarihli </w:t>
      </w:r>
      <w:r w:rsidR="00E63E28" w:rsidRPr="009C541A">
        <w:rPr>
          <w:rFonts w:ascii="Palatino Linotype" w:eastAsia="Palatino Linotype" w:hAnsi="Palatino Linotype" w:cs="Palatino Linotype"/>
          <w:b/>
          <w:bCs/>
          <w:color w:val="000000" w:themeColor="text1"/>
          <w:lang w:val="tr-TR"/>
        </w:rPr>
        <w:t>Bozyokuş ve Diğerleri</w:t>
      </w:r>
      <w:r w:rsidR="00E63E28" w:rsidRPr="009C541A">
        <w:rPr>
          <w:rFonts w:ascii="Palatino Linotype" w:eastAsia="Palatino Linotype" w:hAnsi="Palatino Linotype" w:cs="Palatino Linotype"/>
          <w:color w:val="000000" w:themeColor="text1"/>
          <w:lang w:val="tr-TR"/>
        </w:rPr>
        <w:t xml:space="preserve"> kararında (kesinleşme: 16 Aralık 2025), aralarında </w:t>
      </w:r>
      <w:r w:rsidR="00E63E28" w:rsidRPr="009C541A">
        <w:rPr>
          <w:rFonts w:ascii="Palatino Linotype" w:eastAsia="Palatino Linotype" w:hAnsi="Palatino Linotype" w:cs="Palatino Linotype"/>
          <w:color w:val="000000" w:themeColor="text1"/>
          <w:highlight w:val="yellow"/>
          <w:lang w:val="tr-TR"/>
        </w:rPr>
        <w:t>şahsımın/eşimin/müvekkilin de</w:t>
      </w:r>
      <w:r w:rsidR="00E63E28" w:rsidRPr="009C541A">
        <w:rPr>
          <w:rFonts w:ascii="Palatino Linotype" w:eastAsia="Palatino Linotype" w:hAnsi="Palatino Linotype" w:cs="Palatino Linotype"/>
          <w:color w:val="000000" w:themeColor="text1"/>
          <w:lang w:val="tr-TR"/>
        </w:rPr>
        <w:t xml:space="preserve"> </w:t>
      </w:r>
      <w:r w:rsidR="00E63E28" w:rsidRPr="009C541A">
        <w:rPr>
          <w:rFonts w:ascii="Palatino Linotype" w:eastAsia="Palatino Linotype" w:hAnsi="Palatino Linotype" w:cs="Palatino Linotype"/>
          <w:b/>
          <w:bCs/>
          <w:color w:val="000000" w:themeColor="text1"/>
          <w:highlight w:val="yellow"/>
          <w:u w:val="single"/>
          <w:lang w:val="tr-TR"/>
        </w:rPr>
        <w:t>kararın … sıra numarasında</w:t>
      </w:r>
      <w:r w:rsidR="00E63E28" w:rsidRPr="009C541A">
        <w:rPr>
          <w:rFonts w:ascii="Palatino Linotype" w:eastAsia="Palatino Linotype" w:hAnsi="Palatino Linotype" w:cs="Palatino Linotype"/>
          <w:color w:val="000000" w:themeColor="text1"/>
          <w:lang w:val="tr-TR"/>
        </w:rPr>
        <w:t xml:space="preserve"> yer aldığı 132 başvurucu için AİHS’in 7. maddesinin (kanunsuz ceza olmaz ilkesi) ihlal edildiğine hükmetmiştir. </w:t>
      </w:r>
      <w:r w:rsidR="00E63E28" w:rsidRPr="009C541A">
        <w:rPr>
          <w:rFonts w:ascii="Palatino Linotype" w:eastAsia="Palatino Linotype" w:hAnsi="Palatino Linotype" w:cs="Palatino Linotype"/>
          <w:b/>
          <w:bCs/>
          <w:color w:val="000000" w:themeColor="text1"/>
          <w:lang w:val="tr-TR"/>
        </w:rPr>
        <w:t>Mahkeme, bu dosyada Yüksel Yalçınkaya kararındaki ilkelerden ayrılmayı gerektirecek bir durum olmadığını belirtmiş;</w:t>
      </w:r>
      <w:r w:rsidR="00E63E28" w:rsidRPr="009C541A">
        <w:rPr>
          <w:rFonts w:ascii="Palatino Linotype" w:eastAsia="Palatino Linotype" w:hAnsi="Palatino Linotype" w:cs="Palatino Linotype"/>
          <w:color w:val="000000" w:themeColor="text1"/>
          <w:lang w:val="tr-TR"/>
        </w:rPr>
        <w:t xml:space="preserve"> Türk yargısının ByLock konusundaki "kategorik ve tek tip" yaklaşımının yapısal bir sorun olduğunu vurgulamıştır. </w:t>
      </w:r>
      <w:r w:rsidR="00E63E28" w:rsidRPr="009C541A">
        <w:rPr>
          <w:rFonts w:ascii="Palatino Linotype" w:eastAsia="Palatino Linotype" w:hAnsi="Palatino Linotype" w:cs="Palatino Linotype"/>
          <w:color w:val="000000" w:themeColor="text1"/>
          <w:lang w:val="tr-TR"/>
        </w:rPr>
        <w:lastRenderedPageBreak/>
        <w:t>Ayrıca, OHAL koşullarının bu ihlalleri meşrulaştırmadığı teyit edilmiştir (Bozyokuş, §§ 9, 14; Yalçınkaya, § 414).</w:t>
      </w:r>
    </w:p>
    <w:p w14:paraId="6EF582EC" w14:textId="63BF8731" w:rsidR="00E63E28" w:rsidRPr="009C541A" w:rsidRDefault="00E63E28"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Kararın temelinde, mahkûmiyetlerin belirleyici delil olarak ByLock tespitine dayandırılması yatmaktadır. AİHM, incelenen dosyaların ortak noktasının, ByLock verilerinin "kesin ve tartışmasız ispat aracı" sayılarak hüküm kurulması olduğunu saptamıştır (Bozyokuş, §§ 2, 10).</w:t>
      </w:r>
    </w:p>
    <w:p w14:paraId="5BAC9803" w14:textId="0F90FEBF" w:rsidR="00E63E28" w:rsidRPr="009C541A" w:rsidRDefault="006F6F3D"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Ulusal mahkemeler, ByLock kullanımını doğrudan "örgüt üyeliği" ile eşdeğer tutan otomatik bir varsayımla hareket etmiştir. Bu yaklaşım, suçun oluşması için gereken "manevi unsurun (kastın)" araştırılmasını engellemiş ve kişisel sorumluluğu otomatik bir şekli suça indirgemiştir</w:t>
      </w:r>
      <w:r w:rsidR="00E63E28" w:rsidRPr="009C541A">
        <w:rPr>
          <w:rFonts w:ascii="Palatino Linotype" w:eastAsia="Palatino Linotype" w:hAnsi="Palatino Linotype" w:cs="Palatino Linotype"/>
          <w:color w:val="000000" w:themeColor="text1"/>
          <w:lang w:val="tr-TR"/>
        </w:rPr>
        <w:t xml:space="preserve"> (Bozyokuş, §§ 2, 11; Yalçınkaya, §§ 257, 262–271).</w:t>
      </w:r>
    </w:p>
    <w:p w14:paraId="07509AD0" w14:textId="64D0C4E6" w:rsidR="00E63E28" w:rsidRPr="009C541A" w:rsidRDefault="00E63E28"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AİHM, Hükümetin dosyaların özgünlüğüne dair savunmalarına rağmen, Bozyokuş kararını da Yalçınkaya kararındaki "sistemik sorunlar" çerçevesinde değerlendirmiştir. Mahkemeye göre belirleyici olan, dosya detaylarından ziyade, ByLock’a ulusal ölçekte atfedilen kategorik ispat gücü ve uygulanan tek tip yargılama pratiğidir (Bozyokuş, §§ 9–10).</w:t>
      </w:r>
    </w:p>
    <w:p w14:paraId="3A4FCA5F" w14:textId="2859D66F" w:rsidR="00E63E28" w:rsidRPr="009C541A" w:rsidRDefault="00E63E28"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ByLock kullanımının, otomatik olarak "bilerek ve isteyerek örgüt üyeliği" sayılması, yasaların sanık aleyhine öngörülemez ve genişletici şekilde yorumlanmasıdır. Mahkeme, bu durumun hukuki belirlilik ilkesine aykırı olduğunu ve sistemik bir ihlal oluşturduğunu teyit etmiştir (Bozyokuş, §§ 11–12).</w:t>
      </w:r>
    </w:p>
    <w:p w14:paraId="14187A7B" w14:textId="19843419" w:rsidR="00F75237" w:rsidRPr="009C541A" w:rsidRDefault="00E63E28" w:rsidP="00E63E2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lang w:val="tr-TR"/>
        </w:rPr>
        <w:t xml:space="preserve">Sonuç olarak Mahkeme, AİHS’in 7. maddesinin ihlal edildiğine karar vermiştir. Mahkeme, ihlale yol açan temel sorunların (yargının tek tip yaklaşımı ve delil değerlendirmesi) Yalçınkaya kararında 6. madde ihlaline de yol açan sorunlarla aynı olduğunu tespit etmiştir. Kararda açıkça, mevcut ihlalin, Yalçınkaya kararında ortaya konan ilkeler ışığında (özellikle 6. maddedeki adil yargılanma güvenceleri de gözetilerek) yargılamanın yenilenmesini talep etme </w:t>
      </w:r>
      <w:proofErr w:type="gramStart"/>
      <w:r w:rsidRPr="009C541A">
        <w:rPr>
          <w:rFonts w:ascii="Palatino Linotype" w:eastAsia="Palatino Linotype" w:hAnsi="Palatino Linotype" w:cs="Palatino Linotype"/>
          <w:color w:val="000000" w:themeColor="text1"/>
          <w:lang w:val="tr-TR"/>
        </w:rPr>
        <w:t>imkanı</w:t>
      </w:r>
      <w:proofErr w:type="gramEnd"/>
      <w:r w:rsidRPr="009C541A">
        <w:rPr>
          <w:rFonts w:ascii="Palatino Linotype" w:eastAsia="Palatino Linotype" w:hAnsi="Palatino Linotype" w:cs="Palatino Linotype"/>
          <w:color w:val="000000" w:themeColor="text1"/>
          <w:lang w:val="tr-TR"/>
        </w:rPr>
        <w:t xml:space="preserve"> sağladığı belirtilmiştir. Dolayısıyla, </w:t>
      </w:r>
      <w:r w:rsidRPr="009C541A">
        <w:rPr>
          <w:rFonts w:ascii="Palatino Linotype" w:eastAsia="Palatino Linotype" w:hAnsi="Palatino Linotype" w:cs="Palatino Linotype"/>
          <w:b/>
          <w:bCs/>
          <w:color w:val="000000" w:themeColor="text1"/>
          <w:lang w:val="tr-TR"/>
        </w:rPr>
        <w:t>Yalçınkaya kararındaki 6. maddeye ilişkin ihlal gerekçeleri bu dosya bakımından da geçerliliğini korumakta olup, ihlalin giderilmesi için en uygun yol CMK 311/1-f maddesi uyarınca yargılamanın yenilenmesidir</w:t>
      </w:r>
      <w:r w:rsidRPr="009C541A">
        <w:rPr>
          <w:rFonts w:ascii="Palatino Linotype" w:eastAsia="Palatino Linotype" w:hAnsi="Palatino Linotype" w:cs="Palatino Linotype"/>
          <w:color w:val="000000" w:themeColor="text1"/>
          <w:lang w:val="tr-TR"/>
        </w:rPr>
        <w:t xml:space="preserve"> (Bozyokuş, §§ 14, 17; Yalçınkaya, § 425).</w:t>
      </w:r>
    </w:p>
    <w:p w14:paraId="325FB7D3" w14:textId="10239A1D" w:rsidR="00B763D9" w:rsidRPr="009C541A" w:rsidRDefault="00000000" w:rsidP="00461F6F">
      <w:pPr>
        <w:pStyle w:val="ListeParagraf"/>
        <w:pBdr>
          <w:top w:val="nil"/>
          <w:left w:val="nil"/>
          <w:bottom w:val="nil"/>
          <w:right w:val="nil"/>
          <w:between w:val="nil"/>
        </w:pBdr>
        <w:tabs>
          <w:tab w:val="left" w:pos="3870"/>
        </w:tabs>
        <w:spacing w:line="23" w:lineRule="atLeast"/>
        <w:ind w:left="567" w:hanging="283"/>
        <w:contextualSpacing w:val="0"/>
        <w:jc w:val="both"/>
        <w:rPr>
          <w:rFonts w:ascii="Palatino Linotype" w:eastAsia="Palatino Linotype" w:hAnsi="Palatino Linotype" w:cs="Palatino Linotype"/>
          <w:b/>
          <w:color w:val="000000" w:themeColor="text1"/>
        </w:rPr>
      </w:pPr>
      <w:r w:rsidRPr="009C541A">
        <w:rPr>
          <w:rFonts w:ascii="Palatino Linotype" w:eastAsia="Palatino Linotype" w:hAnsi="Palatino Linotype" w:cs="Palatino Linotype"/>
          <w:b/>
          <w:color w:val="000000" w:themeColor="text1"/>
        </w:rPr>
        <w:t>IV.</w:t>
      </w:r>
      <w:r w:rsidR="00762326" w:rsidRPr="009C541A">
        <w:rPr>
          <w:rFonts w:ascii="Palatino Linotype" w:eastAsia="Palatino Linotype" w:hAnsi="Palatino Linotype" w:cs="Palatino Linotype"/>
          <w:b/>
          <w:color w:val="000000" w:themeColor="text1"/>
        </w:rPr>
        <w:t xml:space="preserve"> AİHM’İN SÖZLEŞMENİN 7. MADDESİNDEN VERDİĞİ İHLALİN GEREKÇELERİ VE MAHKEMEDEN TALEPLER</w:t>
      </w:r>
    </w:p>
    <w:p w14:paraId="2C61CE78" w14:textId="0A070704" w:rsidR="000A5865" w:rsidRPr="009C541A"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bookmarkStart w:id="0" w:name="_Hlk219537204"/>
      <w:r w:rsidRPr="009C541A">
        <w:rPr>
          <w:rFonts w:ascii="Palatino Linotype" w:eastAsia="Times New Roman" w:hAnsi="Palatino Linotype" w:cs="Times New Roman"/>
          <w:color w:val="000000" w:themeColor="text1"/>
          <w:lang w:val="tr-NL"/>
        </w:rPr>
        <w:t>AİHM, Bozyokuş ve Diğerleri kararında (§§ 9–13), Yüksel Yalçınkaya içtihadından ayrılmayı gerektirecek bir durum olmadığını açıkça ortaya koymuş ve her iki dosyada da "kanunsuz ceza olmaz" ilkesini (AİHS m. 7) ihlal eden temel sorunun aynı olduğunu vurgulamıştır. Mahkeme, TCK’nın 314/2. maddesinin ulusal mahkemelerce aşırı geniş ve öngörülemez biçimde yorumlandığını; sırf ByLock kullanımının örgüt üyeliğinin kesin kanıtı sayılmasının, </w:t>
      </w:r>
      <w:r w:rsidRPr="009C541A">
        <w:rPr>
          <w:rFonts w:ascii="Palatino Linotype" w:eastAsia="Times New Roman" w:hAnsi="Palatino Linotype" w:cs="Times New Roman"/>
          <w:b/>
          <w:bCs/>
          <w:color w:val="000000" w:themeColor="text1"/>
          <w:lang w:val="tr-NL"/>
        </w:rPr>
        <w:t>suçun hem maddi hem de manevi unsurlarının</w:t>
      </w:r>
      <w:r w:rsidRPr="009C541A">
        <w:rPr>
          <w:rFonts w:ascii="Palatino Linotype" w:eastAsia="Times New Roman" w:hAnsi="Palatino Linotype" w:cs="Times New Roman"/>
          <w:color w:val="000000" w:themeColor="text1"/>
          <w:lang w:val="tr-NL"/>
        </w:rPr>
        <w:t> kişiselleştirilmesini engelleyerek yasallık ve öngörülebilirlik ilkelerini ihlal ettiğini tespit etmiştir (Bozyokuş, §§ 11; Yalçınkaya §§ 237-238, 257, 264-266). Ceza hukuku kurallarının sanık aleyhine geriye yürütülemez ve kıyas yoluyla genişletilemez olduğu vurgulanmıştır (Yalçınkaya §§ 237-238, 267). </w:t>
      </w:r>
      <w:r w:rsidRPr="009C541A">
        <w:rPr>
          <w:rFonts w:ascii="Palatino Linotype" w:eastAsia="Times New Roman" w:hAnsi="Palatino Linotype" w:cs="Times New Roman"/>
          <w:b/>
          <w:bCs/>
          <w:color w:val="000000" w:themeColor="text1"/>
          <w:lang w:val="tr-NL"/>
        </w:rPr>
        <w:t xml:space="preserve">AİHM Büyük Dairesi'nin yakın zamanda verdiği Yasak v. Türkiye kararı (B.No: 17389/20) ise, bu ihlal tespitlerini çok daha geniş bir delil yelpazesi üzerinden ele almış ve cezai sorumluluğun tespiti için zorunlu olan "manevi unsur" (mens rea / suç kastı) şartını net sınırlarla çizmiştir. Yasak kararında, salt ByLock değil, çok daha çeşitli delillere dayalı mahkûmiyetler incelenmiş ve eylemler ne denli çeşitli olursa olsun, </w:t>
      </w:r>
      <w:r w:rsidRPr="009C541A">
        <w:rPr>
          <w:rFonts w:ascii="Palatino Linotype" w:eastAsia="Times New Roman" w:hAnsi="Palatino Linotype" w:cs="Times New Roman"/>
          <w:b/>
          <w:bCs/>
          <w:color w:val="000000" w:themeColor="text1"/>
          <w:lang w:val="tr-NL"/>
        </w:rPr>
        <w:lastRenderedPageBreak/>
        <w:t>maddi ve manevi unsurlar somut bir biçimde bireyselleştirilerek incelenmeksizin verilen kararların 7. maddeyi açıkça ihlal edeceği hüküm altına alınmıştır (Yasak, §§ 200-202).</w:t>
      </w:r>
    </w:p>
    <w:p w14:paraId="3F3AAF68" w14:textId="0B9FBE85" w:rsidR="000A5865" w:rsidRPr="009C541A"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9C541A">
        <w:rPr>
          <w:rFonts w:ascii="Palatino Linotype" w:eastAsia="Times New Roman" w:hAnsi="Palatino Linotype" w:cs="Times New Roman"/>
          <w:color w:val="000000" w:themeColor="text1"/>
          <w:lang w:val="tr-NL"/>
        </w:rPr>
        <w:t>Bu tespitler ışığında, isnat edilen eylem tarihinde sırf ByLock kullanımının veya gerçekleştirilen faaliyetlerin TCK 314/2 kapsamında örgüt üyeliği sayılacağının o dönemin 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(Bozyokuş §§ 10-11; Yalçınkaya §§ 237-238, 265, 338).</w:t>
      </w:r>
    </w:p>
    <w:p w14:paraId="4967EC24" w14:textId="7777777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9C541A">
        <w:rPr>
          <w:rFonts w:ascii="Palatino Linotype" w:eastAsia="Times New Roman" w:hAnsi="Palatino Linotype" w:cs="Times New Roman"/>
          <w:color w:val="000000" w:themeColor="text1"/>
          <w:lang w:val="tr-NL"/>
        </w:rPr>
        <w:t>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(objektif sorumluluk) rejimi yaratarak Yalçınkaya kararındaki ihlal gerekçelerini dolanmaktır (Bozyokuş §§ 9–10; Yalçınkaya §§ 253, 257, 263-264, 271-272, 338). </w:t>
      </w:r>
      <w:r w:rsidRPr="007640A4">
        <w:rPr>
          <w:rFonts w:ascii="Palatino Linotype" w:eastAsia="Times New Roman" w:hAnsi="Palatino Linotype" w:cs="Times New Roman"/>
          <w:color w:val="000000" w:themeColor="text1"/>
          <w:lang w:val="tr-NL"/>
        </w:rPr>
        <w:t>Yasak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14:paraId="32DB063C" w14:textId="1DFBC72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AİHM'in Yasak kararında vurguladığı en </w:t>
      </w:r>
      <w:r w:rsidR="000F5263" w:rsidRPr="007640A4">
        <w:rPr>
          <w:rFonts w:ascii="Palatino Linotype" w:eastAsia="Times New Roman" w:hAnsi="Palatino Linotype" w:cs="Times New Roman"/>
          <w:color w:val="000000" w:themeColor="text1"/>
          <w:lang w:val="tr-NL"/>
        </w:rPr>
        <w:t>önemli</w:t>
      </w:r>
      <w:r w:rsidRPr="007640A4">
        <w:rPr>
          <w:rFonts w:ascii="Palatino Linotype" w:eastAsia="Times New Roman" w:hAnsi="Palatino Linotype" w:cs="Times New Roman"/>
          <w:color w:val="000000" w:themeColor="text1"/>
          <w:lang w:val="tr-NL"/>
        </w:rPr>
        <w:t xml:space="preserve">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w:t>
      </w:r>
      <w:r w:rsidR="000F5263" w:rsidRPr="007640A4">
        <w:rPr>
          <w:rFonts w:ascii="Palatino Linotype" w:eastAsia="Times New Roman" w:hAnsi="Palatino Linotype" w:cs="Times New Roman"/>
          <w:color w:val="000000" w:themeColor="text1"/>
          <w:lang w:val="tr-NL"/>
        </w:rPr>
        <w:t>yapının</w:t>
      </w:r>
      <w:r w:rsidRPr="007640A4">
        <w:rPr>
          <w:rFonts w:ascii="Palatino Linotype" w:eastAsia="Times New Roman" w:hAnsi="Palatino Linotype" w:cs="Times New Roman"/>
          <w:color w:val="000000" w:themeColor="text1"/>
          <w:lang w:val="tr-NL"/>
        </w:rPr>
        <w:t xml:space="preserve"> parçası olmayı arzuladığının ortaya konulmasını gerektirmektedir. Bir eylemi sadece örgütle temas kurmaktan ya da açıkça suç işleme kastı olmaksızın örgüte salt üye olmaktan ayıran yegane husus budur (Yasak, § 203). Yani Mahkeme, salt yapı üyeliğinin değil, ancak amaçları ve şiddet içeren yöntemlerinden haberdar olunduğu kanıtlanabilen kişilerin terör örgütü üyesi olarak cezalandırılabileceğini net bir şekilde belirtm</w:t>
      </w:r>
      <w:r w:rsidR="000F5263" w:rsidRPr="007640A4">
        <w:rPr>
          <w:rFonts w:ascii="Palatino Linotype" w:eastAsia="Times New Roman" w:hAnsi="Palatino Linotype" w:cs="Times New Roman"/>
          <w:color w:val="000000" w:themeColor="text1"/>
          <w:lang w:val="tr-NL"/>
        </w:rPr>
        <w:t>iştir</w:t>
      </w:r>
      <w:r w:rsidRPr="007640A4">
        <w:rPr>
          <w:rFonts w:ascii="Palatino Linotype" w:eastAsia="Times New Roman" w:hAnsi="Palatino Linotype" w:cs="Times New Roman"/>
          <w:color w:val="000000" w:themeColor="text1"/>
          <w:lang w:val="tr-NL"/>
        </w:rPr>
        <w:t>.</w:t>
      </w:r>
    </w:p>
    <w:p w14:paraId="178AE784" w14:textId="7777777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14:paraId="46E083E0" w14:textId="559CB16C"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AİHM, örgüt üyeliği suçlamasında sanığın "bilme ve isteme" şeklindeki özel kastının somut olarak ispatlanması gerektiğini belirtmiştir (Bozyokuş §§ 9–11; Yalçınkaya §§ 253, 263-264). AİHM Yasak kararında, kasıt unsurunun nasıl tespit edileceğine dair ulusal mahkemelerin uygulamasını incelemiş ve izlenen yöntemi son derece sorunlu bulmuştur. </w:t>
      </w:r>
      <w:r w:rsidR="000F5263" w:rsidRPr="007640A4">
        <w:rPr>
          <w:rFonts w:ascii="Palatino Linotype" w:eastAsia="Times New Roman" w:hAnsi="Palatino Linotype" w:cs="Times New Roman"/>
          <w:color w:val="000000" w:themeColor="text1"/>
          <w:lang w:val="tr-NL"/>
        </w:rPr>
        <w:t>Kararda</w:t>
      </w:r>
      <w:r w:rsidRPr="007640A4">
        <w:rPr>
          <w:rFonts w:ascii="Palatino Linotype" w:eastAsia="Times New Roman" w:hAnsi="Palatino Linotype" w:cs="Times New Roman"/>
          <w:color w:val="000000" w:themeColor="text1"/>
          <w:lang w:val="tr-NL"/>
        </w:rPr>
        <w:t xml:space="preserve"> ne yapılması gerektiği pozitif bir hukuk kuralı olarak tarif edilmiştir: Makamlar, </w:t>
      </w:r>
      <w:r w:rsidRPr="007640A4">
        <w:rPr>
          <w:rFonts w:ascii="Palatino Linotype" w:eastAsia="Times New Roman" w:hAnsi="Palatino Linotype" w:cs="Times New Roman"/>
          <w:color w:val="000000" w:themeColor="text1"/>
          <w:lang w:val="tr-NL"/>
        </w:rPr>
        <w:lastRenderedPageBreak/>
        <w:t xml:space="preserve">bu bileşenlerle yalnızca bir bağlantının varlığını değil, bu bağlantının somut içeriğini ve suç kastını ortaya koyup koymadığını araştırmak zorundadır. Yargılama makamları, kişinin örgütün merkezi veya stratejik yapılarıyla "gerçek, işlevsel ve hiyerarşik bir bağının" bulunup bulunmadığını, bu bağın kapsamını ve niteliğini, ayrıca kişinin </w:t>
      </w:r>
      <w:r w:rsidR="000F5263" w:rsidRPr="007640A4">
        <w:rPr>
          <w:rFonts w:ascii="Palatino Linotype" w:eastAsia="Times New Roman" w:hAnsi="Palatino Linotype" w:cs="Times New Roman"/>
          <w:color w:val="000000" w:themeColor="text1"/>
          <w:lang w:val="tr-NL"/>
        </w:rPr>
        <w:t xml:space="preserve">söz konusu yapının iddia edilen </w:t>
      </w:r>
      <w:r w:rsidRPr="007640A4">
        <w:rPr>
          <w:rFonts w:ascii="Palatino Linotype" w:eastAsia="Times New Roman" w:hAnsi="Palatino Linotype" w:cs="Times New Roman"/>
          <w:color w:val="000000" w:themeColor="text1"/>
          <w:lang w:val="tr-NL"/>
        </w:rPr>
        <w:t>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(Yasak, § 209).</w:t>
      </w:r>
    </w:p>
    <w:p w14:paraId="2E3008CF" w14:textId="7885690F"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Büyük Daire, bu ispat zorunluluğunun neden elzem olduğunu açıklarken çok önemli bir "bağlamsal analiz" yapmıştır. Söz konusu yapının uzun yıllar boyunca toplumun değişik alanlarına, özellikle eğitim, sağlık ve finans alanların</w:t>
      </w:r>
      <w:r w:rsidR="000F5263" w:rsidRPr="007640A4">
        <w:rPr>
          <w:rFonts w:ascii="Palatino Linotype" w:eastAsia="Times New Roman" w:hAnsi="Palatino Linotype" w:cs="Times New Roman"/>
          <w:color w:val="000000" w:themeColor="text1"/>
          <w:lang w:val="tr-NL"/>
        </w:rPr>
        <w:t>da yer aldığını</w:t>
      </w:r>
      <w:r w:rsidRPr="007640A4">
        <w:rPr>
          <w:rFonts w:ascii="Palatino Linotype" w:eastAsia="Times New Roman" w:hAnsi="Palatino Linotype" w:cs="Times New Roman"/>
          <w:color w:val="000000" w:themeColor="text1"/>
          <w:lang w:val="tr-NL"/>
        </w:rPr>
        <w:t xml:space="preserve">, yasal olarak ve devletin denetiminde faaliyet gösterdiği vurgulanmıştır. Dolayısıyla toplumun geniş bir kesimini oluşturan çok sayıda kişinin, bu yapının iddia edilen amaçlarından veya gizli niyetlerinden hiçbir şekilde haberdar olmadan </w:t>
      </w:r>
      <w:r w:rsidR="005C1E79" w:rsidRPr="007640A4">
        <w:rPr>
          <w:rFonts w:ascii="Palatino Linotype" w:eastAsia="Times New Roman" w:hAnsi="Palatino Linotype" w:cs="Times New Roman"/>
          <w:color w:val="000000" w:themeColor="text1"/>
          <w:lang w:val="tr-NL"/>
        </w:rPr>
        <w:t>yapının</w:t>
      </w:r>
      <w:r w:rsidRPr="007640A4">
        <w:rPr>
          <w:rFonts w:ascii="Palatino Linotype" w:eastAsia="Times New Roman" w:hAnsi="Palatino Linotype" w:cs="Times New Roman"/>
          <w:color w:val="000000" w:themeColor="text1"/>
          <w:lang w:val="tr-NL"/>
        </w:rPr>
        <w:t xml:space="preserve"> görünür ve yasal yapılarıyla temas kurmuş, faaliyet sürdürmüş olması son derece olağandır. Hal böyleyken, terör örgütü üyeliği suçunun en zorunlu unsuru olan "kasıt" unsurunun tespitinin önemi bir kat daha artmaktadır (Yasak, § 208). Müvekkilin rutin faaliyetlerinin de bu bağlamsal gerçeklikten kopuk değerlendirilmesi hukuken mümkün değildir.</w:t>
      </w:r>
    </w:p>
    <w:p w14:paraId="03CEBE47" w14:textId="127F16DC"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Bununla birlikte Mahkeme, Yasak kararında </w:t>
      </w:r>
      <w:r w:rsidR="005C1E79" w:rsidRPr="007640A4">
        <w:rPr>
          <w:rFonts w:ascii="Palatino Linotype" w:eastAsia="Times New Roman" w:hAnsi="Palatino Linotype" w:cs="Times New Roman"/>
          <w:color w:val="000000" w:themeColor="text1"/>
          <w:lang w:val="tr-NL"/>
        </w:rPr>
        <w:t>önemli</w:t>
      </w:r>
      <w:r w:rsidRPr="007640A4">
        <w:rPr>
          <w:rFonts w:ascii="Palatino Linotype" w:eastAsia="Times New Roman" w:hAnsi="Palatino Linotype" w:cs="Times New Roman"/>
          <w:color w:val="000000" w:themeColor="text1"/>
          <w:lang w:val="tr-NL"/>
        </w:rPr>
        <w:t xml:space="preserve">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(Yasak, § 205).</w:t>
      </w:r>
    </w:p>
    <w:p w14:paraId="2D664B70" w14:textId="6480A5AE"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w:t>
      </w:r>
      <w:r w:rsidR="00C5509E" w:rsidRPr="007640A4">
        <w:rPr>
          <w:rFonts w:ascii="Palatino Linotype" w:eastAsia="Times New Roman" w:hAnsi="Palatino Linotype" w:cs="Times New Roman"/>
          <w:color w:val="000000" w:themeColor="text1"/>
          <w:lang w:val="tr-NL"/>
        </w:rPr>
        <w:t>oluşturacaktır</w:t>
      </w:r>
      <w:r w:rsidRPr="007640A4">
        <w:rPr>
          <w:rFonts w:ascii="Palatino Linotype" w:eastAsia="Times New Roman" w:hAnsi="Palatino Linotype" w:cs="Times New Roman"/>
          <w:color w:val="000000" w:themeColor="text1"/>
          <w:lang w:val="tr-NL"/>
        </w:rPr>
        <w:t xml:space="preserve"> (Yasak, § 207).</w:t>
      </w:r>
    </w:p>
    <w:p w14:paraId="4868D085" w14:textId="214E4DC3"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AİHM</w:t>
      </w:r>
      <w:r w:rsidR="00C5509E" w:rsidRPr="007640A4">
        <w:rPr>
          <w:rFonts w:ascii="Palatino Linotype" w:eastAsia="Times New Roman" w:hAnsi="Palatino Linotype" w:cs="Times New Roman"/>
          <w:color w:val="000000" w:themeColor="text1"/>
          <w:lang w:val="tr-NL"/>
        </w:rPr>
        <w:t>’e göre</w:t>
      </w:r>
      <w:r w:rsidRPr="007640A4">
        <w:rPr>
          <w:rFonts w:ascii="Palatino Linotype" w:eastAsia="Times New Roman" w:hAnsi="Palatino Linotype" w:cs="Times New Roman"/>
          <w:color w:val="000000" w:themeColor="text1"/>
          <w:lang w:val="tr-NL"/>
        </w:rPr>
        <w:t xml:space="preserve">, </w:t>
      </w:r>
      <w:r w:rsidR="00C5509E" w:rsidRPr="007640A4">
        <w:rPr>
          <w:rFonts w:ascii="Palatino Linotype" w:eastAsia="Times New Roman" w:hAnsi="Palatino Linotype" w:cs="Times New Roman"/>
          <w:color w:val="000000" w:themeColor="text1"/>
          <w:lang w:val="tr-NL"/>
        </w:rPr>
        <w:t>u</w:t>
      </w:r>
      <w:r w:rsidRPr="007640A4">
        <w:rPr>
          <w:rFonts w:ascii="Palatino Linotype" w:eastAsia="Times New Roman" w:hAnsi="Palatino Linotype" w:cs="Times New Roman"/>
          <w:color w:val="000000" w:themeColor="text1"/>
          <w:lang w:val="tr-NL"/>
        </w:rPr>
        <w:t xml:space="preserve">lusal mahkemelerin ByLock tespitini mahkumiyet için tek başına yeterli görmesi, örgüt üyeliği suçu için aranan "süreklilik, çeşitlilik ve yoğunluk" kriterlerinin göz ardı edilmesine yol açmıştır (Bozyokuş §§ 10–11; Yalçınkaya §§ 257, 264-266). Yasak kararında, Yargıtay'ın söz konusu yapıya atfettiği 7 katmanlı hiyerarşik yapının muğlaklığına da özel olarak </w:t>
      </w:r>
      <w:r w:rsidR="007640A4" w:rsidRPr="007640A4">
        <w:rPr>
          <w:rFonts w:ascii="Palatino Linotype" w:eastAsia="Times New Roman" w:hAnsi="Palatino Linotype" w:cs="Times New Roman"/>
          <w:color w:val="000000" w:themeColor="text1"/>
          <w:lang w:val="tr-NL"/>
        </w:rPr>
        <w:t>yer verilmiştir</w:t>
      </w:r>
      <w:r w:rsidRPr="007640A4">
        <w:rPr>
          <w:rFonts w:ascii="Palatino Linotype" w:eastAsia="Times New Roman" w:hAnsi="Palatino Linotype" w:cs="Times New Roman"/>
          <w:color w:val="000000" w:themeColor="text1"/>
          <w:lang w:val="tr-NL"/>
        </w:rPr>
        <w:t xml:space="preserve">.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aleyhine yorumlanmıştır. Yeniden yapılacak yargılamada, </w:t>
      </w:r>
      <w:r w:rsidRPr="007640A4">
        <w:rPr>
          <w:rFonts w:ascii="Palatino Linotype" w:eastAsia="Times New Roman" w:hAnsi="Palatino Linotype" w:cs="Times New Roman"/>
          <w:color w:val="000000" w:themeColor="text1"/>
          <w:lang w:val="tr-NL"/>
        </w:rPr>
        <w:lastRenderedPageBreak/>
        <w:t>örgüt üyeliği için zorunlu olan unsurların her birinin hangi somut delille ispatlandığının tek tek gösterilmesini; ByLock kullanımının veya soyut hiyerarşi katmanlarının tek başına bu unsurları karşıladığı varsayımından vazgeçilerek beraat kararı verilmesini talep ediyoruz.</w:t>
      </w:r>
    </w:p>
    <w:p w14:paraId="78144712" w14:textId="2DA7BA4C"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AİHM, mesaj içeriklerine veya yan delillere bakılmaksızın sadece</w:t>
      </w:r>
      <w:r w:rsidR="00C5509E" w:rsidRPr="007640A4">
        <w:rPr>
          <w:rFonts w:ascii="Palatino Linotype" w:eastAsia="Times New Roman" w:hAnsi="Palatino Linotype" w:cs="Times New Roman"/>
          <w:color w:val="000000" w:themeColor="text1"/>
          <w:lang w:val="tr-NL"/>
        </w:rPr>
        <w:t xml:space="preserve"> Bylock</w:t>
      </w:r>
      <w:r w:rsidRPr="007640A4">
        <w:rPr>
          <w:rFonts w:ascii="Palatino Linotype" w:eastAsia="Times New Roman" w:hAnsi="Palatino Linotype" w:cs="Times New Roman"/>
          <w:color w:val="000000" w:themeColor="text1"/>
          <w:lang w:val="tr-NL"/>
        </w:rPr>
        <w:t xml:space="preserve"> kullanımın tespiti</w:t>
      </w:r>
      <w:r w:rsidR="00C5509E" w:rsidRPr="007640A4">
        <w:rPr>
          <w:rFonts w:ascii="Palatino Linotype" w:eastAsia="Times New Roman" w:hAnsi="Palatino Linotype" w:cs="Times New Roman"/>
          <w:color w:val="000000" w:themeColor="text1"/>
          <w:lang w:val="tr-NL"/>
        </w:rPr>
        <w:t>nin</w:t>
      </w:r>
      <w:r w:rsidRPr="007640A4">
        <w:rPr>
          <w:rFonts w:ascii="Palatino Linotype" w:eastAsia="Times New Roman" w:hAnsi="Palatino Linotype" w:cs="Times New Roman"/>
          <w:color w:val="000000" w:themeColor="text1"/>
          <w:lang w:val="tr-NL"/>
        </w:rPr>
        <w:t xml:space="preserve"> "kesin delil" sayılmasını eleştirmiştir (Bozyokuş §§ 10–11; Yalçınkaya §§ 257, 265-267). Uygulamanın halka açık mağazalardan indirilebilir olduğu bir dönemde "münhasırlık" iddiasının zayıfladığını saptamıştır (Bozyokuş §§ 9–10; Yalçınkaya § 338). Bu nedenle, somut içerik olmaksızın tüm kullanıcılar hakkında aynı sonucun çıkarılmasının öngörülemez olduğu belirtilerek hukuka uygunluğu ispatlanan mesaj içerikleri ve hiyerarşik yapıya dair bağlamsal delillerin dosyaya getirtilmesini; bu veriler yoksa salt kullanım tespitine dayalı hüküm kurulmamasını talep ediyoruz (Bozyokuş §§ 9–11; Yalçınkaya §§ 258, 265-267, 338).</w:t>
      </w:r>
    </w:p>
    <w:p w14:paraId="3CF765B1" w14:textId="38B167B3"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AİHM'in Büyük Daire olarak verdiği Yalçınkaya kararı ve bu içtihadı takip eden Bozyokuş, Demirhan ve Yasak 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w:t>
      </w:r>
      <w:r w:rsidR="00C5509E" w:rsidRPr="007640A4">
        <w:rPr>
          <w:rFonts w:ascii="Palatino Linotype" w:eastAsia="Times New Roman" w:hAnsi="Palatino Linotype" w:cs="Times New Roman"/>
          <w:color w:val="000000" w:themeColor="text1"/>
          <w:lang w:val="tr-NL"/>
        </w:rPr>
        <w:t>iddia edilen</w:t>
      </w:r>
      <w:r w:rsidRPr="007640A4">
        <w:rPr>
          <w:rFonts w:ascii="Palatino Linotype" w:eastAsia="Times New Roman" w:hAnsi="Palatino Linotype" w:cs="Times New Roman"/>
          <w:color w:val="000000" w:themeColor="text1"/>
          <w:lang w:val="tr-NL"/>
        </w:rPr>
        <w:t xml:space="preserve">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14:paraId="7A04FD35" w14:textId="7777777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w:t>
      </w:r>
      <w:r w:rsidRPr="007640A4">
        <w:rPr>
          <w:rFonts w:ascii="Palatino Linotype" w:eastAsia="Times New Roman" w:hAnsi="Palatino Linotype" w:cs="Times New Roman"/>
          <w:color w:val="000000" w:themeColor="text1"/>
          <w:lang w:val="tr-NL"/>
        </w:rPr>
        <w:lastRenderedPageBreak/>
        <w:t>için zorunlu olan manevi unsur tespit edilmeden kişinin cezalandırılmama hakkını garanti eden Sözleşmenin 7. maddesinin ihlalidir (Yasak, §§ 212-213).</w:t>
      </w:r>
    </w:p>
    <w:p w14:paraId="2C72C627" w14:textId="7777777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14:paraId="4A288F39" w14:textId="4E85E827"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Yalçınkaya ve</w:t>
      </w:r>
      <w:r w:rsidR="00C5509E" w:rsidRPr="007640A4">
        <w:rPr>
          <w:rFonts w:ascii="Palatino Linotype" w:eastAsia="Times New Roman" w:hAnsi="Palatino Linotype" w:cs="Times New Roman"/>
          <w:color w:val="000000" w:themeColor="text1"/>
          <w:lang w:val="tr-NL"/>
        </w:rPr>
        <w:t xml:space="preserve"> devamı kararlar ile</w:t>
      </w:r>
      <w:r w:rsidRPr="007640A4">
        <w:rPr>
          <w:rFonts w:ascii="Palatino Linotype" w:eastAsia="Times New Roman" w:hAnsi="Palatino Linotype" w:cs="Times New Roman"/>
          <w:color w:val="000000" w:themeColor="text1"/>
          <w:lang w:val="tr-NL"/>
        </w:rPr>
        <w:t xml:space="preserve"> Yasak Büyük Daire kararları birbirinden bağımsız kararlar değil, yargı sistemimizdeki aynı yapısal sorunun birbirini tamamlayan iki farklı görünümüne </w:t>
      </w:r>
      <w:r w:rsidR="00C5509E" w:rsidRPr="007640A4">
        <w:rPr>
          <w:rFonts w:ascii="Palatino Linotype" w:eastAsia="Times New Roman" w:hAnsi="Palatino Linotype" w:cs="Times New Roman"/>
          <w:color w:val="000000" w:themeColor="text1"/>
          <w:lang w:val="tr-NL"/>
        </w:rPr>
        <w:t>ilişkindir</w:t>
      </w:r>
      <w:r w:rsidRPr="007640A4">
        <w:rPr>
          <w:rFonts w:ascii="Palatino Linotype" w:eastAsia="Times New Roman" w:hAnsi="Palatino Linotype" w:cs="Times New Roman"/>
          <w:color w:val="000000" w:themeColor="text1"/>
          <w:lang w:val="tr-NL"/>
        </w:rPr>
        <w:t xml:space="preserve"> ve birlikte uygulanmak zorundadır. Yalçınkaya kararı otomatik mahkûmiyet, öngörülebilirlik, kanunilik ve delillerin bireyselleştirilmeden kullanılmasının hukuka aykırılığını tespit etmişken; Yasak kararı sorunu daha da temele indirerek kişinin yapının şiddet içeren amaçlarını bilip bilmediğinin (manevi unsurun) mutlaka bireysel olarak ispat edilmesini şart koşmuştur. 15 Temmuz öncesi yasal veya </w:t>
      </w:r>
      <w:r w:rsidR="00C5509E" w:rsidRPr="007640A4">
        <w:rPr>
          <w:rFonts w:ascii="Palatino Linotype" w:eastAsia="Times New Roman" w:hAnsi="Palatino Linotype" w:cs="Times New Roman"/>
          <w:color w:val="000000" w:themeColor="text1"/>
          <w:lang w:val="tr-NL"/>
        </w:rPr>
        <w:t>rutin</w:t>
      </w:r>
      <w:r w:rsidRPr="007640A4">
        <w:rPr>
          <w:rFonts w:ascii="Palatino Linotype" w:eastAsia="Times New Roman" w:hAnsi="Palatino Linotype" w:cs="Times New Roman"/>
          <w:color w:val="000000" w:themeColor="text1"/>
          <w:lang w:val="tr-NL"/>
        </w:rPr>
        <w:t xml:space="preserve"> faaliyetlerin, sonradan geriye yürütülerek </w:t>
      </w:r>
      <w:r w:rsidR="00C5509E" w:rsidRPr="007640A4">
        <w:rPr>
          <w:rFonts w:ascii="Palatino Linotype" w:eastAsia="Times New Roman" w:hAnsi="Palatino Linotype" w:cs="Times New Roman"/>
          <w:color w:val="000000" w:themeColor="text1"/>
          <w:lang w:val="tr-NL"/>
        </w:rPr>
        <w:t>örgüt üyeliği suçunun</w:t>
      </w:r>
      <w:r w:rsidRPr="007640A4">
        <w:rPr>
          <w:rFonts w:ascii="Palatino Linotype" w:eastAsia="Times New Roman" w:hAnsi="Palatino Linotype" w:cs="Times New Roman"/>
          <w:color w:val="000000" w:themeColor="text1"/>
          <w:lang w:val="tr-NL"/>
        </w:rPr>
        <w:t xml:space="preserve"> deliline dönüştürülmesi ve kişinin terör kastı ispatlanmadan cezalandırma yoluna gidilmesi hukuka aykırıdır.</w:t>
      </w:r>
    </w:p>
    <w:p w14:paraId="110B5B5F" w14:textId="11E8B520" w:rsidR="000A5865" w:rsidRPr="007640A4" w:rsidRDefault="000A5865" w:rsidP="000A5865">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 xml:space="preserve">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w:t>
      </w:r>
      <w:r w:rsidR="00C5509E" w:rsidRPr="007640A4">
        <w:rPr>
          <w:rFonts w:ascii="Palatino Linotype" w:eastAsia="Times New Roman" w:hAnsi="Palatino Linotype" w:cs="Times New Roman"/>
          <w:color w:val="000000" w:themeColor="text1"/>
          <w:lang w:val="tr-NL"/>
        </w:rPr>
        <w:t>söz konusu</w:t>
      </w:r>
      <w:r w:rsidRPr="007640A4">
        <w:rPr>
          <w:rFonts w:ascii="Palatino Linotype" w:eastAsia="Times New Roman" w:hAnsi="Palatino Linotype" w:cs="Times New Roman"/>
          <w:color w:val="000000" w:themeColor="text1"/>
          <w:lang w:val="tr-NL"/>
        </w:rPr>
        <w:t xml:space="preserve">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14:paraId="1A130D1C" w14:textId="77777777" w:rsidR="007640A4" w:rsidRDefault="000A5865"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Times New Roman" w:hAnsi="Palatino Linotype" w:cs="Times New Roman"/>
          <w:color w:val="000000" w:themeColor="text1"/>
          <w:lang w:val="tr-NL"/>
        </w:rPr>
        <w:t>Özetle ve sonuç olarak; AİHM, 7. maddenin hukukun üstünlüğünün temeli olduğunu vurgulamıştır (Yalçınkaya § 270). AİHM'in Yalçınkaya, Bozyokuş ve Yasak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bookmarkEnd w:id="0"/>
    </w:p>
    <w:p w14:paraId="3D9A8B62" w14:textId="77777777" w:rsidR="007640A4" w:rsidRDefault="00DF2F5A" w:rsidP="007640A4">
      <w:pPr>
        <w:spacing w:before="100" w:beforeAutospacing="1" w:after="100" w:afterAutospacing="1" w:line="240" w:lineRule="auto"/>
        <w:ind w:left="360"/>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b/>
          <w:color w:val="000000" w:themeColor="text1"/>
        </w:rPr>
        <w:t>B. AİHS’İN 6. MADDESİ KAPSAMINDA MAHKEMEDEN TALEP EDİLEN HUSUSLAR</w:t>
      </w:r>
      <w:r w:rsidRPr="007640A4">
        <w:rPr>
          <w:rFonts w:ascii="Palatino Linotype" w:eastAsia="Palatino Linotype" w:hAnsi="Palatino Linotype" w:cs="Palatino Linotype"/>
          <w:color w:val="000000" w:themeColor="text1"/>
        </w:rPr>
        <w:t xml:space="preserve"> </w:t>
      </w:r>
    </w:p>
    <w:p w14:paraId="265E3F19" w14:textId="77777777" w:rsidR="007640A4" w:rsidRDefault="005301AF"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w:t>
      </w:r>
      <w:r w:rsidR="000619E6" w:rsidRPr="007640A4">
        <w:rPr>
          <w:rFonts w:ascii="Palatino Linotype" w:eastAsia="Palatino Linotype" w:hAnsi="Palatino Linotype" w:cs="Palatino Linotype"/>
          <w:b/>
          <w:bCs/>
          <w:color w:val="000000" w:themeColor="text1"/>
          <w:lang w:val="tr-TR"/>
        </w:rPr>
        <w:t>Bozyokuş ve Diğerleri</w:t>
      </w:r>
      <w:r w:rsidR="000619E6" w:rsidRPr="007640A4">
        <w:rPr>
          <w:rFonts w:ascii="Palatino Linotype" w:eastAsia="Palatino Linotype" w:hAnsi="Palatino Linotype" w:cs="Palatino Linotype"/>
          <w:color w:val="000000" w:themeColor="text1"/>
          <w:lang w:val="tr-TR"/>
        </w:rPr>
        <w:t xml:space="preserve"> kararının gerekçesinde, </w:t>
      </w:r>
      <w:r w:rsidR="005423E7" w:rsidRPr="007640A4">
        <w:rPr>
          <w:rFonts w:ascii="Palatino Linotype" w:eastAsia="Palatino Linotype" w:hAnsi="Palatino Linotype" w:cs="Palatino Linotype"/>
          <w:color w:val="000000" w:themeColor="text1"/>
          <w:lang w:val="tr-TR"/>
        </w:rPr>
        <w:t xml:space="preserve">bu ihlalin temel kaynağının </w:t>
      </w:r>
      <w:r w:rsidR="005423E7" w:rsidRPr="007640A4">
        <w:rPr>
          <w:rFonts w:ascii="Palatino Linotype" w:eastAsia="Palatino Linotype" w:hAnsi="Palatino Linotype" w:cs="Palatino Linotype"/>
          <w:b/>
          <w:bCs/>
          <w:color w:val="000000" w:themeColor="text1"/>
          <w:lang w:val="tr-TR"/>
        </w:rPr>
        <w:t>Yüksel Yalçınkaya</w:t>
      </w:r>
      <w:r w:rsidR="005423E7" w:rsidRPr="007640A4">
        <w:rPr>
          <w:rFonts w:ascii="Palatino Linotype" w:eastAsia="Palatino Linotype" w:hAnsi="Palatino Linotype" w:cs="Palatino Linotype"/>
          <w:color w:val="000000" w:themeColor="text1"/>
          <w:lang w:val="tr-TR"/>
        </w:rPr>
        <w:t xml:space="preserve"> kararında tespit edilen yapısal ve sistemsel sorunlarla birebir aynı olduğunu vurgulamıştır. Mahkeme, Bozyokuş kararının ilgili paragraflarında, Yalçınkaya kararında adil yargılanma hakkı (AİHS m. 6/1) bağlamında tespit edilen; savunmanın elektronik delillere erişememesi, delillerin güvenilirliğinin denetlenememesi ve silahların eşitliği </w:t>
      </w:r>
      <w:r w:rsidR="005423E7" w:rsidRPr="007640A4">
        <w:rPr>
          <w:rFonts w:ascii="Palatino Linotype" w:eastAsia="Palatino Linotype" w:hAnsi="Palatino Linotype" w:cs="Palatino Linotype"/>
          <w:color w:val="000000" w:themeColor="text1"/>
          <w:lang w:val="tr-TR"/>
        </w:rPr>
        <w:lastRenderedPageBreak/>
        <w:t>ilkesinin ihlali gibi hususların bu dosyalar için de geçerli olduğunu açıkça belirtmiştir. Bu sebeple, yeniden yapılacak yargılamada, Yalçınkaya içtihadında 6. madde kapsamında ortaya konulan kriterlerin mahkemenizce dikkate alınması yasal bir zorunluluktur (Bozyokuş, §§ 14, 17; Yalçınkaya, §§ 324–345</w:t>
      </w:r>
      <w:r w:rsidR="005423E7" w:rsidRPr="007640A4">
        <w:rPr>
          <w:rFonts w:ascii="Palatino Linotype" w:eastAsia="Palatino Linotype" w:hAnsi="Palatino Linotype" w:cs="Palatino Linotype"/>
          <w:b/>
          <w:bCs/>
          <w:color w:val="000000" w:themeColor="text1"/>
          <w:lang w:val="tr-TR"/>
        </w:rPr>
        <w:t xml:space="preserve">). </w:t>
      </w:r>
    </w:p>
    <w:p w14:paraId="520CFA0B"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tespitler doğrultusunda yargılamalarda belirleyici delil sayılan ByLock verilerinin elde ediliş yöntemi, bütünlüğü ve güvenilirliği konusunda savunmanın etkili itirazda bulunma imkanının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w:t>
      </w:r>
      <w:proofErr w:type="spellStart"/>
      <w:r w:rsidRPr="007640A4">
        <w:rPr>
          <w:rFonts w:ascii="Palatino Linotype" w:eastAsia="Palatino Linotype" w:hAnsi="Palatino Linotype" w:cs="Palatino Linotype"/>
          <w:color w:val="000000" w:themeColor="text1"/>
          <w:lang w:val="tr-TR"/>
        </w:rPr>
        <w:t>istihbari</w:t>
      </w:r>
      <w:proofErr w:type="spellEnd"/>
      <w:r w:rsidRPr="007640A4">
        <w:rPr>
          <w:rFonts w:ascii="Palatino Linotype" w:eastAsia="Palatino Linotype" w:hAnsi="Palatino Linotype" w:cs="Palatino Linotype"/>
          <w:color w:val="000000" w:themeColor="text1"/>
          <w:lang w:val="tr-TR"/>
        </w:rPr>
        <w:t xml:space="preserve"> yöntemlerle elde edilen verilerin Cumhuriyet savcılığına teslim edildikten sonra alınan CMK 134 kararları veya buna ilişkin tutanakların geçmişe dönük olarak hukuka uygun hale getirilemeyeceğinin ve delilin ilk toplandığı andaki yargısal denetimsizliğin sonradan yapılan işlemlerle telafi edilemeyeceğinin AİHM içtihatları doğrultusunda kabul edilmesini talep ediyoruz (Yalçınkaya §§ 293, 317, 324–341, 327, 331, 332-333, 334, 335-337, 337-339, 344-345).</w:t>
      </w:r>
    </w:p>
    <w:p w14:paraId="4303E0B5"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MİT’in veri toplama faaliyetinin </w:t>
      </w:r>
      <w:proofErr w:type="spellStart"/>
      <w:r w:rsidRPr="007640A4">
        <w:rPr>
          <w:rFonts w:ascii="Palatino Linotype" w:eastAsia="Palatino Linotype" w:hAnsi="Palatino Linotype" w:cs="Palatino Linotype"/>
          <w:color w:val="000000" w:themeColor="text1"/>
          <w:lang w:val="tr-TR"/>
        </w:rPr>
        <w:t>istihbari</w:t>
      </w:r>
      <w:proofErr w:type="spellEnd"/>
      <w:r w:rsidRPr="007640A4">
        <w:rPr>
          <w:rFonts w:ascii="Palatino Linotype" w:eastAsia="Palatino Linotype" w:hAnsi="Palatino Linotype" w:cs="Palatino Linotype"/>
          <w:color w:val="000000" w:themeColor="text1"/>
          <w:lang w:val="tr-TR"/>
        </w:rPr>
        <w:t xml:space="preserve">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w:t>
      </w:r>
    </w:p>
    <w:p w14:paraId="67E36FC4"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doğrultuda </w:t>
      </w:r>
      <w:proofErr w:type="spellStart"/>
      <w:r w:rsidRPr="007640A4">
        <w:rPr>
          <w:rFonts w:ascii="Palatino Linotype" w:eastAsia="Palatino Linotype" w:hAnsi="Palatino Linotype" w:cs="Palatino Linotype"/>
          <w:color w:val="000000" w:themeColor="text1"/>
          <w:lang w:val="tr-TR"/>
        </w:rPr>
        <w:t>istihbari</w:t>
      </w:r>
      <w:proofErr w:type="spellEnd"/>
      <w:r w:rsidRPr="007640A4">
        <w:rPr>
          <w:rFonts w:ascii="Palatino Linotype" w:eastAsia="Palatino Linotype" w:hAnsi="Palatino Linotype" w:cs="Palatino Linotype"/>
          <w:color w:val="000000" w:themeColor="text1"/>
          <w:lang w:val="tr-TR"/>
        </w:rPr>
        <w:t xml:space="preserve">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14:paraId="44F0150F"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w:t>
      </w:r>
      <w:proofErr w:type="spellStart"/>
      <w:r w:rsidRPr="007640A4">
        <w:rPr>
          <w:rFonts w:ascii="Palatino Linotype" w:eastAsia="Palatino Linotype" w:hAnsi="Palatino Linotype" w:cs="Palatino Linotype"/>
          <w:color w:val="000000" w:themeColor="text1"/>
          <w:lang w:val="tr-TR"/>
        </w:rPr>
        <w:t>usuli</w:t>
      </w:r>
      <w:proofErr w:type="spellEnd"/>
      <w:r w:rsidRPr="007640A4">
        <w:rPr>
          <w:rFonts w:ascii="Palatino Linotype" w:eastAsia="Palatino Linotype" w:hAnsi="Palatino Linotype" w:cs="Palatino Linotype"/>
          <w:color w:val="000000" w:themeColor="text1"/>
          <w:lang w:val="tr-TR"/>
        </w:rPr>
        <w:t xml:space="preserve"> kısıtlamaları meşrulaştıramayacağını belirtmiştir (Yalçınkaya §§ 324–341, 353–356).</w:t>
      </w:r>
    </w:p>
    <w:p w14:paraId="13F0F16A"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ihlal gerekçesi doğrultusunda ulusal mahkemelerin "Tespit ve Değerlendirme </w:t>
      </w:r>
      <w:proofErr w:type="spellStart"/>
      <w:r w:rsidRPr="007640A4">
        <w:rPr>
          <w:rFonts w:ascii="Palatino Linotype" w:eastAsia="Palatino Linotype" w:hAnsi="Palatino Linotype" w:cs="Palatino Linotype"/>
          <w:color w:val="000000" w:themeColor="text1"/>
          <w:lang w:val="tr-TR"/>
        </w:rPr>
        <w:t>Tutanakları"nın</w:t>
      </w:r>
      <w:proofErr w:type="spellEnd"/>
      <w:r w:rsidRPr="007640A4">
        <w:rPr>
          <w:rFonts w:ascii="Palatino Linotype" w:eastAsia="Palatino Linotype" w:hAnsi="Palatino Linotype" w:cs="Palatino Linotype"/>
          <w:color w:val="000000" w:themeColor="text1"/>
          <w:lang w:val="tr-TR"/>
        </w:rPr>
        <w:t xml:space="preserve">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yerine savunma tarafına ham veriler üzerinde denetim imkanı verilmesini ve rapor </w:t>
      </w:r>
      <w:r w:rsidRPr="007640A4">
        <w:rPr>
          <w:rFonts w:ascii="Palatino Linotype" w:eastAsia="Palatino Linotype" w:hAnsi="Palatino Linotype" w:cs="Palatino Linotype"/>
          <w:color w:val="000000" w:themeColor="text1"/>
          <w:lang w:val="tr-TR"/>
        </w:rPr>
        <w:lastRenderedPageBreak/>
        <w:t>aldırılmasını, MİT’ten temin edilen veriler üzerinde uluslararası standartlara haiz bağımsız ve tarafsız bir adli bilişim bilirkişisi tarafından inceleme yaptırılmasını talep ediyoruz (Yalçınkaya §§ 327, 331, 332-333, 334).</w:t>
      </w:r>
    </w:p>
    <w:p w14:paraId="09C5DFC0"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MİT tarafından yayınlanan kullanıcı listeleri arasındaki tutarsızlıklar ve soruşturulan kişi sayısı ile indirme sayıları arasındaki farklar (215 bin kullanıcı </w:t>
      </w:r>
      <w:proofErr w:type="spellStart"/>
      <w:r w:rsidRPr="007640A4">
        <w:rPr>
          <w:rFonts w:ascii="Palatino Linotype" w:eastAsia="Palatino Linotype" w:hAnsi="Palatino Linotype" w:cs="Palatino Linotype"/>
          <w:color w:val="000000" w:themeColor="text1"/>
          <w:lang w:val="tr-TR"/>
        </w:rPr>
        <w:t>vs</w:t>
      </w:r>
      <w:proofErr w:type="spellEnd"/>
      <w:r w:rsidRPr="007640A4">
        <w:rPr>
          <w:rFonts w:ascii="Palatino Linotype" w:eastAsia="Palatino Linotype" w:hAnsi="Palatino Linotype" w:cs="Palatino Linotype"/>
          <w:color w:val="000000" w:themeColor="text1"/>
          <w:lang w:val="tr-TR"/>
        </w:rPr>
        <w:t xml:space="preserve"> 102 bin soruşturma) konusundaki savunma itirazlarının mahkemelerce aydınlatılmadığını, savunmanın delilin güvenilirliğini test etme imkânından yoksun bırakılmasının yargılamanın adilliğini sakatladığını tespit etmiştir (Yalçınkaya § 334).</w:t>
      </w:r>
    </w:p>
    <w:p w14:paraId="3BE4DBD2"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nedenle savunmanın ham veriler üzerinde bilirkişi incelemesi yaptırma talebinin reddinin hak ihlali olduğu kabul edilerek dosyada bulunan HTS/CGNAT kayıtlarının ByLock sinyalleriyle uyumlu olmasının veya polis (KOM) tarafından düzenlenen 'Tespit ve Değerlendirme </w:t>
      </w:r>
      <w:proofErr w:type="spellStart"/>
      <w:r w:rsidRPr="007640A4">
        <w:rPr>
          <w:rFonts w:ascii="Palatino Linotype" w:eastAsia="Palatino Linotype" w:hAnsi="Palatino Linotype" w:cs="Palatino Linotype"/>
          <w:color w:val="000000" w:themeColor="text1"/>
          <w:lang w:val="tr-TR"/>
        </w:rPr>
        <w:t>Tutanakları'nın</w:t>
      </w:r>
      <w:proofErr w:type="spellEnd"/>
      <w:r w:rsidRPr="007640A4">
        <w:rPr>
          <w:rFonts w:ascii="Palatino Linotype" w:eastAsia="Palatino Linotype" w:hAnsi="Palatino Linotype" w:cs="Palatino Linotype"/>
          <w:color w:val="000000" w:themeColor="text1"/>
          <w:lang w:val="tr-TR"/>
        </w:rPr>
        <w:t xml:space="preserve">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14:paraId="0A086FF9"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verilerin MİT tarafından elde edildiği an ile adli makamlara teslim edildiği 09/12/2016 tarihi arasında geçen sürede veri bütünlüğünün korunduğuna dair teknik güvencelerin (ilk HASH değeri, zaman damgası vb.) eksik olduğunu saptamış; Hükümetin MİT’in verileri </w:t>
      </w:r>
      <w:proofErr w:type="spellStart"/>
      <w:r w:rsidRPr="007640A4">
        <w:rPr>
          <w:rFonts w:ascii="Palatino Linotype" w:eastAsia="Palatino Linotype" w:hAnsi="Palatino Linotype" w:cs="Palatino Linotype"/>
          <w:color w:val="000000" w:themeColor="text1"/>
          <w:lang w:val="tr-TR"/>
        </w:rPr>
        <w:t>istihbari</w:t>
      </w:r>
      <w:proofErr w:type="spellEnd"/>
      <w:r w:rsidRPr="007640A4">
        <w:rPr>
          <w:rFonts w:ascii="Palatino Linotype" w:eastAsia="Palatino Linotype" w:hAnsi="Palatino Linotype" w:cs="Palatino Linotype"/>
          <w:color w:val="000000" w:themeColor="text1"/>
          <w:lang w:val="tr-TR"/>
        </w:rPr>
        <w:t xml:space="preserve"> yöntemlerle topladığına ve bu aşamada yargısal denetime tabi olmadığına dair savunması bu verilerin daha sonra ceza yargılamasında "tek ve belirleyici delil" olarak kullanılması gerçeği karşısında yetersiz kalmıştır (Yalçınkaya §§ 293, 333, 334).</w:t>
      </w:r>
    </w:p>
    <w:p w14:paraId="0FDE28E4"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w:t>
      </w:r>
      <w:proofErr w:type="spellStart"/>
      <w:r w:rsidRPr="007640A4">
        <w:rPr>
          <w:rFonts w:ascii="Palatino Linotype" w:eastAsia="Palatino Linotype" w:hAnsi="Palatino Linotype" w:cs="Palatino Linotype"/>
          <w:color w:val="000000" w:themeColor="text1"/>
          <w:lang w:val="tr-TR"/>
        </w:rPr>
        <w:t>istihbari</w:t>
      </w:r>
      <w:proofErr w:type="spellEnd"/>
      <w:r w:rsidRPr="007640A4">
        <w:rPr>
          <w:rFonts w:ascii="Palatino Linotype" w:eastAsia="Palatino Linotype" w:hAnsi="Palatino Linotype" w:cs="Palatino Linotype"/>
          <w:color w:val="000000" w:themeColor="text1"/>
          <w:lang w:val="tr-TR"/>
        </w:rPr>
        <w:t xml:space="preserve">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14:paraId="58FE8645"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belirtmiştir ve ham verilere erişimin sağlanamadığı durumlarda dahi yargılamada "adil </w:t>
      </w:r>
      <w:proofErr w:type="spellStart"/>
      <w:r w:rsidRPr="007640A4">
        <w:rPr>
          <w:rFonts w:ascii="Palatino Linotype" w:eastAsia="Palatino Linotype" w:hAnsi="Palatino Linotype" w:cs="Palatino Linotype"/>
          <w:color w:val="000000" w:themeColor="text1"/>
          <w:lang w:val="tr-TR"/>
        </w:rPr>
        <w:t>denge"nin</w:t>
      </w:r>
      <w:proofErr w:type="spellEnd"/>
      <w:r w:rsidRPr="007640A4">
        <w:rPr>
          <w:rFonts w:ascii="Palatino Linotype" w:eastAsia="Palatino Linotype" w:hAnsi="Palatino Linotype" w:cs="Palatino Linotype"/>
          <w:color w:val="000000" w:themeColor="text1"/>
          <w:lang w:val="tr-TR"/>
        </w:rPr>
        <w:t xml:space="preserve">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335-336, 335-337).</w:t>
      </w:r>
    </w:p>
    <w:p w14:paraId="76455C06"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Bu kapsamda yargılamanın en temel ilkelerinden biri olan "silahların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w:t>
      </w:r>
      <w:r w:rsidRPr="007640A4">
        <w:rPr>
          <w:rFonts w:ascii="Palatino Linotype" w:eastAsia="Palatino Linotype" w:hAnsi="Palatino Linotype" w:cs="Palatino Linotype"/>
          <w:color w:val="000000" w:themeColor="text1"/>
          <w:lang w:val="tr-TR"/>
        </w:rPr>
        <w:lastRenderedPageBreak/>
        <w:t>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verilerin teknik imkansızlıklar nedeniyle verilememesi durumunda ise bu imkansızlığın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14:paraId="40AB3042"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 xml:space="preserve">AİHM, uygulamanın halka açık mağazalardan (Google Play, App </w:t>
      </w:r>
      <w:proofErr w:type="spellStart"/>
      <w:r w:rsidRPr="007640A4">
        <w:rPr>
          <w:rFonts w:ascii="Palatino Linotype" w:eastAsia="Palatino Linotype" w:hAnsi="Palatino Linotype" w:cs="Palatino Linotype"/>
          <w:color w:val="000000" w:themeColor="text1"/>
          <w:lang w:val="tr-TR"/>
        </w:rPr>
        <w:t>Store</w:t>
      </w:r>
      <w:proofErr w:type="spellEnd"/>
      <w:r w:rsidRPr="007640A4">
        <w:rPr>
          <w:rFonts w:ascii="Palatino Linotype" w:eastAsia="Palatino Linotype" w:hAnsi="Palatino Linotype" w:cs="Palatino Linotype"/>
          <w:color w:val="000000" w:themeColor="text1"/>
          <w:lang w:val="tr-TR"/>
        </w:rPr>
        <w:t xml:space="preserv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mahkeme uygulamanın herkesçe erişilebilir olduğu bir dönemde sadece indirme işleminin hiyerarşik yapıya dahil olmayı kanıtlamayacağını vurgulamıştır (Yalçınkaya §§ 334, 337-339, 338-339); "Münhasırlık" iddiası somut teknik verilerle (server kayıtları, indirme istatistikleri vb.) desteklenmemiş, bu iddia MİT raporlarındaki varsayımlara dayandırılmıştır, AİHM Yargıtay’ın "talimatla ağa katılma" kriterini koymasına rağmen somut dosyalarda bu talimatın varlığını araştırmadan hüküm kurmasını eleştirmiştir (Yalçınkaya §§ 338-339).</w:t>
      </w:r>
    </w:p>
    <w:p w14:paraId="1ABE3380"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14:paraId="1D63BFC4" w14:textId="77777777" w:rsidR="007640A4" w:rsidRDefault="00762326"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lang w:val="tr-TR"/>
        </w:rPr>
        <w:t>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w:t>
      </w:r>
      <w:bookmarkStart w:id="1" w:name="_Hlk219537367"/>
    </w:p>
    <w:p w14:paraId="1C82B1CB" w14:textId="77777777" w:rsidR="007640A4" w:rsidRDefault="009A3ECB"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 xml:space="preserve">AİHM'in 6. madde kapsamında verdiği ihlal kararı ve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w:t>
      </w:r>
      <w:proofErr w:type="spellStart"/>
      <w:r w:rsidRPr="007640A4">
        <w:rPr>
          <w:rFonts w:ascii="Palatino Linotype" w:eastAsia="Palatino Linotype" w:hAnsi="Palatino Linotype" w:cs="Palatino Linotype"/>
          <w:color w:val="000000" w:themeColor="text1"/>
        </w:rPr>
        <w:t>istihbari</w:t>
      </w:r>
      <w:proofErr w:type="spellEnd"/>
      <w:r w:rsidRPr="007640A4">
        <w:rPr>
          <w:rFonts w:ascii="Palatino Linotype" w:eastAsia="Palatino Linotype" w:hAnsi="Palatino Linotype" w:cs="Palatino Linotype"/>
          <w:color w:val="000000" w:themeColor="text1"/>
        </w:rPr>
        <w:t xml:space="preserve"> yollarla elde edip üzerinde AİHM'in de belirttiği şekliyle aylarca çalışılan ByLock verileri savcılığa teslim edildiği gün ByLock'la ilgili soruşturma başlatılmıştır. ByLock verileri, bir </w:t>
      </w:r>
      <w:proofErr w:type="gramStart"/>
      <w:r w:rsidRPr="007640A4">
        <w:rPr>
          <w:rFonts w:ascii="Palatino Linotype" w:eastAsia="Palatino Linotype" w:hAnsi="Palatino Linotype" w:cs="Palatino Linotype"/>
          <w:color w:val="000000" w:themeColor="text1"/>
        </w:rPr>
        <w:t>hakim</w:t>
      </w:r>
      <w:proofErr w:type="gramEnd"/>
      <w:r w:rsidRPr="007640A4">
        <w:rPr>
          <w:rFonts w:ascii="Palatino Linotype" w:eastAsia="Palatino Linotype" w:hAnsi="Palatino Linotype" w:cs="Palatino Linotype"/>
          <w:color w:val="000000" w:themeColor="text1"/>
        </w:rPr>
        <w:t xml:space="preserve"> kararına istinaden değil, </w:t>
      </w:r>
      <w:proofErr w:type="spellStart"/>
      <w:r w:rsidRPr="007640A4">
        <w:rPr>
          <w:rFonts w:ascii="Palatino Linotype" w:eastAsia="Palatino Linotype" w:hAnsi="Palatino Linotype" w:cs="Palatino Linotype"/>
          <w:color w:val="000000" w:themeColor="text1"/>
        </w:rPr>
        <w:t>istihbari</w:t>
      </w:r>
      <w:proofErr w:type="spellEnd"/>
      <w:r w:rsidRPr="007640A4">
        <w:rPr>
          <w:rFonts w:ascii="Palatino Linotype" w:eastAsia="Palatino Linotype" w:hAnsi="Palatino Linotype" w:cs="Palatino Linotype"/>
          <w:color w:val="000000" w:themeColor="text1"/>
        </w:rPr>
        <w:t xml:space="preserve"> çalışmayla elde edilmiştir. </w:t>
      </w:r>
      <w:proofErr w:type="gramStart"/>
      <w:r w:rsidRPr="007640A4">
        <w:rPr>
          <w:rFonts w:ascii="Palatino Linotype" w:eastAsia="Palatino Linotype" w:hAnsi="Palatino Linotype" w:cs="Palatino Linotype"/>
          <w:color w:val="000000" w:themeColor="text1"/>
        </w:rPr>
        <w:t>Hakim</w:t>
      </w:r>
      <w:proofErr w:type="gramEnd"/>
      <w:r w:rsidRPr="007640A4">
        <w:rPr>
          <w:rFonts w:ascii="Palatino Linotype" w:eastAsia="Palatino Linotype" w:hAnsi="Palatino Linotype" w:cs="Palatino Linotype"/>
          <w:color w:val="000000" w:themeColor="text1"/>
        </w:rPr>
        <w:t xml:space="preserve"> tarafından verilecek arama kararı üzerine elde edilip el konulması 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w:t>
      </w:r>
      <w:proofErr w:type="spellStart"/>
      <w:r w:rsidRPr="007640A4">
        <w:rPr>
          <w:rFonts w:ascii="Palatino Linotype" w:eastAsia="Palatino Linotype" w:hAnsi="Palatino Linotype" w:cs="Palatino Linotype"/>
          <w:color w:val="000000" w:themeColor="text1"/>
        </w:rPr>
        <w:t>elkoymaya</w:t>
      </w:r>
      <w:proofErr w:type="spellEnd"/>
      <w:r w:rsidRPr="007640A4">
        <w:rPr>
          <w:rFonts w:ascii="Palatino Linotype" w:eastAsia="Palatino Linotype" w:hAnsi="Palatino Linotype" w:cs="Palatino Linotype"/>
          <w:color w:val="000000" w:themeColor="text1"/>
        </w:rPr>
        <w:t xml:space="preserve"> ilişkin olmayıp sadece imaj almaya (kopyalama) ilişkindir. Ancak, usulüne uygun şekilde ve </w:t>
      </w:r>
      <w:proofErr w:type="gramStart"/>
      <w:r w:rsidRPr="007640A4">
        <w:rPr>
          <w:rFonts w:ascii="Palatino Linotype" w:eastAsia="Palatino Linotype" w:hAnsi="Palatino Linotype" w:cs="Palatino Linotype"/>
          <w:color w:val="000000" w:themeColor="text1"/>
        </w:rPr>
        <w:t>hakim</w:t>
      </w:r>
      <w:proofErr w:type="gramEnd"/>
      <w:r w:rsidRPr="007640A4">
        <w:rPr>
          <w:rFonts w:ascii="Palatino Linotype" w:eastAsia="Palatino Linotype" w:hAnsi="Palatino Linotype" w:cs="Palatino Linotype"/>
          <w:color w:val="000000" w:themeColor="text1"/>
        </w:rPr>
        <w:t xml:space="preserve"> kararın üzerine yapılmamış bir aramada elde edilen delilin sadece imajının </w:t>
      </w:r>
      <w:r w:rsidRPr="007640A4">
        <w:rPr>
          <w:rFonts w:ascii="Palatino Linotype" w:eastAsia="Palatino Linotype" w:hAnsi="Palatino Linotype" w:cs="Palatino Linotype"/>
          <w:color w:val="000000" w:themeColor="text1"/>
        </w:rPr>
        <w:lastRenderedPageBreak/>
        <w:t xml:space="preserve">alınmasına </w:t>
      </w:r>
      <w:proofErr w:type="gramStart"/>
      <w:r w:rsidRPr="007640A4">
        <w:rPr>
          <w:rFonts w:ascii="Palatino Linotype" w:eastAsia="Palatino Linotype" w:hAnsi="Palatino Linotype" w:cs="Palatino Linotype"/>
          <w:color w:val="000000" w:themeColor="text1"/>
        </w:rPr>
        <w:t>hakim</w:t>
      </w:r>
      <w:proofErr w:type="gramEnd"/>
      <w:r w:rsidRPr="007640A4">
        <w:rPr>
          <w:rFonts w:ascii="Palatino Linotype" w:eastAsia="Palatino Linotype" w:hAnsi="Palatino Linotype" w:cs="Palatino Linotype"/>
          <w:color w:val="000000" w:themeColor="text1"/>
        </w:rPr>
        <w:t xml:space="preserve"> tarafından karar verilmesi, o delilin elde edilme sürecindeki hukuka aykırılıkları ortadan kaldırmaz. CMK 134. maddenin amacı, göstermelik de olsa bir delilin elde edilmesiyle ilgili sonradan da olsa bir </w:t>
      </w:r>
      <w:proofErr w:type="gramStart"/>
      <w:r w:rsidRPr="007640A4">
        <w:rPr>
          <w:rFonts w:ascii="Palatino Linotype" w:eastAsia="Palatino Linotype" w:hAnsi="Palatino Linotype" w:cs="Palatino Linotype"/>
          <w:color w:val="000000" w:themeColor="text1"/>
        </w:rPr>
        <w:t>hakim</w:t>
      </w:r>
      <w:proofErr w:type="gramEnd"/>
      <w:r w:rsidRPr="007640A4">
        <w:rPr>
          <w:rFonts w:ascii="Palatino Linotype" w:eastAsia="Palatino Linotype" w:hAnsi="Palatino Linotype" w:cs="Palatino Linotype"/>
          <w:color w:val="000000" w:themeColor="text1"/>
        </w:rPr>
        <w:t xml:space="preserve"> kararı bulunması değil, dijital delilin en baştan itibaren öngörülen usule uygun şekilde elde edilmesidir.</w:t>
      </w:r>
    </w:p>
    <w:p w14:paraId="20BA85EF" w14:textId="7DD4E9E6" w:rsidR="007640A4" w:rsidRDefault="009A3ECB"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 xml:space="preserve">Aynı şekilde, ByLock verileri 5809 sayılı Elektronik Haberleşme Kanunu ve bu kanuna dayanarak çıkarılan yönetmeliklerde öngörülen 1 yıllık yasal saklama süresi geçtikten sonra dosyalara dahil edilmiştir; yani normalde imha edilmesi gereken ve artık yasal delil statüsünde olmayan verilere dayalı olarak yargılamalar yapılmaktadır. </w:t>
      </w:r>
      <w:r w:rsidRPr="00FC7B65">
        <w:rPr>
          <w:rFonts w:ascii="Palatino Linotype" w:eastAsia="Palatino Linotype" w:hAnsi="Palatino Linotype" w:cs="Palatino Linotype"/>
          <w:color w:val="000000" w:themeColor="text1"/>
        </w:rPr>
        <w:t xml:space="preserve">Ayrıca, </w:t>
      </w:r>
      <w:r w:rsidRPr="00FC7B65">
        <w:rPr>
          <w:rFonts w:ascii="Palatino Linotype" w:eastAsia="Palatino Linotype" w:hAnsi="Palatino Linotype" w:cs="Palatino Linotype"/>
          <w:color w:val="000000" w:themeColor="text1"/>
          <w:lang w:val="tr-TR"/>
        </w:rPr>
        <w:t>Ankara C. Başsavcılığının aldırdığı bilirkişi raporundan da anlaşılacağı üzere yapısı bozuktur ve orijinal değildir.</w:t>
      </w:r>
      <w:r w:rsidRPr="007640A4">
        <w:rPr>
          <w:rFonts w:ascii="Palatino Linotype" w:eastAsia="Palatino Linotype" w:hAnsi="Palatino Linotype" w:cs="Palatino Linotype"/>
          <w:color w:val="000000" w:themeColor="text1"/>
        </w:rPr>
        <w:t xml:space="preserve"> Kısaca, AİHM'in ihlal gerekçesinde yer verdiği ve burada söylediğimiz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 </w:t>
      </w:r>
    </w:p>
    <w:p w14:paraId="629E270B" w14:textId="77777777" w:rsidR="007640A4" w:rsidRDefault="009A3ECB"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Sonuç olarak AİHM, elektronik delillerin elde edilmesi ve kullanılmasında savunma haklarının gözetilmediği, silahların eşitliği ilkesinin ihlal edildiği ve yargılamanın bir bütün olarak adil olmadığı gerekçesiyle AİHS’in 6/1. maddesinin ihlal edildiğine karar vermiştir (Yalçınkaya §§ 344-345; Demirhan § 46). Bu ihlal gerekçesi doğrultusunda AİHM Yalçınkaya kararında; adil yargılanma hakkı bağlamında tespit edilen savunmanın elektronik delillere erişememesi, delillerin güvenilirliğinin denetlenememesi ve silahların eşitliği ilkesinin ihlali gibi hususların bu dosyalar için de geçerli olduğunu açıkça belirtmiştir.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Yalçınkaya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Yalçınkaya ve Demirhan kararlarındaki tespitlerine aykırı şekilde ByLock’a dayanılarak hüküm kurulmamasını talep ediyoruz (Yalçınkaya §§ 242-243, 293, 317, 327, 331, 332-333, 334, 335-337, 337-339, 344-345).</w:t>
      </w:r>
      <w:bookmarkEnd w:id="1"/>
    </w:p>
    <w:p w14:paraId="07B79D87" w14:textId="77777777" w:rsidR="007640A4" w:rsidRDefault="00000000" w:rsidP="007640A4">
      <w:pPr>
        <w:spacing w:before="100" w:beforeAutospacing="1" w:after="100" w:afterAutospacing="1" w:line="240" w:lineRule="auto"/>
        <w:ind w:left="360"/>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b/>
          <w:color w:val="000000" w:themeColor="text1"/>
        </w:rPr>
        <w:t>VI. NETİCE</w:t>
      </w:r>
      <w:r w:rsidR="00DF2F5A" w:rsidRPr="007640A4">
        <w:rPr>
          <w:rFonts w:ascii="Palatino Linotype" w:eastAsia="Palatino Linotype" w:hAnsi="Palatino Linotype" w:cs="Palatino Linotype"/>
          <w:b/>
          <w:color w:val="000000" w:themeColor="text1"/>
        </w:rPr>
        <w:t xml:space="preserve"> VE</w:t>
      </w:r>
      <w:r w:rsidRPr="007640A4">
        <w:rPr>
          <w:rFonts w:ascii="Palatino Linotype" w:eastAsia="Palatino Linotype" w:hAnsi="Palatino Linotype" w:cs="Palatino Linotype"/>
          <w:b/>
          <w:color w:val="000000" w:themeColor="text1"/>
        </w:rPr>
        <w:t xml:space="preserve"> TALEP</w:t>
      </w:r>
    </w:p>
    <w:p w14:paraId="5581329A" w14:textId="77777777" w:rsidR="007640A4" w:rsidRDefault="00000000"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 xml:space="preserve">AİHM’in </w:t>
      </w:r>
      <w:r w:rsidR="00244534" w:rsidRPr="007640A4">
        <w:rPr>
          <w:rFonts w:ascii="Palatino Linotype" w:eastAsia="Palatino Linotype" w:hAnsi="Palatino Linotype" w:cs="Palatino Linotype"/>
          <w:b/>
          <w:bCs/>
          <w:color w:val="000000" w:themeColor="text1"/>
        </w:rPr>
        <w:t>Bozyokuş</w:t>
      </w:r>
      <w:r w:rsidRPr="007640A4">
        <w:rPr>
          <w:rFonts w:ascii="Palatino Linotype" w:eastAsia="Palatino Linotype" w:hAnsi="Palatino Linotype" w:cs="Palatino Linotype"/>
          <w:b/>
          <w:bCs/>
          <w:color w:val="000000" w:themeColor="text1"/>
        </w:rPr>
        <w:t xml:space="preserve"> ve diğerleri</w:t>
      </w:r>
      <w:r w:rsidRPr="007640A4">
        <w:rPr>
          <w:rFonts w:ascii="Palatino Linotype" w:eastAsia="Palatino Linotype" w:hAnsi="Palatino Linotype" w:cs="Palatino Linotype"/>
          <w:color w:val="000000" w:themeColor="text1"/>
        </w:rPr>
        <w:t xml:space="preserve"> kararında </w:t>
      </w:r>
      <w:r w:rsidRPr="007640A4">
        <w:rPr>
          <w:rFonts w:ascii="Palatino Linotype" w:eastAsia="Palatino Linotype" w:hAnsi="Palatino Linotype" w:cs="Palatino Linotype"/>
          <w:color w:val="000000" w:themeColor="text1"/>
          <w:highlight w:val="yellow"/>
        </w:rPr>
        <w:t>şahsımla/eşimle/müvekkiller</w:t>
      </w:r>
      <w:r w:rsidRPr="007640A4">
        <w:rPr>
          <w:rFonts w:ascii="Palatino Linotype" w:eastAsia="Palatino Linotype" w:hAnsi="Palatino Linotype" w:cs="Palatino Linotype"/>
          <w:color w:val="000000" w:themeColor="text1"/>
        </w:rPr>
        <w:t xml:space="preserve"> ilgili AİHS’in 7. madde</w:t>
      </w:r>
      <w:r w:rsidR="00244534" w:rsidRPr="007640A4">
        <w:rPr>
          <w:rFonts w:ascii="Palatino Linotype" w:eastAsia="Palatino Linotype" w:hAnsi="Palatino Linotype" w:cs="Palatino Linotype"/>
          <w:color w:val="000000" w:themeColor="text1"/>
        </w:rPr>
        <w:t>si</w:t>
      </w:r>
      <w:r w:rsidRPr="007640A4">
        <w:rPr>
          <w:rFonts w:ascii="Palatino Linotype" w:eastAsia="Palatino Linotype" w:hAnsi="Palatino Linotype" w:cs="Palatino Linotype"/>
          <w:color w:val="000000" w:themeColor="text1"/>
        </w:rPr>
        <w:t xml:space="preserve"> kapsamında verdiği ihlal kararı ve CMK’nın 311/1-f maddesi gereğince yapılan işbu </w:t>
      </w:r>
      <w:r w:rsidRPr="007640A4">
        <w:rPr>
          <w:rFonts w:ascii="Palatino Linotype" w:eastAsia="Palatino Linotype" w:hAnsi="Palatino Linotype" w:cs="Palatino Linotype"/>
          <w:b/>
          <w:color w:val="000000" w:themeColor="text1"/>
        </w:rPr>
        <w:t>yeniden yargılanma talebinin kabulüne,</w:t>
      </w:r>
    </w:p>
    <w:p w14:paraId="177F6AE4" w14:textId="77777777" w:rsidR="007640A4" w:rsidRDefault="00D136B9"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 xml:space="preserve">AİHM’in Yalçınkaya ve </w:t>
      </w:r>
      <w:r w:rsidR="00244534" w:rsidRPr="007640A4">
        <w:rPr>
          <w:rFonts w:ascii="Palatino Linotype" w:eastAsia="Palatino Linotype" w:hAnsi="Palatino Linotype" w:cs="Palatino Linotype"/>
          <w:b/>
          <w:bCs/>
          <w:color w:val="000000" w:themeColor="text1"/>
        </w:rPr>
        <w:t>Bozyokuş</w:t>
      </w:r>
      <w:r w:rsidR="003060B6" w:rsidRPr="007640A4">
        <w:rPr>
          <w:rFonts w:ascii="Palatino Linotype" w:eastAsia="Palatino Linotype" w:hAnsi="Palatino Linotype" w:cs="Palatino Linotype"/>
          <w:b/>
          <w:bCs/>
          <w:color w:val="000000" w:themeColor="text1"/>
        </w:rPr>
        <w:t xml:space="preserve"> v</w:t>
      </w:r>
      <w:r w:rsidRPr="007640A4">
        <w:rPr>
          <w:rFonts w:ascii="Palatino Linotype" w:eastAsia="Palatino Linotype" w:hAnsi="Palatino Linotype" w:cs="Palatino Linotype"/>
          <w:b/>
          <w:bCs/>
          <w:color w:val="000000" w:themeColor="text1"/>
        </w:rPr>
        <w:t xml:space="preserve">e diğerleri </w:t>
      </w:r>
      <w:r w:rsidRPr="007640A4">
        <w:rPr>
          <w:rFonts w:ascii="Palatino Linotype" w:eastAsia="Palatino Linotype" w:hAnsi="Palatino Linotype" w:cs="Palatino Linotype"/>
          <w:color w:val="000000" w:themeColor="text1"/>
        </w:rPr>
        <w:t xml:space="preserve">kararlarında verdiği ihlal kararının giderilmesi adına mahkemenizden talepte </w:t>
      </w:r>
      <w:r w:rsidRPr="007640A4">
        <w:rPr>
          <w:rFonts w:ascii="Palatino Linotype" w:eastAsia="Palatino Linotype" w:hAnsi="Palatino Linotype" w:cs="Palatino Linotype"/>
          <w:color w:val="000000" w:themeColor="text1"/>
          <w:highlight w:val="yellow"/>
        </w:rPr>
        <w:t>bulunduğum/bulunduğumuz</w:t>
      </w:r>
      <w:r w:rsidRPr="007640A4">
        <w:rPr>
          <w:rFonts w:ascii="Palatino Linotype" w:eastAsia="Palatino Linotype" w:hAnsi="Palatino Linotype" w:cs="Palatino Linotype"/>
          <w:color w:val="000000" w:themeColor="text1"/>
        </w:rPr>
        <w:t xml:space="preserve"> hususlar ile bu kapsamda heyetinizin uygun göreceği hususların araştırılmasına,</w:t>
      </w:r>
    </w:p>
    <w:p w14:paraId="75A75FCE" w14:textId="4ED00F4E" w:rsidR="009A3ECB" w:rsidRPr="007640A4" w:rsidRDefault="00000000" w:rsidP="007640A4">
      <w:pPr>
        <w:numPr>
          <w:ilvl w:val="0"/>
          <w:numId w:val="6"/>
        </w:numPr>
        <w:spacing w:before="100" w:beforeAutospacing="1" w:after="100" w:afterAutospacing="1" w:line="240" w:lineRule="auto"/>
        <w:jc w:val="both"/>
        <w:rPr>
          <w:rFonts w:ascii="Palatino Linotype" w:eastAsia="Times New Roman" w:hAnsi="Palatino Linotype" w:cs="Times New Roman"/>
          <w:color w:val="000000" w:themeColor="text1"/>
          <w:lang w:val="tr-NL"/>
        </w:rPr>
      </w:pPr>
      <w:r w:rsidRPr="007640A4">
        <w:rPr>
          <w:rFonts w:ascii="Palatino Linotype" w:eastAsia="Palatino Linotype" w:hAnsi="Palatino Linotype" w:cs="Palatino Linotype"/>
          <w:color w:val="000000" w:themeColor="text1"/>
        </w:rPr>
        <w:t>Yapılan araştırma neticesinde, ü</w:t>
      </w:r>
      <w:r w:rsidRPr="007640A4">
        <w:rPr>
          <w:rFonts w:ascii="Palatino Linotype" w:eastAsia="Palatino Linotype" w:hAnsi="Palatino Linotype" w:cs="Palatino Linotype"/>
          <w:color w:val="000000" w:themeColor="text1"/>
          <w:highlight w:val="yellow"/>
        </w:rPr>
        <w:t>zerime/Eşimin üzerine/müvekkilin üzerine</w:t>
      </w:r>
      <w:r w:rsidRPr="007640A4">
        <w:rPr>
          <w:rFonts w:ascii="Palatino Linotype" w:eastAsia="Palatino Linotype" w:hAnsi="Palatino Linotype" w:cs="Palatino Linotype"/>
          <w:color w:val="000000" w:themeColor="text1"/>
        </w:rPr>
        <w:t xml:space="preserve"> atılı suçun unsurlarının oluşmadığı ve atılı bu suçu </w:t>
      </w:r>
      <w:r w:rsidRPr="007640A4">
        <w:rPr>
          <w:rFonts w:ascii="Palatino Linotype" w:eastAsia="Palatino Linotype" w:hAnsi="Palatino Linotype" w:cs="Palatino Linotype"/>
          <w:color w:val="000000" w:themeColor="text1"/>
          <w:highlight w:val="yellow"/>
        </w:rPr>
        <w:t>işlediği/işlediğim</w:t>
      </w:r>
      <w:r w:rsidRPr="007640A4">
        <w:rPr>
          <w:rFonts w:ascii="Palatino Linotype" w:eastAsia="Palatino Linotype" w:hAnsi="Palatino Linotype" w:cs="Palatino Linotype"/>
          <w:color w:val="000000" w:themeColor="text1"/>
        </w:rPr>
        <w:t xml:space="preserve"> hususunda cezalandırmaya yeter her türlü şüpheden uzak, kesin ve inandırıcı delil bulunmadığının tespitiyle </w:t>
      </w:r>
      <w:r w:rsidRPr="007640A4">
        <w:rPr>
          <w:rFonts w:ascii="Palatino Linotype" w:eastAsia="Palatino Linotype" w:hAnsi="Palatino Linotype" w:cs="Palatino Linotype"/>
          <w:color w:val="000000" w:themeColor="text1"/>
          <w:highlight w:val="white"/>
        </w:rPr>
        <w:t xml:space="preserve">Anayasa’nın 36, 38, 90, 138,; AİHS’in 6, 7, 46 ve CMK’nın 223/2-a  maddesinde ifadesini </w:t>
      </w:r>
      <w:r w:rsidRPr="007640A4">
        <w:rPr>
          <w:rFonts w:ascii="Palatino Linotype" w:eastAsia="Palatino Linotype" w:hAnsi="Palatino Linotype" w:cs="Palatino Linotype"/>
          <w:color w:val="000000" w:themeColor="text1"/>
          <w:highlight w:val="white"/>
        </w:rPr>
        <w:lastRenderedPageBreak/>
        <w:t xml:space="preserve">bulan </w:t>
      </w:r>
      <w:r w:rsidRPr="007640A4">
        <w:rPr>
          <w:rFonts w:ascii="Palatino Linotype" w:eastAsia="Palatino Linotype" w:hAnsi="Palatino Linotype" w:cs="Palatino Linotype"/>
          <w:b/>
          <w:i/>
          <w:color w:val="000000" w:themeColor="text1"/>
          <w:highlight w:val="white"/>
        </w:rPr>
        <w:t>“yüklenen fiilin kanunda suç olarak tanımlanmamış olması”</w:t>
      </w:r>
      <w:r w:rsidRPr="007640A4">
        <w:rPr>
          <w:rFonts w:ascii="Palatino Linotype" w:eastAsia="Palatino Linotype" w:hAnsi="Palatino Linotype" w:cs="Palatino Linotype"/>
          <w:color w:val="000000" w:themeColor="text1"/>
          <w:highlight w:val="white"/>
        </w:rPr>
        <w:t xml:space="preserve"> gerekçesiyle </w:t>
      </w:r>
      <w:r w:rsidRPr="007640A4">
        <w:rPr>
          <w:rFonts w:ascii="Palatino Linotype" w:eastAsia="Palatino Linotype" w:hAnsi="Palatino Linotype" w:cs="Palatino Linotype"/>
          <w:color w:val="000000" w:themeColor="text1"/>
          <w:highlight w:val="yellow"/>
        </w:rPr>
        <w:t>hakkımda/eşim hakkında/müvekkil hakkında</w:t>
      </w:r>
      <w:r w:rsidRPr="007640A4">
        <w:rPr>
          <w:rFonts w:ascii="Palatino Linotype" w:eastAsia="Palatino Linotype" w:hAnsi="Palatino Linotype" w:cs="Palatino Linotype"/>
          <w:color w:val="000000" w:themeColor="text1"/>
          <w:highlight w:val="white"/>
        </w:rPr>
        <w:t xml:space="preserve"> </w:t>
      </w:r>
      <w:r w:rsidRPr="007640A4">
        <w:rPr>
          <w:rFonts w:ascii="Palatino Linotype" w:eastAsia="Palatino Linotype" w:hAnsi="Palatino Linotype" w:cs="Palatino Linotype"/>
          <w:b/>
          <w:color w:val="000000" w:themeColor="text1"/>
          <w:highlight w:val="yellow"/>
        </w:rPr>
        <w:t xml:space="preserve">BERAAT </w:t>
      </w:r>
      <w:r w:rsidRPr="007640A4">
        <w:rPr>
          <w:rFonts w:ascii="Palatino Linotype" w:eastAsia="Palatino Linotype" w:hAnsi="Palatino Linotype" w:cs="Palatino Linotype"/>
          <w:color w:val="000000" w:themeColor="text1"/>
          <w:highlight w:val="yellow"/>
        </w:rPr>
        <w:t xml:space="preserve">ve </w:t>
      </w:r>
      <w:r w:rsidR="00982F16" w:rsidRPr="007640A4">
        <w:rPr>
          <w:rFonts w:ascii="Palatino Linotype" w:eastAsia="Palatino Linotype" w:hAnsi="Palatino Linotype" w:cs="Palatino Linotype"/>
          <w:color w:val="000000" w:themeColor="text1"/>
          <w:highlight w:val="yellow"/>
        </w:rPr>
        <w:t xml:space="preserve">öncelikle infazın DURDURULMASINA ve sonrasında </w:t>
      </w:r>
      <w:r w:rsidRPr="007640A4">
        <w:rPr>
          <w:rFonts w:ascii="Palatino Linotype" w:eastAsia="Palatino Linotype" w:hAnsi="Palatino Linotype" w:cs="Palatino Linotype"/>
          <w:b/>
          <w:color w:val="000000" w:themeColor="text1"/>
          <w:highlight w:val="yellow"/>
        </w:rPr>
        <w:t>TAHLİYESİNE</w:t>
      </w:r>
      <w:r w:rsidRPr="007640A4">
        <w:rPr>
          <w:rFonts w:ascii="Palatino Linotype" w:eastAsia="Palatino Linotype" w:hAnsi="Palatino Linotype" w:cs="Palatino Linotype"/>
          <w:color w:val="000000" w:themeColor="text1"/>
          <w:highlight w:val="yellow"/>
        </w:rPr>
        <w:t xml:space="preserve"> (sanık tutu</w:t>
      </w:r>
      <w:r w:rsidR="00982F16" w:rsidRPr="007640A4">
        <w:rPr>
          <w:rFonts w:ascii="Palatino Linotype" w:eastAsia="Palatino Linotype" w:hAnsi="Palatino Linotype" w:cs="Palatino Linotype"/>
          <w:color w:val="000000" w:themeColor="text1"/>
          <w:highlight w:val="yellow"/>
        </w:rPr>
        <w:t>k</w:t>
      </w:r>
      <w:r w:rsidRPr="007640A4">
        <w:rPr>
          <w:rFonts w:ascii="Palatino Linotype" w:eastAsia="Palatino Linotype" w:hAnsi="Palatino Linotype" w:cs="Palatino Linotype"/>
          <w:color w:val="000000" w:themeColor="text1"/>
          <w:highlight w:val="yellow"/>
        </w:rPr>
        <w:t>luysa)</w:t>
      </w:r>
      <w:bookmarkStart w:id="2" w:name="_Hlk219537403"/>
      <w:r w:rsidR="009A3ECB" w:rsidRPr="007640A4">
        <w:rPr>
          <w:rFonts w:ascii="Palatino Linotype" w:eastAsia="Palatino Linotype" w:hAnsi="Palatino Linotype" w:cs="Palatino Linotype"/>
          <w:color w:val="000000" w:themeColor="text1"/>
        </w:rPr>
        <w:t xml:space="preserve"> A</w:t>
      </w:r>
      <w:r w:rsidR="009A3ECB" w:rsidRPr="007640A4">
        <w:rPr>
          <w:rFonts w:ascii="Palatino Linotype" w:eastAsia="Palatino Linotype" w:hAnsi="Palatino Linotype" w:cs="Palatino Linotype"/>
          <w:color w:val="000000" w:themeColor="text1"/>
          <w:lang w:val="tr-TR"/>
        </w:rPr>
        <w:t>dli Sicil Yönetmeli</w:t>
      </w:r>
      <w:r w:rsidR="00FC7B65">
        <w:rPr>
          <w:rFonts w:ascii="Palatino Linotype" w:eastAsia="Palatino Linotype" w:hAnsi="Palatino Linotype" w:cs="Palatino Linotype"/>
          <w:color w:val="000000" w:themeColor="text1"/>
          <w:lang w:val="tr-TR"/>
        </w:rPr>
        <w:t>ğ</w:t>
      </w:r>
      <w:r w:rsidR="009A3ECB" w:rsidRPr="007640A4">
        <w:rPr>
          <w:rFonts w:ascii="Palatino Linotype" w:eastAsia="Palatino Linotype" w:hAnsi="Palatino Linotype" w:cs="Palatino Linotype"/>
          <w:color w:val="000000" w:themeColor="text1"/>
          <w:lang w:val="tr-TR"/>
        </w:rPr>
        <w:t>inin 3. ve 13/3. maddesi gere</w:t>
      </w:r>
      <w:r w:rsidR="00FC7B65">
        <w:rPr>
          <w:rFonts w:ascii="Palatino Linotype" w:eastAsia="Palatino Linotype" w:hAnsi="Palatino Linotype" w:cs="Palatino Linotype"/>
          <w:color w:val="000000" w:themeColor="text1"/>
          <w:lang w:val="tr-TR"/>
        </w:rPr>
        <w:t>ğ</w:t>
      </w:r>
      <w:r w:rsidR="009A3ECB" w:rsidRPr="007640A4">
        <w:rPr>
          <w:rFonts w:ascii="Palatino Linotype" w:eastAsia="Palatino Linotype" w:hAnsi="Palatino Linotype" w:cs="Palatino Linotype"/>
          <w:color w:val="000000" w:themeColor="text1"/>
          <w:lang w:val="tr-TR"/>
        </w:rPr>
        <w:t xml:space="preserve">ince tali karar fişi </w:t>
      </w:r>
      <w:r w:rsidR="009A3ECB" w:rsidRPr="007640A4">
        <w:rPr>
          <w:rFonts w:ascii="Palatino Linotype" w:eastAsia="Palatino Linotype" w:hAnsi="Palatino Linotype" w:cs="Palatino Linotype"/>
          <w:b/>
          <w:bCs/>
          <w:color w:val="000000" w:themeColor="text1"/>
          <w:lang w:val="tr-TR"/>
        </w:rPr>
        <w:t>DÜZENLENMESİNE,</w:t>
      </w:r>
      <w:r w:rsidR="009A3ECB" w:rsidRPr="007640A4">
        <w:rPr>
          <w:rFonts w:ascii="Palatino Linotype" w:eastAsia="Palatino Linotype" w:hAnsi="Palatino Linotype" w:cs="Palatino Linotype"/>
          <w:color w:val="000000" w:themeColor="text1"/>
          <w:lang w:val="tr-TR"/>
        </w:rPr>
        <w:t xml:space="preserve"> </w:t>
      </w:r>
      <w:r w:rsidR="009A3ECB" w:rsidRPr="007640A4">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009A3ECB" w:rsidRPr="007640A4">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FC7B65">
        <w:rPr>
          <w:rFonts w:ascii="Palatino Linotype" w:eastAsia="Palatino Linotype" w:hAnsi="Palatino Linotype" w:cs="Palatino Linotype"/>
          <w:color w:val="000000" w:themeColor="text1"/>
          <w:lang w:val="tr-TR"/>
        </w:rPr>
        <w:t>ğ</w:t>
      </w:r>
      <w:r w:rsidR="009A3ECB" w:rsidRPr="007640A4">
        <w:rPr>
          <w:rFonts w:ascii="Palatino Linotype" w:eastAsia="Palatino Linotype" w:hAnsi="Palatino Linotype" w:cs="Palatino Linotype"/>
          <w:color w:val="000000" w:themeColor="text1"/>
          <w:lang w:val="tr-TR"/>
        </w:rPr>
        <w:t xml:space="preserve">üne </w:t>
      </w:r>
      <w:r w:rsidR="009A3ECB" w:rsidRPr="007640A4">
        <w:rPr>
          <w:rFonts w:ascii="Palatino Linotype" w:eastAsia="Palatino Linotype" w:hAnsi="Palatino Linotype" w:cs="Palatino Linotype"/>
          <w:b/>
          <w:bCs/>
          <w:color w:val="000000" w:themeColor="text1"/>
          <w:lang w:val="tr-TR"/>
        </w:rPr>
        <w:t>GÖNDERİLMESİNE,</w:t>
      </w:r>
      <w:r w:rsidR="009A3ECB" w:rsidRPr="007640A4">
        <w:rPr>
          <w:rFonts w:ascii="Palatino Linotype" w:eastAsia="Palatino Linotype" w:hAnsi="Palatino Linotype" w:cs="Palatino Linotype"/>
          <w:color w:val="000000" w:themeColor="text1"/>
          <w:lang w:val="tr-TR"/>
        </w:rPr>
        <w:t xml:space="preserve">                                                                       infaz evraklar</w:t>
      </w:r>
      <w:r w:rsidR="00FC7B65">
        <w:rPr>
          <w:rFonts w:ascii="Palatino Linotype" w:eastAsia="Palatino Linotype" w:hAnsi="Palatino Linotype" w:cs="Palatino Linotype"/>
          <w:color w:val="000000" w:themeColor="text1"/>
          <w:lang w:val="tr-TR"/>
        </w:rPr>
        <w:t>ı</w:t>
      </w:r>
      <w:r w:rsidR="009A3ECB" w:rsidRPr="007640A4">
        <w:rPr>
          <w:rFonts w:ascii="Palatino Linotype" w:eastAsia="Palatino Linotype" w:hAnsi="Palatino Linotype" w:cs="Palatino Linotype"/>
          <w:color w:val="000000" w:themeColor="text1"/>
          <w:lang w:val="tr-TR"/>
        </w:rPr>
        <w:t>n</w:t>
      </w:r>
      <w:proofErr w:type="spellStart"/>
      <w:r w:rsidR="009A3ECB" w:rsidRPr="007640A4">
        <w:rPr>
          <w:rFonts w:ascii="Palatino Linotype" w:eastAsia="Palatino Linotype" w:hAnsi="Palatino Linotype" w:cs="Palatino Linotype"/>
          <w:color w:val="000000" w:themeColor="text1"/>
        </w:rPr>
        <w:t>ın</w:t>
      </w:r>
      <w:proofErr w:type="spellEnd"/>
      <w:r w:rsidR="009A3ECB" w:rsidRPr="007640A4">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009A3ECB" w:rsidRPr="007640A4">
        <w:rPr>
          <w:rFonts w:ascii="Palatino Linotype" w:eastAsia="Palatino Linotype" w:hAnsi="Palatino Linotype" w:cs="Palatino Linotype"/>
          <w:b/>
          <w:bCs/>
          <w:color w:val="000000" w:themeColor="text1"/>
          <w:lang w:val="tr-TR"/>
        </w:rPr>
        <w:t>MÜZEKKERE YAZILMASINA,</w:t>
      </w:r>
    </w:p>
    <w:bookmarkEnd w:id="2"/>
    <w:p w14:paraId="000000BE" w14:textId="0E345CC9" w:rsidR="009E0554" w:rsidRPr="009C541A" w:rsidRDefault="009A3ECB" w:rsidP="007640A4">
      <w:pPr>
        <w:tabs>
          <w:tab w:val="left" w:pos="851"/>
        </w:tabs>
        <w:spacing w:line="23" w:lineRule="atLeast"/>
        <w:ind w:left="720"/>
        <w:jc w:val="both"/>
        <w:rPr>
          <w:rFonts w:ascii="Palatino Linotype" w:eastAsia="Palatino Linotype" w:hAnsi="Palatino Linotype" w:cs="Palatino Linotype"/>
          <w:color w:val="000000" w:themeColor="text1"/>
          <w:lang w:val="tr-TR"/>
        </w:rPr>
      </w:pPr>
      <w:r w:rsidRPr="009C541A">
        <w:rPr>
          <w:rFonts w:ascii="Palatino Linotype" w:eastAsia="Palatino Linotype" w:hAnsi="Palatino Linotype" w:cs="Palatino Linotype"/>
          <w:color w:val="000000" w:themeColor="text1"/>
          <w:highlight w:val="white"/>
        </w:rPr>
        <w:t>Karar verilmesini,</w:t>
      </w:r>
    </w:p>
    <w:p w14:paraId="000000BF" w14:textId="51535514" w:rsidR="009E0554" w:rsidRPr="009C541A" w:rsidRDefault="00000000" w:rsidP="00B763D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r w:rsidRPr="009C541A">
        <w:rPr>
          <w:rFonts w:ascii="Palatino Linotype" w:eastAsia="Palatino Linotype" w:hAnsi="Palatino Linotype" w:cs="Palatino Linotype"/>
          <w:color w:val="000000" w:themeColor="text1"/>
          <w:highlight w:val="white"/>
        </w:rPr>
        <w:t xml:space="preserve">Saygılarımla arz ve </w:t>
      </w:r>
      <w:r w:rsidRPr="009C541A">
        <w:rPr>
          <w:rFonts w:ascii="Palatino Linotype" w:eastAsia="Palatino Linotype" w:hAnsi="Palatino Linotype" w:cs="Palatino Linotype"/>
          <w:color w:val="000000" w:themeColor="text1"/>
          <w:highlight w:val="yellow"/>
        </w:rPr>
        <w:t>talep ederim/ederiz.</w:t>
      </w:r>
      <w:r w:rsidRPr="009C541A">
        <w:rPr>
          <w:rFonts w:ascii="Palatino Linotype" w:eastAsia="Palatino Linotype" w:hAnsi="Palatino Linotype" w:cs="Palatino Linotype"/>
          <w:color w:val="000000" w:themeColor="text1"/>
          <w:highlight w:val="white"/>
        </w:rPr>
        <w:t xml:space="preserve">  </w:t>
      </w:r>
      <w:proofErr w:type="gramStart"/>
      <w:r w:rsidRPr="009C541A">
        <w:rPr>
          <w:rFonts w:ascii="Palatino Linotype" w:eastAsia="Palatino Linotype" w:hAnsi="Palatino Linotype" w:cs="Palatino Linotype"/>
          <w:b/>
          <w:color w:val="000000" w:themeColor="text1"/>
          <w:highlight w:val="white"/>
        </w:rPr>
        <w:t>…../….</w:t>
      </w:r>
      <w:proofErr w:type="gramEnd"/>
      <w:r w:rsidRPr="009C541A">
        <w:rPr>
          <w:rFonts w:ascii="Palatino Linotype" w:eastAsia="Palatino Linotype" w:hAnsi="Palatino Linotype" w:cs="Palatino Linotype"/>
          <w:b/>
          <w:color w:val="000000" w:themeColor="text1"/>
          <w:highlight w:val="white"/>
        </w:rPr>
        <w:t>/202</w:t>
      </w:r>
      <w:r w:rsidR="00461F6F" w:rsidRPr="009C541A">
        <w:rPr>
          <w:rFonts w:ascii="Palatino Linotype" w:eastAsia="Palatino Linotype" w:hAnsi="Palatino Linotype" w:cs="Palatino Linotype"/>
          <w:b/>
          <w:color w:val="000000" w:themeColor="text1"/>
          <w:highlight w:val="white"/>
        </w:rPr>
        <w:t>6</w:t>
      </w:r>
    </w:p>
    <w:p w14:paraId="000000C1" w14:textId="17F5E911" w:rsidR="009E0554" w:rsidRPr="009C541A" w:rsidRDefault="00000000" w:rsidP="000D5D69">
      <w:pPr>
        <w:pBdr>
          <w:top w:val="nil"/>
          <w:left w:val="nil"/>
          <w:bottom w:val="nil"/>
          <w:right w:val="nil"/>
          <w:between w:val="nil"/>
        </w:pBdr>
        <w:tabs>
          <w:tab w:val="left" w:pos="3870"/>
        </w:tabs>
        <w:spacing w:line="23" w:lineRule="atLeast"/>
        <w:ind w:right="-378"/>
        <w:jc w:val="both"/>
        <w:rPr>
          <w:rFonts w:ascii="Palatino Linotype" w:eastAsia="Palatino Linotype" w:hAnsi="Palatino Linotype" w:cs="Palatino Linotype"/>
          <w:color w:val="000000" w:themeColor="text1"/>
          <w:highlight w:val="white"/>
        </w:rPr>
      </w:pPr>
      <w:r w:rsidRPr="009C541A">
        <w:rPr>
          <w:rFonts w:ascii="Palatino Linotype" w:eastAsia="Palatino Linotype" w:hAnsi="Palatino Linotype" w:cs="Palatino Linotype"/>
          <w:color w:val="000000" w:themeColor="text1"/>
          <w:highlight w:val="white"/>
        </w:rPr>
        <w:tab/>
      </w:r>
    </w:p>
    <w:p w14:paraId="66EB327A" w14:textId="5B5D0E40" w:rsidR="007A2F3F" w:rsidRPr="009C541A" w:rsidRDefault="00000000" w:rsidP="009A3ECB">
      <w:pPr>
        <w:pBdr>
          <w:top w:val="nil"/>
          <w:left w:val="nil"/>
          <w:bottom w:val="nil"/>
          <w:right w:val="nil"/>
          <w:between w:val="nil"/>
        </w:pBdr>
        <w:tabs>
          <w:tab w:val="left" w:pos="3870"/>
        </w:tabs>
        <w:spacing w:line="23" w:lineRule="atLeast"/>
        <w:ind w:right="-378"/>
        <w:jc w:val="both"/>
        <w:rPr>
          <w:rFonts w:ascii="Palatino Linotype" w:eastAsia="Palatino Linotype" w:hAnsi="Palatino Linotype" w:cs="Palatino Linotype"/>
          <w:color w:val="000000" w:themeColor="text1"/>
          <w:highlight w:val="white"/>
        </w:rPr>
      </w:pP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t xml:space="preserve">       </w:t>
      </w:r>
      <w:r w:rsidRPr="009C541A">
        <w:rPr>
          <w:rFonts w:ascii="Palatino Linotype" w:eastAsia="Palatino Linotype" w:hAnsi="Palatino Linotype" w:cs="Palatino Linotype"/>
          <w:color w:val="000000" w:themeColor="text1"/>
          <w:highlight w:val="yellow"/>
        </w:rPr>
        <w:t xml:space="preserve"> Hükümlü/Eşi/</w:t>
      </w:r>
      <w:proofErr w:type="spellStart"/>
      <w:r w:rsidRPr="009C541A">
        <w:rPr>
          <w:rFonts w:ascii="Palatino Linotype" w:eastAsia="Palatino Linotype" w:hAnsi="Palatino Linotype" w:cs="Palatino Linotype"/>
          <w:color w:val="000000" w:themeColor="text1"/>
          <w:highlight w:val="yellow"/>
        </w:rPr>
        <w:t>Müdafii</w:t>
      </w:r>
      <w:proofErr w:type="spellEnd"/>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Pr="009C541A">
        <w:rPr>
          <w:rFonts w:ascii="Palatino Linotype" w:eastAsia="Palatino Linotype" w:hAnsi="Palatino Linotype" w:cs="Palatino Linotype"/>
          <w:color w:val="000000" w:themeColor="text1"/>
          <w:highlight w:val="white"/>
        </w:rPr>
        <w:tab/>
      </w:r>
      <w:r w:rsidR="000D5D69" w:rsidRPr="009C541A">
        <w:rPr>
          <w:rFonts w:ascii="Palatino Linotype" w:eastAsia="Palatino Linotype" w:hAnsi="Palatino Linotype" w:cs="Palatino Linotype"/>
          <w:color w:val="000000" w:themeColor="text1"/>
          <w:highlight w:val="white"/>
        </w:rPr>
        <w:t xml:space="preserve">                    </w:t>
      </w:r>
      <w:r w:rsidRPr="009C541A">
        <w:rPr>
          <w:rFonts w:ascii="Palatino Linotype" w:eastAsia="Palatino Linotype" w:hAnsi="Palatino Linotype" w:cs="Palatino Linotype"/>
          <w:color w:val="000000" w:themeColor="text1"/>
          <w:highlight w:val="white"/>
        </w:rPr>
        <w:t>İmz</w:t>
      </w:r>
      <w:r w:rsidR="00352475" w:rsidRPr="009C541A">
        <w:rPr>
          <w:rFonts w:ascii="Palatino Linotype" w:eastAsia="Palatino Linotype" w:hAnsi="Palatino Linotype" w:cs="Palatino Linotype"/>
          <w:color w:val="000000" w:themeColor="text1"/>
          <w:highlight w:val="white"/>
        </w:rPr>
        <w:t>a</w:t>
      </w:r>
    </w:p>
    <w:p w14:paraId="000000C5" w14:textId="77777777" w:rsidR="009E0554" w:rsidRPr="009C541A" w:rsidRDefault="00000000" w:rsidP="00B763D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b/>
          <w:color w:val="000000" w:themeColor="text1"/>
          <w:highlight w:val="white"/>
          <w:u w:val="single"/>
        </w:rPr>
      </w:pPr>
      <w:r w:rsidRPr="009C541A">
        <w:rPr>
          <w:rFonts w:ascii="Palatino Linotype" w:eastAsia="Palatino Linotype" w:hAnsi="Palatino Linotype" w:cs="Palatino Linotype"/>
          <w:b/>
          <w:color w:val="000000" w:themeColor="text1"/>
          <w:highlight w:val="white"/>
          <w:u w:val="single"/>
        </w:rPr>
        <w:t>EK’LER</w:t>
      </w:r>
    </w:p>
    <w:p w14:paraId="000000C6" w14:textId="77777777" w:rsidR="009E0554" w:rsidRPr="009C541A"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Nüfus Aile Kayıt Örneği, </w:t>
      </w:r>
    </w:p>
    <w:p w14:paraId="000000C7" w14:textId="77777777" w:rsidR="009E0554" w:rsidRPr="009C541A"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T.C. Kimlik Fotokopisi,</w:t>
      </w:r>
    </w:p>
    <w:p w14:paraId="000000C8" w14:textId="7AF07313" w:rsidR="009E0554" w:rsidRDefault="00000000" w:rsidP="00D136B9">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sidRPr="009C541A">
        <w:rPr>
          <w:rFonts w:ascii="Palatino Linotype" w:eastAsia="Palatino Linotype" w:hAnsi="Palatino Linotype" w:cs="Palatino Linotype"/>
          <w:color w:val="000000" w:themeColor="text1"/>
        </w:rPr>
        <w:t xml:space="preserve">AİHM’in </w:t>
      </w:r>
      <w:r w:rsidR="00244534" w:rsidRPr="009C541A">
        <w:rPr>
          <w:rFonts w:ascii="Palatino Linotype" w:eastAsia="Palatino Linotype" w:hAnsi="Palatino Linotype" w:cs="Palatino Linotype"/>
          <w:color w:val="000000" w:themeColor="text1"/>
        </w:rPr>
        <w:t>Bozyokuş</w:t>
      </w:r>
      <w:r w:rsidRPr="009C541A">
        <w:rPr>
          <w:rFonts w:ascii="Palatino Linotype" w:eastAsia="Palatino Linotype" w:hAnsi="Palatino Linotype" w:cs="Palatino Linotype"/>
          <w:color w:val="000000" w:themeColor="text1"/>
        </w:rPr>
        <w:t xml:space="preserve"> ve Diğerleri/Türkiye Kararının</w:t>
      </w:r>
      <w:r w:rsidR="00244534" w:rsidRPr="009C541A">
        <w:rPr>
          <w:rFonts w:ascii="Palatino Linotype" w:eastAsia="Palatino Linotype" w:hAnsi="Palatino Linotype" w:cs="Palatino Linotype"/>
          <w:color w:val="000000" w:themeColor="text1"/>
        </w:rPr>
        <w:t xml:space="preserve"> </w:t>
      </w:r>
      <w:proofErr w:type="spellStart"/>
      <w:r w:rsidR="00244534" w:rsidRPr="009C541A">
        <w:rPr>
          <w:rFonts w:ascii="Palatino Linotype" w:eastAsia="Palatino Linotype" w:hAnsi="Palatino Linotype" w:cs="Palatino Linotype"/>
          <w:color w:val="000000" w:themeColor="text1"/>
        </w:rPr>
        <w:t>HUDOC’ya</w:t>
      </w:r>
      <w:proofErr w:type="spellEnd"/>
      <w:r w:rsidR="00244534" w:rsidRPr="009C541A">
        <w:rPr>
          <w:rFonts w:ascii="Palatino Linotype" w:eastAsia="Palatino Linotype" w:hAnsi="Palatino Linotype" w:cs="Palatino Linotype"/>
          <w:color w:val="000000" w:themeColor="text1"/>
        </w:rPr>
        <w:t xml:space="preserve"> yayımlanan</w:t>
      </w:r>
      <w:r w:rsidRPr="009C541A">
        <w:rPr>
          <w:rFonts w:ascii="Palatino Linotype" w:eastAsia="Palatino Linotype" w:hAnsi="Palatino Linotype" w:cs="Palatino Linotype"/>
          <w:color w:val="000000" w:themeColor="text1"/>
        </w:rPr>
        <w:t xml:space="preserve"> Türkçe Çevirisi</w:t>
      </w:r>
      <w:r w:rsidR="00593F88" w:rsidRPr="009C541A">
        <w:rPr>
          <w:rFonts w:ascii="Palatino Linotype" w:eastAsia="Palatino Linotype" w:hAnsi="Palatino Linotype" w:cs="Palatino Linotype"/>
          <w:color w:val="000000" w:themeColor="text1"/>
        </w:rPr>
        <w:t>,</w:t>
      </w:r>
    </w:p>
    <w:p w14:paraId="4DAAD9B4" w14:textId="1EE7F589" w:rsidR="007640A4" w:rsidRPr="009C541A" w:rsidRDefault="007640A4" w:rsidP="00D136B9">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Yasak/Türkiye Büyük Daire karar özeti</w:t>
      </w:r>
      <w:r w:rsidR="00FC7B65">
        <w:rPr>
          <w:rFonts w:ascii="Palatino Linotype" w:eastAsia="Palatino Linotype" w:hAnsi="Palatino Linotype" w:cs="Palatino Linotype"/>
          <w:color w:val="000000" w:themeColor="text1"/>
        </w:rPr>
        <w:t>.</w:t>
      </w:r>
    </w:p>
    <w:p w14:paraId="000000CA" w14:textId="77777777" w:rsidR="009E0554" w:rsidRPr="009C541A" w:rsidRDefault="009E0554" w:rsidP="00B763D9">
      <w:pPr>
        <w:pBdr>
          <w:top w:val="nil"/>
          <w:left w:val="nil"/>
          <w:bottom w:val="nil"/>
          <w:right w:val="nil"/>
          <w:between w:val="nil"/>
        </w:pBdr>
        <w:spacing w:line="23" w:lineRule="atLeast"/>
        <w:jc w:val="both"/>
        <w:rPr>
          <w:rFonts w:ascii="Palatino Linotype" w:eastAsia="Palatino Linotype" w:hAnsi="Palatino Linotype" w:cs="Palatino Linotype"/>
          <w:color w:val="000000" w:themeColor="text1"/>
          <w:sz w:val="24"/>
          <w:szCs w:val="24"/>
          <w:highlight w:val="white"/>
        </w:rPr>
      </w:pPr>
    </w:p>
    <w:p w14:paraId="000000CB" w14:textId="77777777" w:rsidR="009E0554" w:rsidRPr="009C541A" w:rsidRDefault="009E0554"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b/>
          <w:color w:val="000000" w:themeColor="text1"/>
          <w:sz w:val="24"/>
          <w:szCs w:val="24"/>
          <w:highlight w:val="white"/>
        </w:rPr>
      </w:pPr>
    </w:p>
    <w:p w14:paraId="000000CC" w14:textId="2D75385B" w:rsidR="009E0554" w:rsidRPr="009C541A" w:rsidRDefault="00000000"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color w:val="000000" w:themeColor="text1"/>
          <w:sz w:val="24"/>
          <w:szCs w:val="24"/>
        </w:rPr>
      </w:pPr>
      <w:r w:rsidRPr="009C541A">
        <w:rPr>
          <w:rFonts w:ascii="Palatino Linotype" w:eastAsia="Palatino Linotype" w:hAnsi="Palatino Linotype" w:cs="Palatino Linotype"/>
          <w:b/>
          <w:color w:val="000000" w:themeColor="text1"/>
          <w:sz w:val="24"/>
          <w:szCs w:val="24"/>
          <w:highlight w:val="white"/>
        </w:rPr>
        <w:t>Dikkat:</w:t>
      </w:r>
      <w:r w:rsidRPr="009C541A">
        <w:rPr>
          <w:rFonts w:ascii="Palatino Linotype" w:eastAsia="Palatino Linotype" w:hAnsi="Palatino Linotype" w:cs="Palatino Linotype"/>
          <w:color w:val="000000" w:themeColor="text1"/>
          <w:sz w:val="24"/>
          <w:szCs w:val="24"/>
          <w:highlight w:val="white"/>
        </w:rPr>
        <w:t xml:space="preserve"> </w:t>
      </w:r>
      <w:r w:rsidRPr="009C541A">
        <w:rPr>
          <w:rFonts w:ascii="Palatino Linotype" w:eastAsia="Palatino Linotype" w:hAnsi="Palatino Linotype" w:cs="Palatino Linotype"/>
          <w:color w:val="000000" w:themeColor="text1"/>
          <w:sz w:val="24"/>
          <w:szCs w:val="24"/>
          <w:highlight w:val="yellow"/>
        </w:rPr>
        <w:t>Eşlerin 1 ve 2 numaralı belgeleri eklemeleri, başvuru yapan herkesin</w:t>
      </w:r>
      <w:r w:rsidR="00593F88" w:rsidRPr="009C541A">
        <w:rPr>
          <w:rFonts w:ascii="Palatino Linotype" w:eastAsia="Palatino Linotype" w:hAnsi="Palatino Linotype" w:cs="Palatino Linotype"/>
          <w:color w:val="000000" w:themeColor="text1"/>
          <w:sz w:val="24"/>
          <w:szCs w:val="24"/>
          <w:highlight w:val="yellow"/>
        </w:rPr>
        <w:t xml:space="preserve"> de</w:t>
      </w:r>
      <w:r w:rsidRPr="009C541A">
        <w:rPr>
          <w:rFonts w:ascii="Palatino Linotype" w:eastAsia="Palatino Linotype" w:hAnsi="Palatino Linotype" w:cs="Palatino Linotype"/>
          <w:color w:val="000000" w:themeColor="text1"/>
          <w:sz w:val="24"/>
          <w:szCs w:val="24"/>
          <w:highlight w:val="yellow"/>
        </w:rPr>
        <w:t xml:space="preserve"> 3</w:t>
      </w:r>
      <w:r w:rsidR="00593F88" w:rsidRPr="009C541A">
        <w:rPr>
          <w:rFonts w:ascii="Palatino Linotype" w:eastAsia="Palatino Linotype" w:hAnsi="Palatino Linotype" w:cs="Palatino Linotype"/>
          <w:color w:val="000000" w:themeColor="text1"/>
          <w:sz w:val="24"/>
          <w:szCs w:val="24"/>
          <w:highlight w:val="yellow"/>
        </w:rPr>
        <w:t xml:space="preserve"> ve </w:t>
      </w:r>
      <w:proofErr w:type="gramStart"/>
      <w:r w:rsidR="00593F88" w:rsidRPr="009C541A">
        <w:rPr>
          <w:rFonts w:ascii="Palatino Linotype" w:eastAsia="Palatino Linotype" w:hAnsi="Palatino Linotype" w:cs="Palatino Linotype"/>
          <w:color w:val="000000" w:themeColor="text1"/>
          <w:sz w:val="24"/>
          <w:szCs w:val="24"/>
          <w:highlight w:val="yellow"/>
        </w:rPr>
        <w:t>4</w:t>
      </w:r>
      <w:r w:rsidRPr="009C541A">
        <w:rPr>
          <w:rFonts w:ascii="Palatino Linotype" w:eastAsia="Palatino Linotype" w:hAnsi="Palatino Linotype" w:cs="Palatino Linotype"/>
          <w:color w:val="000000" w:themeColor="text1"/>
          <w:sz w:val="24"/>
          <w:szCs w:val="24"/>
          <w:highlight w:val="yellow"/>
        </w:rPr>
        <w:t xml:space="preserve">  numaralı</w:t>
      </w:r>
      <w:proofErr w:type="gramEnd"/>
      <w:r w:rsidRPr="009C541A">
        <w:rPr>
          <w:rFonts w:ascii="Palatino Linotype" w:eastAsia="Palatino Linotype" w:hAnsi="Palatino Linotype" w:cs="Palatino Linotype"/>
          <w:color w:val="000000" w:themeColor="text1"/>
          <w:sz w:val="24"/>
          <w:szCs w:val="24"/>
          <w:highlight w:val="yellow"/>
        </w:rPr>
        <w:t xml:space="preserve"> </w:t>
      </w:r>
      <w:r w:rsidR="00593F88" w:rsidRPr="009C541A">
        <w:rPr>
          <w:rFonts w:ascii="Palatino Linotype" w:eastAsia="Palatino Linotype" w:hAnsi="Palatino Linotype" w:cs="Palatino Linotype"/>
          <w:color w:val="000000" w:themeColor="text1"/>
          <w:sz w:val="24"/>
          <w:szCs w:val="24"/>
          <w:highlight w:val="yellow"/>
        </w:rPr>
        <w:t>evrakları</w:t>
      </w:r>
      <w:r w:rsidRPr="009C541A">
        <w:rPr>
          <w:rFonts w:ascii="Palatino Linotype" w:eastAsia="Palatino Linotype" w:hAnsi="Palatino Linotype" w:cs="Palatino Linotype"/>
          <w:color w:val="000000" w:themeColor="text1"/>
          <w:sz w:val="24"/>
          <w:szCs w:val="24"/>
          <w:highlight w:val="yellow"/>
        </w:rPr>
        <w:t xml:space="preserve"> eklemesi gerekir.</w:t>
      </w:r>
    </w:p>
    <w:sectPr w:rsidR="009E0554" w:rsidRPr="009C541A" w:rsidSect="000D5D69">
      <w:footerReference w:type="default" r:id="rId8"/>
      <w:pgSz w:w="11906" w:h="16838"/>
      <w:pgMar w:top="1276" w:right="1416" w:bottom="1134"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FB3E" w14:textId="77777777" w:rsidR="00014072" w:rsidRDefault="00014072">
      <w:pPr>
        <w:spacing w:after="0" w:line="240" w:lineRule="auto"/>
      </w:pPr>
      <w:r>
        <w:separator/>
      </w:r>
    </w:p>
  </w:endnote>
  <w:endnote w:type="continuationSeparator" w:id="0">
    <w:p w14:paraId="0BC86F21" w14:textId="77777777" w:rsidR="00014072" w:rsidRDefault="0001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6C31B502" w:rsidR="009E0554" w:rsidRDefault="00000000">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1C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p>
  <w:p w14:paraId="000000D0" w14:textId="77777777" w:rsidR="009E0554" w:rsidRDefault="009E0554">
    <w:pPr>
      <w:pBdr>
        <w:top w:val="nil"/>
        <w:left w:val="nil"/>
        <w:bottom w:val="nil"/>
        <w:right w:val="nil"/>
        <w:between w:val="nil"/>
      </w:pBdr>
      <w:tabs>
        <w:tab w:val="center" w:pos="4536"/>
        <w:tab w:val="right" w:pos="9072"/>
      </w:tabs>
      <w:spacing w:after="0" w:line="240" w:lineRule="auto"/>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D507" w14:textId="77777777" w:rsidR="00014072" w:rsidRDefault="00014072">
      <w:pPr>
        <w:spacing w:after="0" w:line="240" w:lineRule="auto"/>
      </w:pPr>
      <w:r>
        <w:separator/>
      </w:r>
    </w:p>
  </w:footnote>
  <w:footnote w:type="continuationSeparator" w:id="0">
    <w:p w14:paraId="2AF15156" w14:textId="77777777" w:rsidR="00014072" w:rsidRDefault="0001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96C"/>
    <w:multiLevelType w:val="multilevel"/>
    <w:tmpl w:val="7FD6CA6A"/>
    <w:lvl w:ilvl="0">
      <w:start w:val="2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9B7582A"/>
    <w:multiLevelType w:val="hybridMultilevel"/>
    <w:tmpl w:val="E86CFBA2"/>
    <w:lvl w:ilvl="0" w:tplc="4648A35E">
      <w:start w:val="1"/>
      <w:numFmt w:val="upperLetter"/>
      <w:lvlText w:val="%1."/>
      <w:lvlJc w:val="left"/>
      <w:pPr>
        <w:ind w:left="951" w:hanging="384"/>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A7E4394"/>
    <w:multiLevelType w:val="multilevel"/>
    <w:tmpl w:val="E0CEE4CA"/>
    <w:lvl w:ilvl="0">
      <w:start w:val="2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C547C41"/>
    <w:multiLevelType w:val="multilevel"/>
    <w:tmpl w:val="F7D09E8E"/>
    <w:lvl w:ilvl="0">
      <w:start w:val="4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6E0092B"/>
    <w:multiLevelType w:val="multilevel"/>
    <w:tmpl w:val="78D85696"/>
    <w:styleLink w:val="Stil1"/>
    <w:lvl w:ilvl="0">
      <w:start w:val="11"/>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0D058E"/>
    <w:multiLevelType w:val="multilevel"/>
    <w:tmpl w:val="D74E65DE"/>
    <w:lvl w:ilvl="0">
      <w:start w:val="3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1F336B"/>
    <w:multiLevelType w:val="multilevel"/>
    <w:tmpl w:val="7C9269EA"/>
    <w:lvl w:ilvl="0">
      <w:start w:val="6"/>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9C6E6B"/>
    <w:multiLevelType w:val="multilevel"/>
    <w:tmpl w:val="78D85696"/>
    <w:numStyleLink w:val="Stil1"/>
  </w:abstractNum>
  <w:abstractNum w:abstractNumId="8" w15:restartNumberingAfterBreak="0">
    <w:nsid w:val="36274006"/>
    <w:multiLevelType w:val="multilevel"/>
    <w:tmpl w:val="4C0A7DA6"/>
    <w:lvl w:ilvl="0">
      <w:start w:val="1"/>
      <w:numFmt w:val="decimal"/>
      <w:lvlText w:val="%1."/>
      <w:lvlJc w:val="left"/>
      <w:pPr>
        <w:ind w:left="1320" w:hanging="360"/>
      </w:pPr>
      <w:rPr>
        <w:b/>
        <w:i w:val="0"/>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373F2868"/>
    <w:multiLevelType w:val="multilevel"/>
    <w:tmpl w:val="94108EA4"/>
    <w:lvl w:ilvl="0">
      <w:start w:val="26"/>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F544C35"/>
    <w:multiLevelType w:val="multilevel"/>
    <w:tmpl w:val="4C7CB2A8"/>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A527E04"/>
    <w:multiLevelType w:val="multilevel"/>
    <w:tmpl w:val="01F6927A"/>
    <w:lvl w:ilvl="0">
      <w:start w:val="30"/>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E0E23B2"/>
    <w:multiLevelType w:val="multilevel"/>
    <w:tmpl w:val="59602F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01749E7"/>
    <w:multiLevelType w:val="multilevel"/>
    <w:tmpl w:val="5A4C7B5C"/>
    <w:lvl w:ilvl="0">
      <w:start w:val="3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9880FFB"/>
    <w:multiLevelType w:val="multilevel"/>
    <w:tmpl w:val="A03EFA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23FA1"/>
    <w:multiLevelType w:val="multilevel"/>
    <w:tmpl w:val="AF886C18"/>
    <w:lvl w:ilvl="0">
      <w:start w:val="1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19903C3"/>
    <w:multiLevelType w:val="multilevel"/>
    <w:tmpl w:val="E076C4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9D7438"/>
    <w:multiLevelType w:val="multilevel"/>
    <w:tmpl w:val="407C23B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91806C4"/>
    <w:multiLevelType w:val="multilevel"/>
    <w:tmpl w:val="6486DD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76FEB"/>
    <w:multiLevelType w:val="multilevel"/>
    <w:tmpl w:val="C932F5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56B8A"/>
    <w:multiLevelType w:val="multilevel"/>
    <w:tmpl w:val="3416A964"/>
    <w:lvl w:ilvl="0">
      <w:start w:val="2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40955144">
    <w:abstractNumId w:val="8"/>
  </w:num>
  <w:num w:numId="2" w16cid:durableId="1201943072">
    <w:abstractNumId w:val="12"/>
  </w:num>
  <w:num w:numId="3" w16cid:durableId="545021732">
    <w:abstractNumId w:val="6"/>
  </w:num>
  <w:num w:numId="4" w16cid:durableId="1586528091">
    <w:abstractNumId w:val="1"/>
  </w:num>
  <w:num w:numId="5" w16cid:durableId="1970017339">
    <w:abstractNumId w:val="17"/>
  </w:num>
  <w:num w:numId="6" w16cid:durableId="784348112">
    <w:abstractNumId w:val="7"/>
  </w:num>
  <w:num w:numId="7" w16cid:durableId="2028217377">
    <w:abstractNumId w:val="15"/>
  </w:num>
  <w:num w:numId="8" w16cid:durableId="809783624">
    <w:abstractNumId w:val="10"/>
  </w:num>
  <w:num w:numId="9" w16cid:durableId="565844722">
    <w:abstractNumId w:val="0"/>
  </w:num>
  <w:num w:numId="10" w16cid:durableId="401801699">
    <w:abstractNumId w:val="20"/>
  </w:num>
  <w:num w:numId="11" w16cid:durableId="1615211041">
    <w:abstractNumId w:val="2"/>
  </w:num>
  <w:num w:numId="12" w16cid:durableId="989484163">
    <w:abstractNumId w:val="19"/>
  </w:num>
  <w:num w:numId="13" w16cid:durableId="645356185">
    <w:abstractNumId w:val="18"/>
  </w:num>
  <w:num w:numId="14" w16cid:durableId="935092167">
    <w:abstractNumId w:val="16"/>
  </w:num>
  <w:num w:numId="15" w16cid:durableId="229659918">
    <w:abstractNumId w:val="11"/>
  </w:num>
  <w:num w:numId="16" w16cid:durableId="329871154">
    <w:abstractNumId w:val="13"/>
  </w:num>
  <w:num w:numId="17" w16cid:durableId="2079788309">
    <w:abstractNumId w:val="5"/>
  </w:num>
  <w:num w:numId="18" w16cid:durableId="1328245030">
    <w:abstractNumId w:val="3"/>
  </w:num>
  <w:num w:numId="19" w16cid:durableId="608586602">
    <w:abstractNumId w:val="9"/>
  </w:num>
  <w:num w:numId="20" w16cid:durableId="759254023">
    <w:abstractNumId w:val="14"/>
  </w:num>
  <w:num w:numId="21" w16cid:durableId="1977294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54"/>
    <w:rsid w:val="00007559"/>
    <w:rsid w:val="00014072"/>
    <w:rsid w:val="000619E6"/>
    <w:rsid w:val="00073CD8"/>
    <w:rsid w:val="000813A4"/>
    <w:rsid w:val="000A5865"/>
    <w:rsid w:val="000B1DE1"/>
    <w:rsid w:val="000D5D69"/>
    <w:rsid w:val="000F5263"/>
    <w:rsid w:val="00144A7E"/>
    <w:rsid w:val="00173FAF"/>
    <w:rsid w:val="00187EC7"/>
    <w:rsid w:val="001A230D"/>
    <w:rsid w:val="001B7936"/>
    <w:rsid w:val="00224DF3"/>
    <w:rsid w:val="00244534"/>
    <w:rsid w:val="00277F14"/>
    <w:rsid w:val="002861B2"/>
    <w:rsid w:val="002A0DDA"/>
    <w:rsid w:val="002E5FEF"/>
    <w:rsid w:val="003060B6"/>
    <w:rsid w:val="0032694A"/>
    <w:rsid w:val="00340C74"/>
    <w:rsid w:val="00352475"/>
    <w:rsid w:val="003945F9"/>
    <w:rsid w:val="0039725D"/>
    <w:rsid w:val="003B45AA"/>
    <w:rsid w:val="00453F4F"/>
    <w:rsid w:val="0045401F"/>
    <w:rsid w:val="00456CB5"/>
    <w:rsid w:val="00461F6F"/>
    <w:rsid w:val="00462AB8"/>
    <w:rsid w:val="00477C8F"/>
    <w:rsid w:val="00496041"/>
    <w:rsid w:val="004A33CE"/>
    <w:rsid w:val="004A378D"/>
    <w:rsid w:val="005301AF"/>
    <w:rsid w:val="005423E7"/>
    <w:rsid w:val="00562CC6"/>
    <w:rsid w:val="005664E3"/>
    <w:rsid w:val="00585166"/>
    <w:rsid w:val="00586784"/>
    <w:rsid w:val="00593F88"/>
    <w:rsid w:val="005C1E79"/>
    <w:rsid w:val="005C75B3"/>
    <w:rsid w:val="005E0988"/>
    <w:rsid w:val="00644FFE"/>
    <w:rsid w:val="0068727F"/>
    <w:rsid w:val="006A066A"/>
    <w:rsid w:val="006A2D1E"/>
    <w:rsid w:val="006A7671"/>
    <w:rsid w:val="006C3BFD"/>
    <w:rsid w:val="006D141F"/>
    <w:rsid w:val="006F6F3D"/>
    <w:rsid w:val="0073671E"/>
    <w:rsid w:val="00762326"/>
    <w:rsid w:val="007640A4"/>
    <w:rsid w:val="0078480C"/>
    <w:rsid w:val="007A2F3F"/>
    <w:rsid w:val="007A7CFE"/>
    <w:rsid w:val="007B38DD"/>
    <w:rsid w:val="00852A0F"/>
    <w:rsid w:val="008C6F11"/>
    <w:rsid w:val="008E1E66"/>
    <w:rsid w:val="008E790A"/>
    <w:rsid w:val="00952653"/>
    <w:rsid w:val="009719A5"/>
    <w:rsid w:val="00977C24"/>
    <w:rsid w:val="00982F16"/>
    <w:rsid w:val="009A3ECB"/>
    <w:rsid w:val="009C541A"/>
    <w:rsid w:val="009E0554"/>
    <w:rsid w:val="009F07BE"/>
    <w:rsid w:val="00A44AFD"/>
    <w:rsid w:val="00B121DE"/>
    <w:rsid w:val="00B21384"/>
    <w:rsid w:val="00B763D9"/>
    <w:rsid w:val="00B76D31"/>
    <w:rsid w:val="00B86266"/>
    <w:rsid w:val="00B96CFF"/>
    <w:rsid w:val="00B979A3"/>
    <w:rsid w:val="00C00613"/>
    <w:rsid w:val="00C45CE5"/>
    <w:rsid w:val="00C5509E"/>
    <w:rsid w:val="00C60AC7"/>
    <w:rsid w:val="00C73194"/>
    <w:rsid w:val="00CA5A82"/>
    <w:rsid w:val="00CD119B"/>
    <w:rsid w:val="00D136B9"/>
    <w:rsid w:val="00D53C08"/>
    <w:rsid w:val="00D55AD5"/>
    <w:rsid w:val="00D610A5"/>
    <w:rsid w:val="00D647B8"/>
    <w:rsid w:val="00D72E31"/>
    <w:rsid w:val="00DF2F5A"/>
    <w:rsid w:val="00E51CE3"/>
    <w:rsid w:val="00E63E28"/>
    <w:rsid w:val="00EB1A1B"/>
    <w:rsid w:val="00ED5188"/>
    <w:rsid w:val="00F25DB8"/>
    <w:rsid w:val="00F75237"/>
    <w:rsid w:val="00F938E7"/>
    <w:rsid w:val="00F93B56"/>
    <w:rsid w:val="00FA06C3"/>
    <w:rsid w:val="00FA75EA"/>
    <w:rsid w:val="00FC7B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1ADC"/>
  <w15:docId w15:val="{598677FC-E56A-4A3D-AAA8-0B7D8B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after="0" w:line="256" w:lineRule="auto"/>
      <w:jc w:val="both"/>
      <w:outlineLvl w:val="0"/>
    </w:pPr>
    <w:rPr>
      <w:rFonts w:ascii="Palatino Linotype" w:eastAsia="Palatino Linotype" w:hAnsi="Palatino Linotype" w:cs="Palatino Linotype"/>
      <w:color w:val="000000"/>
      <w:sz w:val="24"/>
      <w:szCs w:val="24"/>
    </w:rPr>
  </w:style>
  <w:style w:type="paragraph" w:styleId="Balk2">
    <w:name w:val="heading 2"/>
    <w:basedOn w:val="Normal"/>
    <w:next w:val="Normal"/>
    <w:uiPriority w:val="9"/>
    <w:semiHidden/>
    <w:unhideWhenUsed/>
    <w:qFormat/>
    <w:pPr>
      <w:keepNext/>
      <w:keepLines/>
      <w:spacing w:before="40" w:after="0" w:line="256" w:lineRule="auto"/>
      <w:ind w:left="927" w:hanging="360"/>
      <w:jc w:val="both"/>
      <w:outlineLvl w:val="1"/>
    </w:pPr>
    <w:rPr>
      <w:rFonts w:ascii="Palatino Linotype" w:eastAsia="Palatino Linotype" w:hAnsi="Palatino Linotype" w:cs="Palatino Linotype"/>
      <w:b/>
      <w:color w:val="000000"/>
    </w:rPr>
  </w:style>
  <w:style w:type="paragraph" w:styleId="Balk3">
    <w:name w:val="heading 3"/>
    <w:basedOn w:val="Normal"/>
    <w:next w:val="Normal"/>
    <w:uiPriority w:val="9"/>
    <w:semiHidden/>
    <w:unhideWhenUsed/>
    <w:qFormat/>
    <w:pPr>
      <w:keepNext/>
      <w:keepLines/>
      <w:spacing w:before="40" w:after="0" w:line="256" w:lineRule="auto"/>
      <w:outlineLvl w:val="2"/>
    </w:pPr>
    <w:rPr>
      <w:rFonts w:ascii="Palatino Linotype" w:eastAsia="Palatino Linotype" w:hAnsi="Palatino Linotype" w:cs="Palatino Linotype"/>
    </w:rPr>
  </w:style>
  <w:style w:type="paragraph" w:styleId="Balk4">
    <w:name w:val="heading 4"/>
    <w:basedOn w:val="Normal"/>
    <w:next w:val="Normal"/>
    <w:uiPriority w:val="9"/>
    <w:semiHidden/>
    <w:unhideWhenUsed/>
    <w:qFormat/>
    <w:pPr>
      <w:keepNext/>
      <w:keepLines/>
      <w:spacing w:before="80" w:after="40"/>
      <w:outlineLvl w:val="3"/>
    </w:pPr>
    <w:rPr>
      <w:b/>
    </w:rPr>
  </w:style>
  <w:style w:type="paragraph" w:styleId="Balk5">
    <w:name w:val="heading 5"/>
    <w:basedOn w:val="Normal"/>
    <w:next w:val="Normal"/>
    <w:uiPriority w:val="9"/>
    <w:semiHidden/>
    <w:unhideWhenUsed/>
    <w:qFormat/>
    <w:pPr>
      <w:keepNext/>
      <w:keepLines/>
      <w:spacing w:before="80" w:after="40"/>
      <w:outlineLvl w:val="4"/>
    </w:pPr>
    <w:rPr>
      <w:color w:val="2F5496"/>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sz w:val="56"/>
      <w:szCs w:val="56"/>
    </w:rPr>
  </w:style>
  <w:style w:type="paragraph" w:styleId="Altyaz">
    <w:name w:val="Subtitle"/>
    <w:basedOn w:val="Normal"/>
    <w:next w:val="Normal"/>
    <w:uiPriority w:val="11"/>
    <w:qFormat/>
    <w:rPr>
      <w:color w:val="595959"/>
      <w:sz w:val="28"/>
      <w:szCs w:val="28"/>
    </w:rPr>
  </w:style>
  <w:style w:type="paragraph" w:styleId="Dzeltme">
    <w:name w:val="Revision"/>
    <w:hidden/>
    <w:uiPriority w:val="99"/>
    <w:semiHidden/>
    <w:rsid w:val="00E51CE3"/>
    <w:pPr>
      <w:spacing w:after="0" w:line="240" w:lineRule="auto"/>
    </w:pPr>
  </w:style>
  <w:style w:type="paragraph" w:styleId="ListeParagraf">
    <w:name w:val="List Paragraph"/>
    <w:basedOn w:val="Normal"/>
    <w:uiPriority w:val="34"/>
    <w:qFormat/>
    <w:rsid w:val="00340C74"/>
    <w:pPr>
      <w:ind w:left="720"/>
      <w:contextualSpacing/>
    </w:pPr>
  </w:style>
  <w:style w:type="paragraph" w:styleId="DipnotMetni">
    <w:name w:val="footnote text"/>
    <w:basedOn w:val="Normal"/>
    <w:link w:val="DipnotMetniChar"/>
    <w:uiPriority w:val="99"/>
    <w:semiHidden/>
    <w:unhideWhenUsed/>
    <w:rsid w:val="005867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6784"/>
    <w:rPr>
      <w:sz w:val="20"/>
      <w:szCs w:val="20"/>
    </w:rPr>
  </w:style>
  <w:style w:type="character" w:styleId="DipnotBavurusu">
    <w:name w:val="footnote reference"/>
    <w:basedOn w:val="VarsaylanParagrafYazTipi"/>
    <w:uiPriority w:val="99"/>
    <w:semiHidden/>
    <w:unhideWhenUsed/>
    <w:rsid w:val="00586784"/>
    <w:rPr>
      <w:vertAlign w:val="superscript"/>
    </w:rPr>
  </w:style>
  <w:style w:type="paragraph" w:styleId="NormalWeb">
    <w:name w:val="Normal (Web)"/>
    <w:basedOn w:val="Normal"/>
    <w:uiPriority w:val="99"/>
    <w:semiHidden/>
    <w:unhideWhenUsed/>
    <w:rsid w:val="009F07BE"/>
    <w:rPr>
      <w:rFonts w:ascii="Times New Roman" w:hAnsi="Times New Roman" w:cs="Times New Roman"/>
      <w:sz w:val="24"/>
      <w:szCs w:val="24"/>
    </w:rPr>
  </w:style>
  <w:style w:type="character" w:customStyle="1" w:styleId="apple-converted-space">
    <w:name w:val="apple-converted-space"/>
    <w:basedOn w:val="VarsaylanParagrafYazTipi"/>
    <w:rsid w:val="000A5865"/>
  </w:style>
  <w:style w:type="numbering" w:customStyle="1" w:styleId="Stil1">
    <w:name w:val="Stil1"/>
    <w:uiPriority w:val="99"/>
    <w:rsid w:val="00FC7B6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1F4F-2032-4AF5-B330-D82F16D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6179</Words>
  <Characters>35226</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 Y</cp:lastModifiedBy>
  <cp:revision>2</cp:revision>
  <dcterms:created xsi:type="dcterms:W3CDTF">2026-05-15T22:17:00Z</dcterms:created>
  <dcterms:modified xsi:type="dcterms:W3CDTF">2026-05-15T22:17:00Z</dcterms:modified>
</cp:coreProperties>
</file>