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79640864"/>
        <w:docPartObj>
          <w:docPartGallery w:val="Cover Pages"/>
          <w:docPartUnique/>
        </w:docPartObj>
      </w:sdtPr>
      <w:sdtContent>
        <w:sdt>
          <w:sdtPr>
            <w:id w:val="272834218"/>
            <w:docPartObj>
              <w:docPartGallery w:val="Cover Pages"/>
              <w:docPartUnique/>
            </w:docPartObj>
          </w:sdtPr>
          <w:sdtContent>
            <w:p w14:paraId="5313E02F" w14:textId="77A97480" w:rsidR="00C05A4F" w:rsidRPr="006B4754" w:rsidRDefault="00653A26" w:rsidP="001B7148">
              <w:pPr>
                <w:spacing w:after="120" w:line="271" w:lineRule="auto"/>
                <w:ind w:firstLine="709"/>
              </w:pPr>
              <w:r w:rsidRPr="006B4754">
                <w:rPr>
                  <w:noProof/>
                </w:rPr>
                <mc:AlternateContent>
                  <mc:Choice Requires="wpg">
                    <w:drawing>
                      <wp:anchor distT="0" distB="0" distL="114300" distR="114300" simplePos="0" relativeHeight="251669504" behindDoc="0" locked="0" layoutInCell="1" allowOverlap="1" wp14:anchorId="72E80FFA" wp14:editId="3EECEEE6">
                        <wp:simplePos x="0" y="0"/>
                        <wp:positionH relativeFrom="page">
                          <wp:posOffset>-457200</wp:posOffset>
                        </wp:positionH>
                        <wp:positionV relativeFrom="page">
                          <wp:posOffset>707571</wp:posOffset>
                        </wp:positionV>
                        <wp:extent cx="6666457" cy="7352173"/>
                        <wp:effectExtent l="0" t="0" r="1270" b="1270"/>
                        <wp:wrapNone/>
                        <wp:docPr id="1536460579" name="Grup 11" descr="Başlık: Başlık ve alt başlık, kırpma işareti grafiğiy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457" cy="7352173"/>
                                  <a:chOff x="-11368" y="1775"/>
                                  <a:chExt cx="66657" cy="36067"/>
                                </a:xfrm>
                              </wpg:grpSpPr>
                              <wpg:grpSp>
                                <wpg:cNvPr id="1701312470" name="Grup 6"/>
                                <wpg:cNvGrpSpPr>
                                  <a:grpSpLocks/>
                                </wpg:cNvGrpSpPr>
                                <wpg:grpSpPr bwMode="auto">
                                  <a:xfrm>
                                    <a:off x="-11368" y="1775"/>
                                    <a:ext cx="35641" cy="30777"/>
                                    <a:chOff x="-11368" y="1775"/>
                                    <a:chExt cx="35640" cy="30776"/>
                                  </a:xfrm>
                                </wpg:grpSpPr>
                                <wps:wsp>
                                  <wps:cNvPr id="1118084049" name="Serbest Form 3"/>
                                  <wps:cNvSpPr>
                                    <a:spLocks/>
                                  </wps:cNvSpPr>
                                  <wps:spPr bwMode="auto">
                                    <a:xfrm>
                                      <a:off x="2020" y="2736"/>
                                      <a:ext cx="22252" cy="18956"/>
                                    </a:xfrm>
                                    <a:custGeom>
                                      <a:avLst/>
                                      <a:gdLst>
                                        <a:gd name="T0" fmla="*/ 266700 w 1344"/>
                                        <a:gd name="T1" fmla="*/ 2867025 h 1806"/>
                                        <a:gd name="T2" fmla="*/ 0 w 1344"/>
                                        <a:gd name="T3" fmla="*/ 2867025 h 1806"/>
                                        <a:gd name="T4" fmla="*/ 0 w 1344"/>
                                        <a:gd name="T5" fmla="*/ 0 h 1806"/>
                                        <a:gd name="T6" fmla="*/ 2133600 w 1344"/>
                                        <a:gd name="T7" fmla="*/ 0 h 1806"/>
                                        <a:gd name="T8" fmla="*/ 2133600 w 1344"/>
                                        <a:gd name="T9" fmla="*/ 261938 h 1806"/>
                                        <a:gd name="T10" fmla="*/ 266700 w 1344"/>
                                        <a:gd name="T11" fmla="*/ 261938 h 1806"/>
                                        <a:gd name="T12" fmla="*/ 266700 w 1344"/>
                                        <a:gd name="T13" fmla="*/ 2867025 h 18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09960" name="Dikdörtgen 5"/>
                                  <wps:cNvSpPr>
                                    <a:spLocks noChangeArrowheads="1"/>
                                  </wps:cNvSpPr>
                                  <wps:spPr bwMode="auto">
                                    <a:xfrm>
                                      <a:off x="-11368" y="1775"/>
                                      <a:ext cx="20698" cy="30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57310503" name="Metin Kutusu 9"/>
                                <wps:cNvSpPr txBox="1">
                                  <a:spLocks noChangeArrowheads="1"/>
                                </wps:cNvSpPr>
                                <wps:spPr bwMode="auto">
                                  <a:xfrm>
                                    <a:off x="3015" y="9999"/>
                                    <a:ext cx="52274" cy="27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89DBB0" w14:textId="77777777" w:rsidR="0021110F" w:rsidRDefault="0021110F" w:rsidP="00C05A4F">
                                      <w:pPr>
                                        <w:pStyle w:val="AralkYok"/>
                                        <w:jc w:val="center"/>
                                        <w:rPr>
                                          <w:sz w:val="32"/>
                                          <w:szCs w:val="32"/>
                                        </w:rPr>
                                      </w:pPr>
                                      <w:bookmarkStart w:id="0" w:name="OLE_LINK3"/>
                                      <w:bookmarkStart w:id="1" w:name="OLE_LINK4"/>
                                    </w:p>
                                    <w:p w14:paraId="35B19394" w14:textId="77777777" w:rsidR="0021110F" w:rsidRDefault="0021110F" w:rsidP="00C05A4F">
                                      <w:pPr>
                                        <w:pStyle w:val="AralkYok"/>
                                        <w:jc w:val="center"/>
                                        <w:rPr>
                                          <w:sz w:val="32"/>
                                          <w:szCs w:val="32"/>
                                        </w:rPr>
                                      </w:pPr>
                                    </w:p>
                                    <w:p w14:paraId="19BB37E5" w14:textId="77777777" w:rsidR="0021110F" w:rsidRDefault="0021110F" w:rsidP="00C05A4F">
                                      <w:pPr>
                                        <w:pStyle w:val="AralkYok"/>
                                        <w:jc w:val="center"/>
                                        <w:rPr>
                                          <w:sz w:val="32"/>
                                          <w:szCs w:val="32"/>
                                        </w:rPr>
                                      </w:pPr>
                                    </w:p>
                                    <w:p w14:paraId="6DECEC71" w14:textId="77777777" w:rsidR="0021110F" w:rsidRDefault="0021110F" w:rsidP="00C05A4F">
                                      <w:pPr>
                                        <w:pStyle w:val="AralkYok"/>
                                        <w:jc w:val="center"/>
                                        <w:rPr>
                                          <w:sz w:val="32"/>
                                          <w:szCs w:val="32"/>
                                        </w:rPr>
                                      </w:pPr>
                                    </w:p>
                                    <w:p w14:paraId="30A99147" w14:textId="77777777" w:rsidR="0021110F" w:rsidRDefault="0021110F" w:rsidP="00C05A4F">
                                      <w:pPr>
                                        <w:pStyle w:val="AralkYok"/>
                                        <w:jc w:val="center"/>
                                        <w:rPr>
                                          <w:sz w:val="32"/>
                                          <w:szCs w:val="32"/>
                                        </w:rPr>
                                      </w:pPr>
                                    </w:p>
                                    <w:p w14:paraId="046B2F04" w14:textId="77777777" w:rsidR="0021110F" w:rsidRDefault="0021110F" w:rsidP="00C05A4F">
                                      <w:pPr>
                                        <w:pStyle w:val="AralkYok"/>
                                        <w:jc w:val="center"/>
                                        <w:rPr>
                                          <w:sz w:val="32"/>
                                          <w:szCs w:val="32"/>
                                        </w:rPr>
                                      </w:pPr>
                                    </w:p>
                                    <w:p w14:paraId="15A062AF" w14:textId="77777777" w:rsidR="0021110F" w:rsidRDefault="0021110F" w:rsidP="00C05A4F">
                                      <w:pPr>
                                        <w:pStyle w:val="AralkYok"/>
                                        <w:jc w:val="center"/>
                                        <w:rPr>
                                          <w:sz w:val="32"/>
                                          <w:szCs w:val="32"/>
                                        </w:rPr>
                                      </w:pPr>
                                    </w:p>
                                    <w:p w14:paraId="0C780BC3" w14:textId="77777777" w:rsidR="0021110F" w:rsidRDefault="0021110F" w:rsidP="004F6577">
                                      <w:pPr>
                                        <w:pStyle w:val="AralkYok"/>
                                        <w:rPr>
                                          <w:sz w:val="32"/>
                                          <w:szCs w:val="32"/>
                                        </w:rPr>
                                      </w:pPr>
                                    </w:p>
                                    <w:p w14:paraId="3AF16011" w14:textId="348AB229" w:rsidR="00757C5D" w:rsidRPr="00757C5D" w:rsidRDefault="00757C5D" w:rsidP="00757C5D">
                                      <w:pPr>
                                        <w:spacing w:line="271" w:lineRule="auto"/>
                                        <w:jc w:val="center"/>
                                        <w:textAlignment w:val="baseline"/>
                                        <w:rPr>
                                          <w:rFonts w:cs="Segoe UI"/>
                                          <w:sz w:val="44"/>
                                          <w:szCs w:val="44"/>
                                        </w:rPr>
                                      </w:pPr>
                                      <w:r w:rsidRPr="00757C5D">
                                        <w:rPr>
                                          <w:rFonts w:cs="Segoe UI"/>
                                          <w:b/>
                                          <w:bCs/>
                                          <w:sz w:val="44"/>
                                          <w:szCs w:val="44"/>
                                        </w:rPr>
                                        <w:t>BYLOCK</w:t>
                                      </w:r>
                                      <w:r>
                                        <w:rPr>
                                          <w:rFonts w:cs="Segoe UI"/>
                                          <w:b/>
                                          <w:bCs/>
                                          <w:sz w:val="44"/>
                                          <w:szCs w:val="44"/>
                                        </w:rPr>
                                        <w:t>’LA</w:t>
                                      </w:r>
                                      <w:r w:rsidRPr="00757C5D">
                                        <w:rPr>
                                          <w:rFonts w:cs="Segoe UI"/>
                                          <w:b/>
                                          <w:bCs/>
                                          <w:sz w:val="44"/>
                                          <w:szCs w:val="44"/>
                                        </w:rPr>
                                        <w:t xml:space="preserve"> İLGİLİ MAHKEMELERCE USULİ AÇIDAN TESPİTİ GEREKEN HUSUSLAR</w:t>
                                      </w:r>
                                    </w:p>
                                    <w:p w14:paraId="0B1262F4" w14:textId="77777777" w:rsidR="00E52E47" w:rsidRPr="00AA0A0D" w:rsidRDefault="00E52E47" w:rsidP="00E52E47">
                                      <w:pPr>
                                        <w:pStyle w:val="AralkYok"/>
                                        <w:jc w:val="center"/>
                                        <w:rPr>
                                          <w:rFonts w:ascii="Palatino Linotype" w:hAnsi="Palatino Linotype"/>
                                          <w:sz w:val="32"/>
                                          <w:szCs w:val="32"/>
                                        </w:rPr>
                                      </w:pPr>
                                    </w:p>
                                    <w:p w14:paraId="5B6AF20C" w14:textId="77777777" w:rsidR="00E52E47" w:rsidRPr="00AA0A0D" w:rsidRDefault="00E52E47" w:rsidP="00E52E47">
                                      <w:pPr>
                                        <w:pStyle w:val="AralkYok"/>
                                        <w:jc w:val="center"/>
                                        <w:rPr>
                                          <w:rFonts w:ascii="Palatino Linotype" w:hAnsi="Palatino Linotype"/>
                                          <w:b/>
                                          <w:bCs/>
                                          <w:sz w:val="28"/>
                                          <w:szCs w:val="28"/>
                                        </w:rPr>
                                      </w:pPr>
                                      <w:r w:rsidRPr="00AA0A0D">
                                        <w:rPr>
                                          <w:rFonts w:ascii="Palatino Linotype" w:hAnsi="Palatino Linotype"/>
                                          <w:b/>
                                          <w:bCs/>
                                          <w:sz w:val="28"/>
                                          <w:szCs w:val="28"/>
                                        </w:rPr>
                                        <w:t>Dr. Gökhan GÜNEŞ</w:t>
                                      </w:r>
                                    </w:p>
                                    <w:p w14:paraId="64D58EF3" w14:textId="77777777" w:rsidR="00C05A4F" w:rsidRPr="00F21B20" w:rsidRDefault="00C05A4F" w:rsidP="00C05A4F">
                                      <w:pPr>
                                        <w:pStyle w:val="AralkYok"/>
                                        <w:jc w:val="center"/>
                                        <w:rPr>
                                          <w:b/>
                                          <w:bCs/>
                                          <w:sz w:val="72"/>
                                          <w:szCs w:val="72"/>
                                        </w:rPr>
                                      </w:pPr>
                                    </w:p>
                                    <w:p w14:paraId="6FD9F191" w14:textId="77777777" w:rsidR="00C05A4F" w:rsidRDefault="00C05A4F" w:rsidP="00C05A4F">
                                      <w:pPr>
                                        <w:pStyle w:val="AralkYok"/>
                                      </w:pPr>
                                    </w:p>
                                    <w:p w14:paraId="17153A18" w14:textId="77777777" w:rsidR="00C05A4F" w:rsidRDefault="00C05A4F" w:rsidP="00C05A4F">
                                      <w:pPr>
                                        <w:pStyle w:val="AralkYok"/>
                                      </w:pPr>
                                    </w:p>
                                    <w:p w14:paraId="24626C48" w14:textId="77777777" w:rsidR="00C05A4F" w:rsidRDefault="00C05A4F" w:rsidP="00C05A4F">
                                      <w:pPr>
                                        <w:pStyle w:val="AralkYok"/>
                                      </w:pPr>
                                    </w:p>
                                    <w:p w14:paraId="6EE0DD85" w14:textId="77777777" w:rsidR="00C05A4F" w:rsidRDefault="00C05A4F" w:rsidP="00C05A4F">
                                      <w:pPr>
                                        <w:pStyle w:val="AralkYok"/>
                                      </w:pPr>
                                    </w:p>
                                    <w:p w14:paraId="439F2F94" w14:textId="77777777" w:rsidR="00C05A4F" w:rsidRDefault="00C05A4F" w:rsidP="00C05A4F">
                                      <w:pPr>
                                        <w:pStyle w:val="AralkYok"/>
                                      </w:pPr>
                                    </w:p>
                                    <w:p w14:paraId="4CF108C5" w14:textId="77777777" w:rsidR="00C05A4F" w:rsidRDefault="00C05A4F" w:rsidP="00C05A4F">
                                      <w:pPr>
                                        <w:pStyle w:val="AralkYok"/>
                                      </w:pPr>
                                    </w:p>
                                    <w:p w14:paraId="55EA5CC2" w14:textId="77777777" w:rsidR="00C05A4F" w:rsidRPr="002023F8" w:rsidRDefault="00C05A4F" w:rsidP="00C05A4F">
                                      <w:pPr>
                                        <w:pStyle w:val="AralkYok"/>
                                      </w:pPr>
                                    </w:p>
                                    <w:bookmarkEnd w:id="0"/>
                                    <w:bookmarkEnd w:id="1"/>
                                    <w:p w14:paraId="1AF56D99" w14:textId="77777777" w:rsidR="00C05A4F" w:rsidRPr="002023F8" w:rsidRDefault="00C05A4F" w:rsidP="00C05A4F">
                                      <w:pPr>
                                        <w:pStyle w:val="AralkYok"/>
                                      </w:pPr>
                                    </w:p>
                                    <w:p w14:paraId="547A485E" w14:textId="77777777" w:rsidR="00C05A4F" w:rsidRPr="002023F8" w:rsidRDefault="00C05A4F" w:rsidP="00C05A4F"/>
                                  </w:txbxContent>
                                </wps:txbx>
                                <wps:bodyPr rot="0" vert="horz" wrap="square" lIns="457200" tIns="457200" rIns="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E80FFA" id="Grup 11" o:spid="_x0000_s1026" alt="Başlık: Başlık ve alt başlık, kırpma işareti grafiğiyle" style="position:absolute;left:0;text-align:left;margin-left:-36pt;margin-top:55.7pt;width:524.9pt;height:578.9pt;z-index:251669504;mso-position-horizontal-relative:page;mso-position-vertical-relative:page;mso-width-relative:margin;mso-height-relative:margin" coordorigin="-11368,1775" coordsize="66657,360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McXEQUAACgRAAAOAAAAZHJzL2Uyb0RvYy54bWzEWN1yozYUvu9M30HDZWc2RmDA9sTZ2SZN&#13;&#10;ptPddmfiPoAMsmEWEJXk4PTB+gJ9sZ4jIQyJ7U2zu60vHIE+Dud850efc/l2X5XkgUtViHrp0Qvf&#13;&#10;I7xORVbU26X3++r2zcwjSrM6Y6Wo+dJ75Mp7e/X9d5dts+CByEWZcUnASK0WbbP0cq2bxWSi0pxX&#13;&#10;TF2IhtewuRGyYhou5XaSSdaC9aqcBL4fT1ohs0aKlCsFd2/spndl7G82PNW/bTaKa1IuPfBNm29p&#13;&#10;vtf4Pbm6ZIutZE1epJ0b7BVeVKyo4aW9qRumGdnJ4pmpqkilUGKjL1JRTcRmU6TcxADRUP9JNHdS&#13;&#10;7BoTy3bRbpueJqD2CU+vNpv++nAnm/vmo7Tew/K9SD8p4GXSNtvFcB+vtxZM1u0HkUE+2U4LE/h+&#13;&#10;Iys0ASGRveH3seeX7zVJ4WYMn2mUeCSFvSSMApqENgNpDmnC595QGsZQMwCgSRK53Z8OFtzzYezH&#13;&#10;Ce5P2MK+3DjcOYgF0HlrlxDIR0mKDO36NKTBNIF6qFkFQdzJXUNitPU0ZEzo16LkaGiOmjCKp9QS&#13;&#10;E/pJYgJji5fSgk9DNEgrPm1COUkLNJo61JL6slq6z1nDTYkqrBVHMaUzfzb1p3NH8T2Xa640uYVO&#13;&#10;JibpbWOecKWnhnU32EGYgvL8bMUFfgAUAANBEhoC2MKRGwRBFFh66GwejekBlndK33Fhypc9vFfa&#13;&#10;DoUMVqYpsq5MVmB/U5UwH36YkCCOE98nLaHhdGrLdNsDIZMH4AyAQURyApx0jh2Q4FaPPGUtHGCC&#13;&#10;s9amA+Qpa9EIc9yreIAJaAitdsoaNPPA/+PWoJ17zHlrUC4HZEzn4ewEbfTlqRjl4qzNYS7Op/fl&#13;&#10;GaHjlACRQGUcRa5ED5VAx4k5hxymB6ydsTlOzznkMEnnbQ6TdBaJ/din8xkS5tPWtRjLXdel+7pr&#13;&#10;O1gRhipiBRxiHzZC4QmBXQhdvqLd7Acc7g7g0QgOWUW4mTnwzufweASHfCHcnDxH4ckIDqlAuDuI&#13;&#10;nlufjeD2ZFvNT/o+H8GxzE2sJ4MFjofc0C5aOgrXxtHxKkETPVVD0iOghtZ2jDVMYzqMWViSFo5M&#13;&#10;nHEkhwWOMNypxANfCYPRmBXqDu1uxsErD5CyHkJtTG4YAtBtu7+NsWhhRqGdxFi/gKEXwmjs8ure&#13;&#10;5f7ad/ZRvBR3iNYZSkuhuFUlSKSRJz2jmIjBYaNEWWS3RVkij0by8utSkgcGYlXvA0N0uatAadl7&#13;&#10;FDu906xwHyWTwbroexPmrSPrpWmSWuDbrHd4BxSTPV1R+ajFWmSPcNJKYWUyyHpY5EL+6ZEWJPLS&#13;&#10;U3/smOQeKX+uQTfM6RRVhzYXoOuw3+VwZz3cYXUKpiAwD9oal9fa6vBdI4ttDm+iJuBavANNuSnw&#13;&#10;FDb+Wa+6C5Au1tdvr2HmYeLP5zEEZVXiTfEp+/svqbe8JqaMjisYUovrHAYXfyelaHPOMqDK9u/o&#13;&#10;AUf9Z4XNWd0Y+PEchspx5QczU1ppQ3Cx9LD3DclO5kBBOgjWYF8f2JSjG6YF/5+CSTWMpy8tmcNv&#13;&#10;g/+ofIIoCakf+SAVbPl84LqoyS87vVM7Yg6AQTkQvf9R4Bg12em08FevpNBHkQHjcg4fO+ydRI6C&#13;&#10;IIERj3UUJLOpOz7crzpXJN+ojvR+vYd2R0L+5QwyY2c8hPopBAs7gWDhps/aLV8/fUwpwc9x6IbR&#13;&#10;7/3htemUwz84rv4BAAD//wMAUEsDBBQABgAIAAAAIQBBlge15wAAABEBAAAPAAAAZHJzL2Rvd25y&#13;&#10;ZXYueG1sTI9Pb8IwDMXvk/YdIk/aDdJ0G4XSFCH254QmDSah3UJj2oomqZrQlm8/c9ouluxnP79f&#13;&#10;thpNw3rsfO2sBDGNgKEtnK5tKeF7/z6ZA/NBWa0aZ1HCFT2s8vu7TKXaDfYL+10oGZlYnyoJVQht&#13;&#10;yrkvKjTKT12LlrST64wK1HYl150ayNw0PI6iGTeqtvShUi1uKizOu4uR8DGoYf0k3vrt+bS5/uxf&#13;&#10;Pg9bgVI+PoyvSyrrJbCAY/i7gBsD5Yecgh3dxWrPGgmTJCagQIIQz8BoY5EkRHSkSTxbxMDzjP8n&#13;&#10;yX8BAAD//wMAUEsBAi0AFAAGAAgAAAAhALaDOJL+AAAA4QEAABMAAAAAAAAAAAAAAAAAAAAAAFtD&#13;&#10;b250ZW50X1R5cGVzXS54bWxQSwECLQAUAAYACAAAACEAOP0h/9YAAACUAQAACwAAAAAAAAAAAAAA&#13;&#10;AAAvAQAAX3JlbHMvLnJlbHNQSwECLQAUAAYACAAAACEAsbjHFxEFAAAoEQAADgAAAAAAAAAAAAAA&#13;&#10;AAAuAgAAZHJzL2Uyb0RvYy54bWxQSwECLQAUAAYACAAAACEAQZYHtecAAAARAQAADwAAAAAAAAAA&#13;&#10;AAAAAABrBwAAZHJzL2Rvd25yZXYueG1sUEsFBgAAAAAEAAQA8wAAAH8IAAAAAA==&#13;&#10;">
                        <v:group id="Grup 6" o:spid="_x0000_s1027" style="position:absolute;left:-11368;top:1775;width:35641;height:30777" coordorigin="-11368,1775" coordsize="35640,30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uXF0AAAAOgAAAAPAAAAZHJzL2Rvd25yZXYueG1sRI9NS8NA&#13;&#10;EIbvgv9hGcGb3WyrVtJuS6kfeCiCrSDehuw0Cc3OhuyapP/eOQi9DLwzzPPyLNejb1RPXawDWzCT&#13;&#10;DBRxEVzNpYWvw+vdE6iYkB02gcnCmSKsV9dXS8xdGPiT+n0qlUA45mihSqnNtY5FRR7jJLTEcjuG&#13;&#10;zmOS2JXadTgI3Dd6mmWP2mPN0lBhS9uKitP+11t4G3DYzMxLvzsdt+efw8PH986Qtbc34/NCxmYB&#13;&#10;KtGYLh//iHcnDvPMzMz0fi4qIiYL0Ks/AAAA//8DAFBLAQItABQABgAIAAAAIQDb4fbL7gAAAIUB&#13;&#10;AAATAAAAAAAAAAAAAAAAAAAAAABbQ29udGVudF9UeXBlc10ueG1sUEsBAi0AFAAGAAgAAAAhAFr0&#13;&#10;LFu/AAAAFQEAAAsAAAAAAAAAAAAAAAAAHwEAAF9yZWxzLy5yZWxzUEsBAi0AFAAGAAgAAAAhABCK&#13;&#10;5cXQAAAA6AAAAA8AAAAAAAAAAAAAAAAABwIAAGRycy9kb3ducmV2LnhtbFBLBQYAAAAAAwADALcA&#13;&#10;AAAEAwAAAAA=&#13;&#10;">
                          <v:shape id="Serbest Form 3" o:spid="_x0000_s1028" style="position:absolute;left:2020;top:2736;width:22252;height:18956;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bzCzgAAAOgAAAAPAAAAZHJzL2Rvd25yZXYueG1sRI/BasMw&#13;&#10;DIbvg72D0WC31U5pR5bWLaVlrOyWtIUdRawlYbEcbLfN9vTzYNCLQPr5P/Et16PtxYV86BxryCYK&#13;&#10;BHHtTMeNhuPh9SkHESKywd4xafimAOvV/d0SC+OuXNKlio1IEA4FamhjHAopQ92SxTBxA3HKPp23&#13;&#10;GNPqG2k8XhPc9nKq1LO02HH60OJA25bqr+psNfjy9F5uKjy+ndnSRzXfyfn+R+vHh3G3SGOzABFp&#13;&#10;jLfGP2JvkkOW5SqfqdkL/ImlA8jVLwAAAP//AwBQSwECLQAUAAYACAAAACEA2+H2y+4AAACFAQAA&#13;&#10;EwAAAAAAAAAAAAAAAAAAAAAAW0NvbnRlbnRfVHlwZXNdLnhtbFBLAQItABQABgAIAAAAIQBa9Cxb&#13;&#10;vwAAABUBAAALAAAAAAAAAAAAAAAAAB8BAABfcmVscy8ucmVsc1BLAQItABQABgAIAAAAIQBX5bzC&#13;&#10;zgAAAOgAAAAPAAAAAAAAAAAAAAAAAAcCAABkcnMvZG93bnJldi54bWxQSwUGAAAAAAMAAwC3AAAA&#13;&#10;AgMAAAAA&#13;&#10;" path="m168,1806l,1806,,,1344,r,165l168,165r,1641xe" fillcolor="#44546a [3215]" stroked="f">
                            <v:path arrowok="t" o:connecttype="custom" o:connectlocs="4415631,30092650;0,30092650;0,0;35325050,0;35325050,2749334;4415631,2749334;4415631,30092650" o:connectangles="0,0,0,0,0,0,0"/>
                          </v:shape>
                          <v:rect id="Dikdörtgen 5" o:spid="_x0000_s1029" style="position:absolute;left:-11368;top:1775;width:20698;height:307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KUHzAAAAOcAAAAPAAAAZHJzL2Rvd25yZXYueG1sRI9NS8NA&#13;&#10;EIbvgv9hGcGb3ahQm7Tb4gei0oNY9T7uTpNgdjbsbpP03zsHoZeBl+F9Xp7VZvKdGiimNrCB61kB&#13;&#10;itgG13Jt4Ovz+WoBKmVkh11gMnCkBJv1+dkKKxdG/qBhl2slEE4VGmhy7iutk23IY5qFnlh++xA9&#13;&#10;Zomx1i7iKHDf6ZuimGuPLctCgz09NmR/dwdv4DvsH0Zvf/htOL63h5dttHaxNebyYnpayrlfgso0&#13;&#10;5VPjH/HqxKG8vSvKci4m4iUZ9PoPAAD//wMAUEsBAi0AFAAGAAgAAAAhANvh9svuAAAAhQEAABMA&#13;&#10;AAAAAAAAAAAAAAAAAAAAAFtDb250ZW50X1R5cGVzXS54bWxQSwECLQAUAAYACAAAACEAWvQsW78A&#13;&#10;AAAVAQAACwAAAAAAAAAAAAAAAAAfAQAAX3JlbHMvLnJlbHNQSwECLQAUAAYACAAAACEASpSlB8wA&#13;&#10;AADnAAAADwAAAAAAAAAAAAAAAAAHAgAAZHJzL2Rvd25yZXYueG1sUEsFBgAAAAADAAMAtwAAAAAD&#13;&#10;AAAAAA==&#13;&#10;" filled="f" stroked="f" strokeweight="1pt"/>
                        </v:group>
                        <v:shapetype id="_x0000_t202" coordsize="21600,21600" o:spt="202" path="m,l,21600r21600,l21600,xe">
                          <v:stroke joinstyle="miter"/>
                          <v:path gradientshapeok="t" o:connecttype="rect"/>
                        </v:shapetype>
                        <v:shape id="Metin Kutusu 9" o:spid="_x0000_s1030" type="#_x0000_t202" style="position:absolute;left:3015;top:9999;width:52274;height:2784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X8BzwAAAOcAAAAPAAAAZHJzL2Rvd25yZXYueG1sRI9BSwMx&#13;&#10;FITvQv9DeII3m2zXqmybltLS0oNK7Xrx9tg8d5duXpZNbKO/3giCl4FhmG+Y+TLaTpxp8K1jDdlY&#13;&#10;gSCunGm51vBWbm8fQfiAbLBzTBq+yMNyMbqaY2HchV/pfAy1SBD2BWpoQugLKX3VkEU/dj1xyj7c&#13;&#10;YDEkO9TSDHhJcNvJiVL30mLLaaHBntYNVafjp9UQs/L7bq+ent/LXR5Pm8PLYW1J65vruJklWc1A&#13;&#10;BIrhv/GH2BsNk+lDnqmpyuH3V/oEcvEDAAD//wMAUEsBAi0AFAAGAAgAAAAhANvh9svuAAAAhQEA&#13;&#10;ABMAAAAAAAAAAAAAAAAAAAAAAFtDb250ZW50X1R5cGVzXS54bWxQSwECLQAUAAYACAAAACEAWvQs&#13;&#10;W78AAAAVAQAACwAAAAAAAAAAAAAAAAAfAQAAX3JlbHMvLnJlbHNQSwECLQAUAAYACAAAACEA4uF/&#13;&#10;Ac8AAADnAAAADwAAAAAAAAAAAAAAAAAHAgAAZHJzL2Rvd25yZXYueG1sUEsFBgAAAAADAAMAtwAA&#13;&#10;AAMDAAAAAA==&#13;&#10;" filled="f" stroked="f" strokeweight=".5pt">
                          <v:textbox inset="36pt,36pt,0,0">
                            <w:txbxContent>
                              <w:p w14:paraId="5E89DBB0" w14:textId="77777777" w:rsidR="0021110F" w:rsidRDefault="0021110F" w:rsidP="00C05A4F">
                                <w:pPr>
                                  <w:pStyle w:val="AralkYok"/>
                                  <w:jc w:val="center"/>
                                  <w:rPr>
                                    <w:sz w:val="32"/>
                                    <w:szCs w:val="32"/>
                                  </w:rPr>
                                </w:pPr>
                                <w:bookmarkStart w:id="2" w:name="OLE_LINK3"/>
                                <w:bookmarkStart w:id="3" w:name="OLE_LINK4"/>
                              </w:p>
                              <w:p w14:paraId="35B19394" w14:textId="77777777" w:rsidR="0021110F" w:rsidRDefault="0021110F" w:rsidP="00C05A4F">
                                <w:pPr>
                                  <w:pStyle w:val="AralkYok"/>
                                  <w:jc w:val="center"/>
                                  <w:rPr>
                                    <w:sz w:val="32"/>
                                    <w:szCs w:val="32"/>
                                  </w:rPr>
                                </w:pPr>
                              </w:p>
                              <w:p w14:paraId="19BB37E5" w14:textId="77777777" w:rsidR="0021110F" w:rsidRDefault="0021110F" w:rsidP="00C05A4F">
                                <w:pPr>
                                  <w:pStyle w:val="AralkYok"/>
                                  <w:jc w:val="center"/>
                                  <w:rPr>
                                    <w:sz w:val="32"/>
                                    <w:szCs w:val="32"/>
                                  </w:rPr>
                                </w:pPr>
                              </w:p>
                              <w:p w14:paraId="6DECEC71" w14:textId="77777777" w:rsidR="0021110F" w:rsidRDefault="0021110F" w:rsidP="00C05A4F">
                                <w:pPr>
                                  <w:pStyle w:val="AralkYok"/>
                                  <w:jc w:val="center"/>
                                  <w:rPr>
                                    <w:sz w:val="32"/>
                                    <w:szCs w:val="32"/>
                                  </w:rPr>
                                </w:pPr>
                              </w:p>
                              <w:p w14:paraId="30A99147" w14:textId="77777777" w:rsidR="0021110F" w:rsidRDefault="0021110F" w:rsidP="00C05A4F">
                                <w:pPr>
                                  <w:pStyle w:val="AralkYok"/>
                                  <w:jc w:val="center"/>
                                  <w:rPr>
                                    <w:sz w:val="32"/>
                                    <w:szCs w:val="32"/>
                                  </w:rPr>
                                </w:pPr>
                              </w:p>
                              <w:p w14:paraId="046B2F04" w14:textId="77777777" w:rsidR="0021110F" w:rsidRDefault="0021110F" w:rsidP="00C05A4F">
                                <w:pPr>
                                  <w:pStyle w:val="AralkYok"/>
                                  <w:jc w:val="center"/>
                                  <w:rPr>
                                    <w:sz w:val="32"/>
                                    <w:szCs w:val="32"/>
                                  </w:rPr>
                                </w:pPr>
                              </w:p>
                              <w:p w14:paraId="15A062AF" w14:textId="77777777" w:rsidR="0021110F" w:rsidRDefault="0021110F" w:rsidP="00C05A4F">
                                <w:pPr>
                                  <w:pStyle w:val="AralkYok"/>
                                  <w:jc w:val="center"/>
                                  <w:rPr>
                                    <w:sz w:val="32"/>
                                    <w:szCs w:val="32"/>
                                  </w:rPr>
                                </w:pPr>
                              </w:p>
                              <w:p w14:paraId="0C780BC3" w14:textId="77777777" w:rsidR="0021110F" w:rsidRDefault="0021110F" w:rsidP="004F6577">
                                <w:pPr>
                                  <w:pStyle w:val="AralkYok"/>
                                  <w:rPr>
                                    <w:sz w:val="32"/>
                                    <w:szCs w:val="32"/>
                                  </w:rPr>
                                </w:pPr>
                              </w:p>
                              <w:p w14:paraId="3AF16011" w14:textId="348AB229" w:rsidR="00757C5D" w:rsidRPr="00757C5D" w:rsidRDefault="00757C5D" w:rsidP="00757C5D">
                                <w:pPr>
                                  <w:spacing w:line="271" w:lineRule="auto"/>
                                  <w:jc w:val="center"/>
                                  <w:textAlignment w:val="baseline"/>
                                  <w:rPr>
                                    <w:rFonts w:cs="Segoe UI"/>
                                    <w:sz w:val="44"/>
                                    <w:szCs w:val="44"/>
                                  </w:rPr>
                                </w:pPr>
                                <w:r w:rsidRPr="00757C5D">
                                  <w:rPr>
                                    <w:rFonts w:cs="Segoe UI"/>
                                    <w:b/>
                                    <w:bCs/>
                                    <w:sz w:val="44"/>
                                    <w:szCs w:val="44"/>
                                  </w:rPr>
                                  <w:t>BYLOCK</w:t>
                                </w:r>
                                <w:r>
                                  <w:rPr>
                                    <w:rFonts w:cs="Segoe UI"/>
                                    <w:b/>
                                    <w:bCs/>
                                    <w:sz w:val="44"/>
                                    <w:szCs w:val="44"/>
                                  </w:rPr>
                                  <w:t>’LA</w:t>
                                </w:r>
                                <w:r w:rsidRPr="00757C5D">
                                  <w:rPr>
                                    <w:rFonts w:cs="Segoe UI"/>
                                    <w:b/>
                                    <w:bCs/>
                                    <w:sz w:val="44"/>
                                    <w:szCs w:val="44"/>
                                  </w:rPr>
                                  <w:t xml:space="preserve"> İLGİLİ MAHKEMELERCE USULİ AÇIDAN TESPİTİ GEREKEN HUSUSLAR</w:t>
                                </w:r>
                              </w:p>
                              <w:p w14:paraId="0B1262F4" w14:textId="77777777" w:rsidR="00E52E47" w:rsidRPr="00AA0A0D" w:rsidRDefault="00E52E47" w:rsidP="00E52E47">
                                <w:pPr>
                                  <w:pStyle w:val="AralkYok"/>
                                  <w:jc w:val="center"/>
                                  <w:rPr>
                                    <w:rFonts w:ascii="Palatino Linotype" w:hAnsi="Palatino Linotype"/>
                                    <w:sz w:val="32"/>
                                    <w:szCs w:val="32"/>
                                  </w:rPr>
                                </w:pPr>
                              </w:p>
                              <w:p w14:paraId="5B6AF20C" w14:textId="77777777" w:rsidR="00E52E47" w:rsidRPr="00AA0A0D" w:rsidRDefault="00E52E47" w:rsidP="00E52E47">
                                <w:pPr>
                                  <w:pStyle w:val="AralkYok"/>
                                  <w:jc w:val="center"/>
                                  <w:rPr>
                                    <w:rFonts w:ascii="Palatino Linotype" w:hAnsi="Palatino Linotype"/>
                                    <w:b/>
                                    <w:bCs/>
                                    <w:sz w:val="28"/>
                                    <w:szCs w:val="28"/>
                                  </w:rPr>
                                </w:pPr>
                                <w:r w:rsidRPr="00AA0A0D">
                                  <w:rPr>
                                    <w:rFonts w:ascii="Palatino Linotype" w:hAnsi="Palatino Linotype"/>
                                    <w:b/>
                                    <w:bCs/>
                                    <w:sz w:val="28"/>
                                    <w:szCs w:val="28"/>
                                  </w:rPr>
                                  <w:t>Dr. Gökhan GÜNEŞ</w:t>
                                </w:r>
                              </w:p>
                              <w:p w14:paraId="64D58EF3" w14:textId="77777777" w:rsidR="00C05A4F" w:rsidRPr="00F21B20" w:rsidRDefault="00C05A4F" w:rsidP="00C05A4F">
                                <w:pPr>
                                  <w:pStyle w:val="AralkYok"/>
                                  <w:jc w:val="center"/>
                                  <w:rPr>
                                    <w:b/>
                                    <w:bCs/>
                                    <w:sz w:val="72"/>
                                    <w:szCs w:val="72"/>
                                  </w:rPr>
                                </w:pPr>
                              </w:p>
                              <w:p w14:paraId="6FD9F191" w14:textId="77777777" w:rsidR="00C05A4F" w:rsidRDefault="00C05A4F" w:rsidP="00C05A4F">
                                <w:pPr>
                                  <w:pStyle w:val="AralkYok"/>
                                </w:pPr>
                              </w:p>
                              <w:p w14:paraId="17153A18" w14:textId="77777777" w:rsidR="00C05A4F" w:rsidRDefault="00C05A4F" w:rsidP="00C05A4F">
                                <w:pPr>
                                  <w:pStyle w:val="AralkYok"/>
                                </w:pPr>
                              </w:p>
                              <w:p w14:paraId="24626C48" w14:textId="77777777" w:rsidR="00C05A4F" w:rsidRDefault="00C05A4F" w:rsidP="00C05A4F">
                                <w:pPr>
                                  <w:pStyle w:val="AralkYok"/>
                                </w:pPr>
                              </w:p>
                              <w:p w14:paraId="6EE0DD85" w14:textId="77777777" w:rsidR="00C05A4F" w:rsidRDefault="00C05A4F" w:rsidP="00C05A4F">
                                <w:pPr>
                                  <w:pStyle w:val="AralkYok"/>
                                </w:pPr>
                              </w:p>
                              <w:p w14:paraId="439F2F94" w14:textId="77777777" w:rsidR="00C05A4F" w:rsidRDefault="00C05A4F" w:rsidP="00C05A4F">
                                <w:pPr>
                                  <w:pStyle w:val="AralkYok"/>
                                </w:pPr>
                              </w:p>
                              <w:p w14:paraId="4CF108C5" w14:textId="77777777" w:rsidR="00C05A4F" w:rsidRDefault="00C05A4F" w:rsidP="00C05A4F">
                                <w:pPr>
                                  <w:pStyle w:val="AralkYok"/>
                                </w:pPr>
                              </w:p>
                              <w:p w14:paraId="55EA5CC2" w14:textId="77777777" w:rsidR="00C05A4F" w:rsidRPr="002023F8" w:rsidRDefault="00C05A4F" w:rsidP="00C05A4F">
                                <w:pPr>
                                  <w:pStyle w:val="AralkYok"/>
                                </w:pPr>
                              </w:p>
                              <w:bookmarkEnd w:id="2"/>
                              <w:bookmarkEnd w:id="3"/>
                              <w:p w14:paraId="1AF56D99" w14:textId="77777777" w:rsidR="00C05A4F" w:rsidRPr="002023F8" w:rsidRDefault="00C05A4F" w:rsidP="00C05A4F">
                                <w:pPr>
                                  <w:pStyle w:val="AralkYok"/>
                                </w:pPr>
                              </w:p>
                              <w:p w14:paraId="547A485E" w14:textId="77777777" w:rsidR="00C05A4F" w:rsidRPr="002023F8" w:rsidRDefault="00C05A4F" w:rsidP="00C05A4F"/>
                            </w:txbxContent>
                          </v:textbox>
                        </v:shape>
                        <w10:wrap anchorx="page" anchory="page"/>
                      </v:group>
                    </w:pict>
                  </mc:Fallback>
                </mc:AlternateContent>
              </w:r>
              <w:r w:rsidR="00E52E47" w:rsidRPr="006B4754">
                <w:rPr>
                  <w:noProof/>
                </w:rPr>
                <w:drawing>
                  <wp:inline distT="0" distB="0" distL="0" distR="0" wp14:anchorId="1EC16D33" wp14:editId="73C595DA">
                    <wp:extent cx="5208270" cy="2967184"/>
                    <wp:effectExtent l="0" t="0" r="0" b="5080"/>
                    <wp:docPr id="210711813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0962" cy="2991506"/>
                            </a:xfrm>
                            <a:prstGeom prst="rect">
                              <a:avLst/>
                            </a:prstGeom>
                            <a:noFill/>
                            <a:ln>
                              <a:noFill/>
                            </a:ln>
                          </pic:spPr>
                        </pic:pic>
                      </a:graphicData>
                    </a:graphic>
                  </wp:inline>
                </w:drawing>
              </w:r>
            </w:p>
            <w:p w14:paraId="2F69D38B" w14:textId="17F2AB4B" w:rsidR="00C05A4F" w:rsidRPr="006B4754" w:rsidRDefault="00653A26" w:rsidP="00BA162B">
              <w:pPr>
                <w:spacing w:after="120" w:line="271" w:lineRule="auto"/>
              </w:pPr>
              <w:r w:rsidRPr="006B4754">
                <w:rPr>
                  <w:noProof/>
                </w:rPr>
                <mc:AlternateContent>
                  <mc:Choice Requires="wps">
                    <w:drawing>
                      <wp:anchor distT="0" distB="0" distL="114300" distR="114300" simplePos="0" relativeHeight="251668480" behindDoc="1" locked="0" layoutInCell="1" allowOverlap="1" wp14:anchorId="3160E403" wp14:editId="59366CA4">
                        <wp:simplePos x="0" y="0"/>
                        <wp:positionH relativeFrom="page">
                          <wp:posOffset>212090</wp:posOffset>
                        </wp:positionH>
                        <wp:positionV relativeFrom="page">
                          <wp:posOffset>231775</wp:posOffset>
                        </wp:positionV>
                        <wp:extent cx="7112000" cy="10193020"/>
                        <wp:effectExtent l="0" t="0" r="0" b="0"/>
                        <wp:wrapNone/>
                        <wp:docPr id="956718602"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0" cy="1019302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76B1F38E" id="Dikdörtgen 6" o:spid="_x0000_s1026" style="position:absolute;margin-left:16.7pt;margin-top:18.25pt;width:560pt;height:802.6pt;z-index:-251648000;visibility:visible;mso-wrap-style:square;mso-width-percent:941;mso-height-percent:954;mso-wrap-distance-left:9pt;mso-wrap-distance-top:0;mso-wrap-distance-right:9pt;mso-wrap-distance-bottom:0;mso-position-horizontal:absolute;mso-position-horizontal-relative:page;mso-position-vertical:absolute;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JK/AEAAOkDAAAOAAAAZHJzL2Uyb0RvYy54bWysU8GO0zAQvSPxD5bvNEkpLBs1XaGuFiGV&#10;XaQu4jx1nCbC8Zix27R8PWOnLdVyQ1ysjGfmed6bl/ndoTdir8l3aCtZTHIptFVYd3ZbyW/PD28+&#10;SOED2BoMWl3Jo/bybvH61XxwpZ5ii6bWJBjE+nJwlWxDcGWWedXqHvwEnbacbJB6CBzSNqsJBkbv&#10;TTbN8/fZgFQ7QqW959v7MSkXCb9ptApPTeN1EKaSPFtIJ6VzE89sMYdyS+DaTp3GgH+YoofO8qMX&#10;qHsIIHbU/QXVd4rQYxMmCvsMm6ZTOnFgNkX+gs26BacTFxbHu4tM/v/Bqsf92n2lOLp3K1Q/vLC4&#10;bMFu9UciHFoNNT9XRKGywfny0hADz61iM3zBmlcLu4BJg0NDfQRkduKQpD5epNaHIBRf3hQFr483&#10;ojhX5MXt23yatpFBee535MMnjb2IH5UkXmbCh/3KhzgPlOeSND+arn7ojElBNJBeGhJ74NVvttPE&#10;gFleVxkbay3GrhEw3iSekVp0kS83WB+ZJpuch2iRfkkxsGEq6X/ugLQU5rNliW6L2Sw6LAWzdzdM&#10;R9B1ZnOdsbt+iTxYIQVYxaiVDOfPZRgNyg5xEFZ27VQsjKNGvs+H70DuJEpgQR/xbBQoX2gz1p4o&#10;jUROAfspKXjyfjTsdZyq/vyhi98AAAD//wMAUEsDBBQABgAIAAAAIQCzhICv3gAAAAsBAAAPAAAA&#10;ZHJzL2Rvd25yZXYueG1sTI9NTsMwEIX3SNzBGiR21AlNAgpxKorUFVSIwgGm8ZBEjceR7abh9jgr&#10;WM3Pe3rzTbWZzSAmcr63rCBdJSCIG6t7bhV8fe7uHkH4gKxxsEwKfsjDpr6+qrDU9sIfNB1CK2II&#10;+xIVdCGMpZS+6cigX9mROGrf1hkMcXSt1A4vMdwM8j5JCmmw53ihw5FeOmpOh7NRkG31dudHf8rD&#10;/l3O7f71DSen1O3N/PwEItAc/syw4Ed0qCPT0Z5ZezEoWK+z6Iy1yEEsepovm2Psiix9AFlX8v8P&#10;9S8AAAD//wMAUEsBAi0AFAAGAAgAAAAhALaDOJL+AAAA4QEAABMAAAAAAAAAAAAAAAAAAAAAAFtD&#10;b250ZW50X1R5cGVzXS54bWxQSwECLQAUAAYACAAAACEAOP0h/9YAAACUAQAACwAAAAAAAAAAAAAA&#10;AAAvAQAAX3JlbHMvLnJlbHNQSwECLQAUAAYACAAAACEAM9VSSvwBAADpAwAADgAAAAAAAAAAAAAA&#10;AAAuAgAAZHJzL2Uyb0RvYy54bWxQSwECLQAUAAYACAAAACEAs4SAr94AAAALAQAADwAAAAAAAAAA&#10;AAAAAABWBAAAZHJzL2Rvd25yZXYueG1sUEsFBgAAAAAEAAQA8wAAAGEFAAAAAA==&#10;" fillcolor="#e7e6e6 [3214]" stroked="f">
                        <w10:wrap anchorx="page" anchory="page"/>
                      </v:rect>
                    </w:pict>
                  </mc:Fallback>
                </mc:AlternateContent>
              </w:r>
            </w:p>
            <w:p w14:paraId="09E545FA" w14:textId="77777777" w:rsidR="00C05A4F" w:rsidRPr="006B4754" w:rsidRDefault="00C05A4F" w:rsidP="00BA162B">
              <w:pPr>
                <w:spacing w:after="120" w:line="271" w:lineRule="auto"/>
              </w:pPr>
            </w:p>
            <w:p w14:paraId="3BBA506D" w14:textId="77777777" w:rsidR="00C05A4F" w:rsidRPr="006B4754" w:rsidRDefault="00C05A4F" w:rsidP="00BA162B">
              <w:pPr>
                <w:spacing w:after="120" w:line="271" w:lineRule="auto"/>
              </w:pPr>
            </w:p>
            <w:p w14:paraId="75AC3FCF" w14:textId="77777777" w:rsidR="00C05A4F" w:rsidRPr="006B4754" w:rsidRDefault="00C05A4F" w:rsidP="00BA162B">
              <w:pPr>
                <w:spacing w:after="120" w:line="271" w:lineRule="auto"/>
              </w:pPr>
            </w:p>
            <w:p w14:paraId="6C18DCB6" w14:textId="0E24CEB9" w:rsidR="00C05A4F" w:rsidRPr="006B4754" w:rsidRDefault="00C05A4F" w:rsidP="00BA162B">
              <w:pPr>
                <w:spacing w:after="120" w:line="271" w:lineRule="auto"/>
              </w:pPr>
            </w:p>
            <w:p w14:paraId="10D81D58" w14:textId="4FBE95E9" w:rsidR="00C05A4F" w:rsidRPr="006B4754" w:rsidRDefault="00C05A4F" w:rsidP="00BA162B">
              <w:pPr>
                <w:spacing w:after="120" w:line="271" w:lineRule="auto"/>
              </w:pPr>
            </w:p>
            <w:p w14:paraId="4DEA69BF" w14:textId="5D89F3B8" w:rsidR="00C05A4F" w:rsidRPr="006B4754" w:rsidRDefault="001B7148" w:rsidP="00BA162B">
              <w:pPr>
                <w:spacing w:after="120" w:line="271" w:lineRule="auto"/>
              </w:pPr>
              <w:r w:rsidRPr="006B4754">
                <w:rPr>
                  <w:noProof/>
                </w:rPr>
                <mc:AlternateContent>
                  <mc:Choice Requires="wpg">
                    <w:drawing>
                      <wp:anchor distT="0" distB="0" distL="114300" distR="114300" simplePos="0" relativeHeight="251670528" behindDoc="0" locked="0" layoutInCell="1" allowOverlap="1" wp14:anchorId="78301F1B" wp14:editId="15352C98">
                        <wp:simplePos x="0" y="0"/>
                        <wp:positionH relativeFrom="page">
                          <wp:posOffset>2340429</wp:posOffset>
                        </wp:positionH>
                        <wp:positionV relativeFrom="page">
                          <wp:posOffset>5867400</wp:posOffset>
                        </wp:positionV>
                        <wp:extent cx="4572000" cy="4038601"/>
                        <wp:effectExtent l="0" t="0" r="0" b="0"/>
                        <wp:wrapNone/>
                        <wp:docPr id="692832202"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4038601"/>
                                  <a:chOff x="-162544" y="-632674"/>
                                  <a:chExt cx="4573293" cy="3577716"/>
                                </a:xfrm>
                              </wpg:grpSpPr>
                              <wpg:grpSp>
                                <wpg:cNvPr id="48" name="Grup 8" title="Crop mark graphic"/>
                                <wpg:cNvGrpSpPr/>
                                <wpg:grpSpPr>
                                  <a:xfrm>
                                    <a:off x="2038350" y="-632674"/>
                                    <a:ext cx="2372399" cy="3577716"/>
                                    <a:chOff x="0" y="-632246"/>
                                    <a:chExt cx="2368281" cy="3575292"/>
                                  </a:xfrm>
                                </wpg:grpSpPr>
                                <wps:wsp>
                                  <wps:cNvPr id="49" name="Serbest Form 4"/>
                                  <wps:cNvSpPr>
                                    <a:spLocks/>
                                  </wps:cNvSpPr>
                                  <wps:spPr bwMode="auto">
                                    <a:xfrm>
                                      <a:off x="0" y="-142"/>
                                      <a:ext cx="2133600" cy="2943188"/>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54" name="Dikdörtgen 7"/>
                                  <wps:cNvSpPr/>
                                  <wps:spPr>
                                    <a:xfrm>
                                      <a:off x="0" y="-632246"/>
                                      <a:ext cx="2368281"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Metin Kutusu 10" title="Başlık ve alt başlık"/>
                                <wps:cNvSpPr txBox="1"/>
                                <wps:spPr>
                                  <a:xfrm>
                                    <a:off x="-162544" y="573625"/>
                                    <a:ext cx="3904218" cy="1504950"/>
                                  </a:xfrm>
                                  <a:prstGeom prst="rect">
                                    <a:avLst/>
                                  </a:prstGeom>
                                  <a:noFill/>
                                  <a:ln w="6350">
                                    <a:noFill/>
                                  </a:ln>
                                </wps:spPr>
                                <wps:txbx>
                                  <w:txbxContent>
                                    <w:p w14:paraId="2D3B00F4" w14:textId="77777777" w:rsidR="00C05A4F" w:rsidRPr="00D84815" w:rsidRDefault="00000000" w:rsidP="00C05A4F">
                                      <w:pPr>
                                        <w:pStyle w:val="AralkYok"/>
                                        <w:rPr>
                                          <w:sz w:val="96"/>
                                          <w:szCs w:val="96"/>
                                        </w:rPr>
                                      </w:pPr>
                                      <w:sdt>
                                        <w:sdtPr>
                                          <w:alias w:val="Başlık"/>
                                          <w:tag w:val=""/>
                                          <w:id w:val="-1832518544"/>
                                          <w:showingPlcHdr/>
                                          <w:dataBinding w:prefixMappings="xmlns:ns0='http://purl.org/dc/elements/1.1/' xmlns:ns1='http://schemas.openxmlformats.org/package/2006/metadata/core-properties' " w:xpath="/ns1:coreProperties[1]/ns0:title[1]" w:storeItemID="{6C3C8BC8-F283-45AE-878A-BAB7291924A1}"/>
                                          <w15:appearance w15:val="hidden"/>
                                          <w:text/>
                                        </w:sdtPr>
                                        <w:sdtContent>
                                          <w:r w:rsidR="00C05A4F">
                                            <w:t xml:space="preserve">     </w:t>
                                          </w:r>
                                        </w:sdtContent>
                                      </w:sdt>
                                    </w:p>
                                    <w:p w14:paraId="4BA069BB" w14:textId="77777777" w:rsidR="00C05A4F" w:rsidRPr="00E04BA7" w:rsidRDefault="00000000" w:rsidP="00C05A4F">
                                      <w:pPr>
                                        <w:pStyle w:val="AralkYok"/>
                                      </w:pPr>
                                      <w:sdt>
                                        <w:sdtPr>
                                          <w:alias w:val="Şirket"/>
                                          <w:tag w:val=""/>
                                          <w:id w:val="-776716983"/>
                                          <w:showingPlcHdr/>
                                          <w:dataBinding w:prefixMappings="xmlns:ns0='http://schemas.openxmlformats.org/officeDocument/2006/extended-properties' " w:xpath="/ns0:Properties[1]/ns0:Company[1]" w:storeItemID="{6668398D-A668-4E3E-A5EB-62B293D839F1}"/>
                                          <w15:appearance w15:val="hidden"/>
                                          <w:text/>
                                        </w:sdtPr>
                                        <w:sdtContent>
                                          <w:r w:rsidR="00C05A4F">
                                            <w:t xml:space="preserve">     </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301F1B" id="Grup 5" o:spid="_x0000_s1031" style="position:absolute;left:0;text-align:left;margin-left:184.3pt;margin-top:462pt;width:5in;height:318pt;z-index:251670528;mso-position-horizontal-relative:page;mso-position-vertical-relative:page;mso-width-relative:margin;mso-height-relative:margin" coordorigin="-1625,-6326" coordsize="45732,35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gkmrQUAABYSAAAOAAAAZHJzL2Uyb0RvYy54bWzMWN1u2zYUvh+wdyB0OSC19eNfNCnSdAmG&#13;&#10;pm2wZOg1LVO2EEnUSDp29jJ7ht3sBba9175DirLixJnXtcVuJFL8eHj+z6FevtqUBbsTSueyOg7C&#13;&#10;F/2AiSqV87xaHAc/3ZwfjQOmDa/mvJCVOA7uhQ5enXz7zct1PRWRXMpiLhQDkUpP1/VxsDSmnvZ6&#13;&#10;Ol2KkusXshYVFjOpSm4wVYveXPE1qJdFL+r3h721VPNayVRoja9v3GJwYulnmUjNhyzTwrDiOABv&#13;&#10;xj6Vfc7o2Tt5yacLxetlnjZs8E/gouR5hUNbUm+44Wyl8kekyjxVUsvMvEhl2ZNZlqfCygBpwv6O&#13;&#10;NBdKrmory2K6XtStmqDaHT19Mtn0/d2Fqq/rK+W4x/BSprcaeumt68W0u07zxRa8yVRJmyAE21iN&#13;&#10;3rcaFRvDUnxMBiNYCYpPsZb04/GwHzqdp0sYhvYdhcNokCQBA+JoGEfDUeIR32+pxNEkdlTiwWg0&#13;&#10;CoeE6fGpY8Ky2rLW8kleYEW4UiyfgwE4Y8VLuOGFWtUMM5ObAtMzJWtWcnXLGlcg6g/Fbz60h/ij&#13;&#10;W/kjSBcPIOquHF4XUTyK4snkkRR82upiuztKrIS05rUQxcNxNA7b/YNoEj2rBUSU3jqN/m9Oc73k&#13;&#10;tbC+qMkpvEYhjtPotVAzoQ07R6gya8F1bZHet3TXsTorBNPwPzZbv5NzGIOvjLSx9KSDHYWJlZpP&#13;&#10;W72GcTz0PhZNkjgcjx/oBUpcaXMhpHVXfnepDayJWJ1j5AaNEDcwQFYWyADf9VgYJwlb2xeRI7yH&#13;&#10;wQhb2Lg/ZEsW4rULizqw/h5S8OpDSCE+Wtg+UoMOJhwm4R6uhl1YOBruYWzUhe2nhiBqGQv3U4Of&#13;&#10;tLD+HsbCQ7XfVf9eYl3lP2fKZwyA/NL6CF96t0k3VeM3GDFOha5v/bWWmhIaORFywI1NdCABFHnP&#13;&#10;HjDYJHDceOzzYJclbwYHgWFnojw6CAwzEnhyEJgMZSU8TMSwkTF8IKTTTKNJhUK9W6JVwFCiZ8QR&#13;&#10;n9bckAH8kK3RbCA+A7bEgEKPVkp5J26kxRiyhEOAUx+cOHOLKaou1onUAfpl/64tyQaGeGg05Zf9&#13;&#10;28EoEqyOKA4PQ9peBAx6Qv7dELTCQpQDYU8IkhZSCygTZ5A224FVK1mjkyS1LPL5eV4UpEzbjImz&#13;&#10;QrE7jjbKbHzZeYAqrJdXkna5U+gLKrNL71RP9XQm5/dI9WgY0YktpfolYGs0X8eB/nnFlQhY8UOF&#13;&#10;QjUJkwSaNnZie4iAqe7KrLtSrcozCcaQFniVgip49MMz45o9dFsQ+rK6rlMCWh9R2txsPnJVsxpD&#13;&#10;bEJFeS99oeNTXylIYS22EckJ0kxQZp14X7zeDuDxrt6+yW/nf/yuzEJUzIZ4p9xC/Vu1P2pUnAtT&#13;&#10;q9U2GW0pfdBixKNwjIbGGdMXY9IEldJGZxS4Vps7yvLVtvUHcmzSevvBuvojB9HmvhCEK6ofRYau&#13;&#10;DWEc2QN2vJCnqaiMs6Re8rlwzjlAt+lZbnfglIYgUc7goC3thgBdN7Ye7mk7yRs8bRX2RtFudmm/&#13;&#10;PcZx8HBzu8OeLCvTbi7zSqqnJCsgVXOyw3slOdV0wkhJd5/RdXqewy6XXJsrrtC+wMYUYx/wyAqJ&#13;&#10;ZInMaEdImIi6p75/sZgEdzY8wZMyhR9mSpYfcXc7pUyAJR+5qUHedxMfu7j9peL01MI+YxyTL56i&#13;&#10;18xyagdtonoc1dubxdeKcHRxLsLfCZNX7O3KrPSKUcltLiuv+V+/Fn/+dgsLM14YNmvm5DSdJMDM&#13;&#10;5rWkIui/U5NNXugjubm3de9fg1GMyxht2LbX8aSfRCH6A7rChYN+MvmsOYEq+ZDuTXTmPyQHs5lt&#13;&#10;7EWulampJ181EMgStvyQQ2/rEGadqoRZpyz9uxCY/e8CAD8fbA5tbsf0d6M7t9Gz/Z1z8jcAAAD/&#13;&#10;/wMAUEsDBBQABgAIAAAAIQBFR/Cy5QAAABIBAAAPAAAAZHJzL2Rvd25yZXYueG1sTE/JboMwEL1X&#13;&#10;6j9YU6m3xiZpECWYKEqXUxSpSaWqNwdPAAXbCDtA/r7Dqb2MZnnzlmw9mob12PnaWQnRTABDWzhd&#13;&#10;21LC1/H9KQHmg7JaNc6ihBt6WOf3d5lKtRvsJ/aHUDIisT5VEqoQ2pRzX1RolJ+5Fi3dzq4zKtDY&#13;&#10;lVx3aiBy0/C5EDE3qrakUKkWtxUWl8PVSPgY1LBZRG/97nLe3n6Oy/33LkIpHx/G1xWVzQpYwDH8&#13;&#10;fcCUgfxDTsZO7mq1Z42ERZzEBJXwMn+mZBNCJNPqRN0yFgJ4nvH/UfJfAAAA//8DAFBLAQItABQA&#13;&#10;BgAIAAAAIQC2gziS/gAAAOEBAAATAAAAAAAAAAAAAAAAAAAAAABbQ29udGVudF9UeXBlc10ueG1s&#13;&#10;UEsBAi0AFAAGAAgAAAAhADj9If/WAAAAlAEAAAsAAAAAAAAAAAAAAAAALwEAAF9yZWxzLy5yZWxz&#13;&#10;UEsBAi0AFAAGAAgAAAAhAJk+CSatBQAAFhIAAA4AAAAAAAAAAAAAAAAALgIAAGRycy9lMm9Eb2Mu&#13;&#10;eG1sUEsBAi0AFAAGAAgAAAAhAEVH8LLlAAAAEgEAAA8AAAAAAAAAAAAAAAAABwgAAGRycy9kb3du&#13;&#10;cmV2LnhtbFBLBQYAAAAABAAEAPMAAAAZCQAAAAA=&#13;&#10;">
                        <v:group id="Grup 8" o:spid="_x0000_s1032" style="position:absolute;left:20383;top:-6326;width:23724;height:35776" coordorigin=",-6322" coordsize="23682,35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shape id="Serbest Form 4" o:spid="_x0000_s1033" style="position:absolute;top:-1;width:21336;height:29431;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ioYxwAAAOAAAAAPAAAAZHJzL2Rvd25yZXYueG1sRI9Ba8JA&#13;&#10;FITvBf/D8oTe6sZSi8ZsRJRS8ZZUweMj+0yC2bdhd9W0v74rFHoZGIb5hslWg+nEjZxvLSuYThIQ&#13;&#10;xJXVLdcKDl8fL3MQPiBr7CyTgm/ysMpHTxmm2t65oFsZahEh7FNU0ITQp1L6qiGDfmJ74pidrTMY&#13;&#10;onW11A7vEW46+Zok79Jgy3GhwZ42DVWX8moUuOK4L9YlHj6vbOhUzrZytvtR6nk8bJdR1ksQgYbw&#13;&#10;3/hD7LSCtwU8DsUzIPNfAAAA//8DAFBLAQItABQABgAIAAAAIQDb4fbL7gAAAIUBAAATAAAAAAAA&#13;&#10;AAAAAAAAAAAAAABbQ29udGVudF9UeXBlc10ueG1sUEsBAi0AFAAGAAgAAAAhAFr0LFu/AAAAFQEA&#13;&#10;AAsAAAAAAAAAAAAAAAAAHwEAAF9yZWxzLy5yZWxzUEsBAi0AFAAGAAgAAAAhAL1GKhjHAAAA4AAA&#13;&#10;AA8AAAAAAAAAAAAAAAAABwIAAGRycy9kb3ducmV2LnhtbFBLBQYAAAAAAwADALcAAAD7AgAAAAA=&#13;&#10;" path="m1344,1806l,1806,,1641r1176,l1176,r168,l1344,1806xe" fillcolor="#44546a [3215]" stroked="f">
                            <v:path arrowok="t" o:connecttype="custom" o:connectlocs="2133600,2943188;0,2943188;0,2674292;1866900,2674292;1866900,0;2133600,0;2133600,2943188" o:connectangles="0,0,0,0,0,0,0"/>
                          </v:shape>
                          <v:rect id="Dikdörtgen 7" o:spid="_x0000_s1034" style="position:absolute;top:-6322;width:23682;height:3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ngcxwAAAOAAAAAPAAAAZHJzL2Rvd25yZXYueG1sRI9BawIx&#13;&#10;FITvBf9DeEJvmrXYIqtR1CJt8SBqe39NnrtLNy9LEnfXf98UhF4GhmG+YRar3taiJR8qxwom4wwE&#13;&#10;sXam4kLB53k3moEIEdlg7ZgU3CjAajl4WGBuXMdHak+xEAnCIUcFZYxNLmXQJVkMY9cQp+zivMWY&#13;&#10;rC+k8dgluK3lU5a9SIsVp4USG9qWpH9OV6vgy102ndXf/NHeDtX1be+1nu2Vehz2r/Mk6zmISH38&#13;&#10;b9wR70bB8xT+DqUzIJe/AAAA//8DAFBLAQItABQABgAIAAAAIQDb4fbL7gAAAIUBAAATAAAAAAAA&#13;&#10;AAAAAAAAAAAAAABbQ29udGVudF9UeXBlc10ueG1sUEsBAi0AFAAGAAgAAAAhAFr0LFu/AAAAFQEA&#13;&#10;AAsAAAAAAAAAAAAAAAAAHwEAAF9yZWxzLy5yZWxzUEsBAi0AFAAGAAgAAAAhACiqeBzHAAAA4AAA&#13;&#10;AA8AAAAAAAAAAAAAAAAABwIAAGRycy9kb3ducmV2LnhtbFBLBQYAAAAAAwADALcAAAD7AgAAAAA=&#13;&#10;" filled="f" stroked="f" strokeweight="1pt"/>
                        </v:group>
                        <v:shape id="Metin Kutusu 10" o:spid="_x0000_s1035" type="#_x0000_t202" style="position:absolute;left:-1625;top:5736;width:39041;height:1504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KnpxQAAAOAAAAAPAAAAZHJzL2Rvd25yZXYueG1sRI9Pi8Iw&#13;&#10;FMTvgt8hPGFvmiooUk3LoojCnvxz8Phs3rbdbV5KEmv99kZY2MvAMMxvmHXem0Z05HxtWcF0koAg&#13;&#10;LqyuuVRwOe/GSxA+IGtsLJOCJ3nIs+Fgjam2Dz5SdwqliBD2KSqoQmhTKX1RkUE/sS1xzL6tMxii&#13;&#10;daXUDh8Rbho5S5KFNFhzXKiwpU1Fxe/pbhTM9me7/Oq72/VW+h92JMPm2Sn1Meq3qyifKxCB+vDf&#13;&#10;+EMctIL5HN6H4hmQ2QsAAP//AwBQSwECLQAUAAYACAAAACEA2+H2y+4AAACFAQAAEwAAAAAAAAAA&#13;&#10;AAAAAAAAAAAAW0NvbnRlbnRfVHlwZXNdLnhtbFBLAQItABQABgAIAAAAIQBa9CxbvwAAABUBAAAL&#13;&#10;AAAAAAAAAAAAAAAAAB8BAABfcmVscy8ucmVsc1BLAQItABQABgAIAAAAIQAvpKnpxQAAAOAAAAAP&#13;&#10;AAAAAAAAAAAAAAAAAAcCAABkcnMvZG93bnJldi54bWxQSwUGAAAAAAMAAwC3AAAA+QIAAAAA&#13;&#10;" filled="f" stroked="f" strokeweight=".5pt">
                          <v:textbox inset="0,0,36pt,36pt">
                            <w:txbxContent>
                              <w:p w14:paraId="2D3B00F4" w14:textId="77777777" w:rsidR="00C05A4F" w:rsidRPr="00D84815" w:rsidRDefault="00000000" w:rsidP="00C05A4F">
                                <w:pPr>
                                  <w:pStyle w:val="AralkYok"/>
                                  <w:rPr>
                                    <w:sz w:val="96"/>
                                    <w:szCs w:val="96"/>
                                  </w:rPr>
                                </w:pPr>
                                <w:sdt>
                                  <w:sdtPr>
                                    <w:alias w:val="Başlık"/>
                                    <w:tag w:val=""/>
                                    <w:id w:val="-1832518544"/>
                                    <w:showingPlcHdr/>
                                    <w:dataBinding w:prefixMappings="xmlns:ns0='http://purl.org/dc/elements/1.1/' xmlns:ns1='http://schemas.openxmlformats.org/package/2006/metadata/core-properties' " w:xpath="/ns1:coreProperties[1]/ns0:title[1]" w:storeItemID="{6C3C8BC8-F283-45AE-878A-BAB7291924A1}"/>
                                    <w15:appearance w15:val="hidden"/>
                                    <w:text/>
                                  </w:sdtPr>
                                  <w:sdtContent>
                                    <w:r w:rsidR="00C05A4F">
                                      <w:t xml:space="preserve">     </w:t>
                                    </w:r>
                                  </w:sdtContent>
                                </w:sdt>
                              </w:p>
                              <w:p w14:paraId="4BA069BB" w14:textId="77777777" w:rsidR="00C05A4F" w:rsidRPr="00E04BA7" w:rsidRDefault="00000000" w:rsidP="00C05A4F">
                                <w:pPr>
                                  <w:pStyle w:val="AralkYok"/>
                                </w:pPr>
                                <w:sdt>
                                  <w:sdtPr>
                                    <w:alias w:val="Şirket"/>
                                    <w:tag w:val=""/>
                                    <w:id w:val="-776716983"/>
                                    <w:showingPlcHdr/>
                                    <w:dataBinding w:prefixMappings="xmlns:ns0='http://schemas.openxmlformats.org/officeDocument/2006/extended-properties' " w:xpath="/ns0:Properties[1]/ns0:Company[1]" w:storeItemID="{6668398D-A668-4E3E-A5EB-62B293D839F1}"/>
                                    <w15:appearance w15:val="hidden"/>
                                    <w:text/>
                                  </w:sdtPr>
                                  <w:sdtContent>
                                    <w:r w:rsidR="00C05A4F">
                                      <w:t xml:space="preserve">     </w:t>
                                    </w:r>
                                  </w:sdtContent>
                                </w:sdt>
                              </w:p>
                            </w:txbxContent>
                          </v:textbox>
                        </v:shape>
                        <w10:wrap anchorx="page" anchory="page"/>
                      </v:group>
                    </w:pict>
                  </mc:Fallback>
                </mc:AlternateContent>
              </w:r>
            </w:p>
            <w:p w14:paraId="34E7A7BE" w14:textId="12337F1C" w:rsidR="00C05A4F" w:rsidRPr="006B4754" w:rsidRDefault="00C05A4F" w:rsidP="00BA162B">
              <w:pPr>
                <w:spacing w:after="120" w:line="271" w:lineRule="auto"/>
              </w:pPr>
            </w:p>
            <w:p w14:paraId="361AF852" w14:textId="48B3701C" w:rsidR="00C05A4F" w:rsidRPr="006B4754" w:rsidRDefault="00000000" w:rsidP="00BA162B">
              <w:pPr>
                <w:spacing w:after="120" w:line="271" w:lineRule="auto"/>
              </w:pPr>
            </w:p>
          </w:sdtContent>
        </w:sdt>
        <w:p w14:paraId="43B52287" w14:textId="77777777" w:rsidR="00C05A4F" w:rsidRPr="006B4754" w:rsidRDefault="00C05A4F" w:rsidP="00BA162B">
          <w:pPr>
            <w:spacing w:after="120" w:line="271" w:lineRule="auto"/>
          </w:pPr>
        </w:p>
        <w:p w14:paraId="16FA6C7D" w14:textId="77777777" w:rsidR="00C05A4F" w:rsidRPr="006B4754" w:rsidRDefault="00C05A4F" w:rsidP="00BA162B">
          <w:pPr>
            <w:spacing w:after="120" w:line="271" w:lineRule="auto"/>
          </w:pPr>
        </w:p>
        <w:p w14:paraId="2020A9EA" w14:textId="77777777" w:rsidR="00C05A4F" w:rsidRPr="006B4754" w:rsidRDefault="00C05A4F" w:rsidP="00BA162B">
          <w:pPr>
            <w:spacing w:after="120" w:line="271" w:lineRule="auto"/>
          </w:pPr>
        </w:p>
        <w:p w14:paraId="202339D2" w14:textId="76D18E15" w:rsidR="00C05A4F" w:rsidRPr="006B4754" w:rsidRDefault="00B76F02" w:rsidP="00BA162B">
          <w:pPr>
            <w:spacing w:after="120" w:line="271" w:lineRule="auto"/>
          </w:pPr>
          <w:r w:rsidRPr="006B4754">
            <w:rPr>
              <w:noProof/>
            </w:rPr>
            <w:drawing>
              <wp:inline distT="0" distB="0" distL="0" distR="0" wp14:anchorId="6044AF3E" wp14:editId="4B8039D0">
                <wp:extent cx="2156460" cy="1482725"/>
                <wp:effectExtent l="0" t="0" r="0" b="317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9922" cy="1567614"/>
                        </a:xfrm>
                        <a:prstGeom prst="rect">
                          <a:avLst/>
                        </a:prstGeom>
                      </pic:spPr>
                    </pic:pic>
                  </a:graphicData>
                </a:graphic>
              </wp:inline>
            </w:drawing>
          </w:r>
        </w:p>
        <w:p w14:paraId="078EBA50" w14:textId="77777777" w:rsidR="00C05A4F" w:rsidRPr="006B4754" w:rsidRDefault="00C05A4F" w:rsidP="00FD40D2">
          <w:pPr>
            <w:spacing w:after="120" w:line="271" w:lineRule="auto"/>
            <w:ind w:firstLine="0"/>
          </w:pPr>
        </w:p>
        <w:p w14:paraId="6C9C951A" w14:textId="77777777" w:rsidR="00E52E47" w:rsidRPr="006B4754" w:rsidRDefault="00E52E47" w:rsidP="00F20C07">
          <w:pPr>
            <w:spacing w:after="120" w:line="271" w:lineRule="auto"/>
            <w:jc w:val="center"/>
            <w:rPr>
              <w:b/>
              <w:bCs/>
            </w:rPr>
          </w:pPr>
        </w:p>
        <w:p w14:paraId="7D670990" w14:textId="77777777" w:rsidR="00E52E47" w:rsidRPr="006B4754" w:rsidRDefault="00E52E47" w:rsidP="00F20C07">
          <w:pPr>
            <w:spacing w:after="120" w:line="271" w:lineRule="auto"/>
            <w:jc w:val="center"/>
            <w:rPr>
              <w:b/>
              <w:bCs/>
            </w:rPr>
          </w:pPr>
        </w:p>
        <w:p w14:paraId="42734D46" w14:textId="77777777" w:rsidR="00ED70B3" w:rsidRPr="006B4754" w:rsidRDefault="00ED70B3" w:rsidP="00F20C07">
          <w:pPr>
            <w:spacing w:after="120" w:line="271" w:lineRule="auto"/>
            <w:jc w:val="center"/>
            <w:rPr>
              <w:b/>
              <w:bCs/>
            </w:rPr>
          </w:pPr>
        </w:p>
        <w:p w14:paraId="2B407D32" w14:textId="77777777" w:rsidR="00ED70B3" w:rsidRPr="006B4754" w:rsidRDefault="00ED70B3" w:rsidP="00F20C07">
          <w:pPr>
            <w:spacing w:after="120" w:line="271" w:lineRule="auto"/>
            <w:jc w:val="center"/>
            <w:rPr>
              <w:b/>
              <w:bCs/>
            </w:rPr>
          </w:pPr>
        </w:p>
        <w:p w14:paraId="7C532276" w14:textId="1C5E0D45" w:rsidR="001B7148" w:rsidRPr="006B4754" w:rsidRDefault="001B7148" w:rsidP="00136478">
          <w:pPr>
            <w:spacing w:after="120" w:line="271" w:lineRule="auto"/>
            <w:ind w:firstLine="0"/>
            <w:rPr>
              <w:b/>
              <w:bCs/>
            </w:rPr>
          </w:pPr>
        </w:p>
        <w:p w14:paraId="5F2FC20B" w14:textId="4633FFC1" w:rsidR="001B7148" w:rsidRPr="006B4754" w:rsidRDefault="001B7148" w:rsidP="00F20C07">
          <w:pPr>
            <w:spacing w:after="120" w:line="271" w:lineRule="auto"/>
            <w:jc w:val="center"/>
            <w:rPr>
              <w:b/>
              <w:bCs/>
            </w:rPr>
          </w:pPr>
        </w:p>
        <w:p w14:paraId="53E76E32" w14:textId="77777777" w:rsidR="001B7148" w:rsidRPr="006B4754" w:rsidRDefault="001B7148" w:rsidP="00F20C07">
          <w:pPr>
            <w:spacing w:after="120" w:line="271" w:lineRule="auto"/>
            <w:jc w:val="center"/>
            <w:rPr>
              <w:b/>
              <w:bCs/>
            </w:rPr>
          </w:pPr>
        </w:p>
        <w:p w14:paraId="098E4E9B" w14:textId="640F9EC2" w:rsidR="00C05A4F" w:rsidRPr="006B4754" w:rsidRDefault="00C05A4F" w:rsidP="00F20C07">
          <w:pPr>
            <w:spacing w:after="120" w:line="271" w:lineRule="auto"/>
            <w:jc w:val="center"/>
            <w:rPr>
              <w:b/>
              <w:bCs/>
            </w:rPr>
          </w:pPr>
          <w:r w:rsidRPr="006B4754">
            <w:rPr>
              <w:b/>
              <w:bCs/>
            </w:rPr>
            <w:t>HAKKIMIZDA</w:t>
          </w:r>
        </w:p>
        <w:p w14:paraId="6949228A" w14:textId="77777777" w:rsidR="00FD40D2" w:rsidRPr="006B4754" w:rsidRDefault="00FD40D2" w:rsidP="00F20C07">
          <w:pPr>
            <w:spacing w:after="120" w:line="271" w:lineRule="auto"/>
            <w:jc w:val="center"/>
            <w:rPr>
              <w:b/>
              <w:bCs/>
            </w:rPr>
          </w:pPr>
        </w:p>
        <w:p w14:paraId="336A44FC" w14:textId="54551123" w:rsidR="00C05A4F" w:rsidRPr="006B4754" w:rsidRDefault="00C05A4F" w:rsidP="00BA162B">
          <w:pPr>
            <w:pStyle w:val="NormalWeb"/>
            <w:spacing w:before="0" w:beforeAutospacing="0" w:after="120" w:afterAutospacing="0" w:line="271" w:lineRule="auto"/>
            <w:rPr>
              <w:rFonts w:ascii="Palatino Linotype" w:hAnsi="Palatino Linotype"/>
              <w:sz w:val="22"/>
              <w:szCs w:val="22"/>
            </w:rPr>
          </w:pPr>
          <w:r w:rsidRPr="006B4754">
            <w:rPr>
              <w:rFonts w:ascii="Palatino Linotype" w:hAnsi="Palatino Linotype"/>
              <w:sz w:val="22"/>
              <w:szCs w:val="22"/>
            </w:rPr>
            <w:t xml:space="preserve">Türk hukukçular tarafından Hollanda merkezli kurulan </w:t>
          </w:r>
          <w:proofErr w:type="spellStart"/>
          <w:r w:rsidR="001E585B" w:rsidRPr="006B4754">
            <w:rPr>
              <w:rFonts w:ascii="Palatino Linotype" w:hAnsi="Palatino Linotype"/>
              <w:sz w:val="22"/>
              <w:szCs w:val="22"/>
            </w:rPr>
            <w:t>Stichting</w:t>
          </w:r>
          <w:proofErr w:type="spellEnd"/>
          <w:r w:rsidR="001E585B" w:rsidRPr="006B4754">
            <w:rPr>
              <w:rFonts w:ascii="Palatino Linotype" w:hAnsi="Palatino Linotype"/>
              <w:sz w:val="22"/>
              <w:szCs w:val="22"/>
            </w:rPr>
            <w:t xml:space="preserve"> </w:t>
          </w:r>
          <w:proofErr w:type="spellStart"/>
          <w:r w:rsidRPr="006B4754">
            <w:rPr>
              <w:rFonts w:ascii="Palatino Linotype" w:hAnsi="Palatino Linotype"/>
              <w:sz w:val="22"/>
              <w:szCs w:val="22"/>
            </w:rPr>
            <w:t>Justice</w:t>
          </w:r>
          <w:proofErr w:type="spellEnd"/>
          <w:r w:rsidRPr="006B4754">
            <w:rPr>
              <w:rFonts w:ascii="Palatino Linotype" w:hAnsi="Palatino Linotype"/>
              <w:sz w:val="22"/>
              <w:szCs w:val="22"/>
            </w:rPr>
            <w:t xml:space="preserve"> </w:t>
          </w:r>
          <w:proofErr w:type="spellStart"/>
          <w:r w:rsidRPr="006B4754">
            <w:rPr>
              <w:rFonts w:ascii="Palatino Linotype" w:hAnsi="Palatino Linotype"/>
              <w:sz w:val="22"/>
              <w:szCs w:val="22"/>
            </w:rPr>
            <w:t>Square</w:t>
          </w:r>
          <w:proofErr w:type="spellEnd"/>
          <w:r w:rsidRPr="006B4754">
            <w:rPr>
              <w:rFonts w:ascii="Palatino Linotype" w:hAnsi="Palatino Linotype"/>
              <w:sz w:val="22"/>
              <w:szCs w:val="22"/>
            </w:rPr>
            <w:t xml:space="preserve"> temel insan hakları ve yaşanan hak ihlalleri konularında farkındalık oluşturmak ve</w:t>
          </w:r>
          <w:r w:rsidR="00943001" w:rsidRPr="006B4754">
            <w:rPr>
              <w:rFonts w:ascii="Palatino Linotype" w:hAnsi="Palatino Linotype"/>
              <w:sz w:val="22"/>
              <w:szCs w:val="22"/>
            </w:rPr>
            <w:t xml:space="preserve"> bu alanda</w:t>
          </w:r>
          <w:r w:rsidRPr="006B4754">
            <w:rPr>
              <w:rFonts w:ascii="Palatino Linotype" w:hAnsi="Palatino Linotype"/>
              <w:sz w:val="22"/>
              <w:szCs w:val="22"/>
            </w:rPr>
            <w:t xml:space="preserve"> mücadele etmek amaçlı kurulmuş bir sivil toplum kuruluşudur. </w:t>
          </w:r>
        </w:p>
        <w:p w14:paraId="0EE545A0" w14:textId="0ED8F05D" w:rsidR="00C05A4F" w:rsidRPr="006B4754" w:rsidRDefault="00C05A4F" w:rsidP="00BA162B">
          <w:pPr>
            <w:pStyle w:val="NormalWeb"/>
            <w:spacing w:before="0" w:beforeAutospacing="0" w:after="120" w:afterAutospacing="0" w:line="271" w:lineRule="auto"/>
            <w:rPr>
              <w:rFonts w:ascii="Palatino Linotype" w:hAnsi="Palatino Linotype"/>
              <w:sz w:val="22"/>
              <w:szCs w:val="22"/>
            </w:rPr>
          </w:pPr>
          <w:r w:rsidRPr="006B4754">
            <w:rPr>
              <w:rFonts w:ascii="Palatino Linotype" w:hAnsi="Palatino Linotype"/>
              <w:sz w:val="22"/>
              <w:szCs w:val="22"/>
            </w:rPr>
            <w:t>www.justicesquare.org</w:t>
          </w:r>
        </w:p>
        <w:p w14:paraId="0CACC8F2" w14:textId="77777777" w:rsidR="00C05A4F" w:rsidRPr="006B4754" w:rsidRDefault="00C05A4F" w:rsidP="00BA162B">
          <w:pPr>
            <w:spacing w:after="120" w:line="271" w:lineRule="auto"/>
          </w:pPr>
        </w:p>
        <w:p w14:paraId="5BA599C5" w14:textId="77777777" w:rsidR="00C05A4F" w:rsidRPr="006B4754" w:rsidRDefault="00C05A4F" w:rsidP="00BA162B">
          <w:pPr>
            <w:spacing w:after="120" w:line="271" w:lineRule="auto"/>
          </w:pPr>
        </w:p>
        <w:p w14:paraId="7B08FAB2" w14:textId="77777777" w:rsidR="00C05A4F" w:rsidRPr="006B4754" w:rsidRDefault="00C05A4F" w:rsidP="00BA162B">
          <w:pPr>
            <w:spacing w:after="120" w:line="271" w:lineRule="auto"/>
          </w:pPr>
        </w:p>
        <w:p w14:paraId="22868098" w14:textId="77777777" w:rsidR="00C05A4F" w:rsidRPr="006B4754" w:rsidRDefault="00C05A4F" w:rsidP="00BA162B">
          <w:pPr>
            <w:spacing w:after="120" w:line="271" w:lineRule="auto"/>
          </w:pPr>
        </w:p>
        <w:p w14:paraId="1CFFF980" w14:textId="535C35CA" w:rsidR="00C05A4F" w:rsidRPr="006B4754" w:rsidRDefault="00C05A4F" w:rsidP="00BA162B">
          <w:pPr>
            <w:spacing w:after="120" w:line="271" w:lineRule="auto"/>
          </w:pPr>
        </w:p>
        <w:p w14:paraId="13886219" w14:textId="72281925" w:rsidR="00C05A4F" w:rsidRPr="006B4754" w:rsidRDefault="00C05A4F" w:rsidP="00BA162B">
          <w:pPr>
            <w:spacing w:after="120" w:line="271" w:lineRule="auto"/>
          </w:pPr>
        </w:p>
        <w:p w14:paraId="075985E6" w14:textId="107279F0" w:rsidR="00C05A4F" w:rsidRPr="006B4754" w:rsidRDefault="00C05A4F" w:rsidP="00BA162B">
          <w:pPr>
            <w:spacing w:after="120" w:line="271" w:lineRule="auto"/>
          </w:pPr>
        </w:p>
        <w:p w14:paraId="12BC9434" w14:textId="3389C64D" w:rsidR="00C05A4F" w:rsidRPr="006B4754" w:rsidRDefault="00C05A4F" w:rsidP="00BA162B">
          <w:pPr>
            <w:spacing w:after="120" w:line="271" w:lineRule="auto"/>
          </w:pPr>
        </w:p>
        <w:p w14:paraId="1D4B4348" w14:textId="77777777" w:rsidR="0096192A" w:rsidRPr="006B4754" w:rsidRDefault="0096192A" w:rsidP="00BA162B">
          <w:pPr>
            <w:spacing w:after="120" w:line="271" w:lineRule="auto"/>
            <w:ind w:firstLine="0"/>
          </w:pPr>
        </w:p>
        <w:p w14:paraId="64B9CF86" w14:textId="77777777" w:rsidR="00733EA9" w:rsidRPr="006B4754" w:rsidRDefault="00733EA9" w:rsidP="00BA162B">
          <w:pPr>
            <w:spacing w:after="120" w:line="271" w:lineRule="auto"/>
            <w:ind w:firstLine="0"/>
          </w:pPr>
        </w:p>
        <w:p w14:paraId="138B3EA8" w14:textId="77777777" w:rsidR="00733EA9" w:rsidRPr="006B4754" w:rsidRDefault="00733EA9" w:rsidP="00BA162B">
          <w:pPr>
            <w:spacing w:after="120" w:line="271" w:lineRule="auto"/>
            <w:ind w:firstLine="0"/>
          </w:pPr>
        </w:p>
        <w:p w14:paraId="7F72CCED" w14:textId="77777777" w:rsidR="00733EA9" w:rsidRPr="006B4754" w:rsidRDefault="00733EA9" w:rsidP="00BA162B">
          <w:pPr>
            <w:spacing w:after="120" w:line="271" w:lineRule="auto"/>
            <w:ind w:firstLine="0"/>
          </w:pPr>
        </w:p>
        <w:p w14:paraId="3747A21D" w14:textId="77777777" w:rsidR="00733EA9" w:rsidRPr="006B4754" w:rsidRDefault="00733EA9" w:rsidP="00BA162B">
          <w:pPr>
            <w:spacing w:after="120" w:line="271" w:lineRule="auto"/>
            <w:ind w:firstLine="0"/>
          </w:pPr>
        </w:p>
        <w:p w14:paraId="6D329AF2" w14:textId="77777777" w:rsidR="00136478" w:rsidRPr="006B4754" w:rsidRDefault="00136478" w:rsidP="00BA162B">
          <w:pPr>
            <w:spacing w:after="120" w:line="271" w:lineRule="auto"/>
            <w:ind w:firstLine="0"/>
          </w:pPr>
        </w:p>
        <w:p w14:paraId="4A1FF2C9" w14:textId="77777777" w:rsidR="00136478" w:rsidRPr="006B4754" w:rsidRDefault="00136478" w:rsidP="00BA162B">
          <w:pPr>
            <w:spacing w:after="120" w:line="271" w:lineRule="auto"/>
            <w:ind w:firstLine="0"/>
          </w:pPr>
        </w:p>
        <w:p w14:paraId="2F171D97" w14:textId="77777777" w:rsidR="00136478" w:rsidRPr="006B4754" w:rsidRDefault="00136478" w:rsidP="00BA162B">
          <w:pPr>
            <w:spacing w:after="120" w:line="271" w:lineRule="auto"/>
            <w:ind w:firstLine="0"/>
          </w:pPr>
        </w:p>
        <w:p w14:paraId="250ED704" w14:textId="77777777" w:rsidR="00733EA9" w:rsidRPr="006B4754" w:rsidRDefault="00733EA9" w:rsidP="00BA162B">
          <w:pPr>
            <w:spacing w:after="120" w:line="271" w:lineRule="auto"/>
            <w:ind w:firstLine="0"/>
          </w:pPr>
        </w:p>
        <w:p w14:paraId="60BFCF56" w14:textId="77777777" w:rsidR="00733EA9" w:rsidRPr="006B4754" w:rsidRDefault="00733EA9" w:rsidP="00BA162B">
          <w:pPr>
            <w:spacing w:after="120" w:line="271" w:lineRule="auto"/>
            <w:ind w:firstLine="0"/>
          </w:pPr>
        </w:p>
        <w:p w14:paraId="7D4757B9" w14:textId="3D205AE1" w:rsidR="00FC6C75" w:rsidRPr="006B4754" w:rsidRDefault="00000000" w:rsidP="001B7148">
          <w:pPr>
            <w:spacing w:after="120" w:line="271" w:lineRule="auto"/>
            <w:ind w:firstLine="0"/>
          </w:pPr>
        </w:p>
      </w:sdtContent>
    </w:sdt>
    <w:p w14:paraId="754ED9E8" w14:textId="5F8B35C4" w:rsidR="00C05A4F" w:rsidRPr="006B4754" w:rsidRDefault="00C05A4F" w:rsidP="0065557D">
      <w:pPr>
        <w:pStyle w:val="Balk1"/>
        <w:numPr>
          <w:ilvl w:val="0"/>
          <w:numId w:val="0"/>
        </w:numPr>
        <w:ind w:left="1276" w:hanging="1276"/>
        <w:jc w:val="center"/>
        <w:rPr>
          <w:rFonts w:ascii="Palatino Linotype" w:hAnsi="Palatino Linotype"/>
          <w:color w:val="auto"/>
        </w:rPr>
      </w:pPr>
      <w:bookmarkStart w:id="4" w:name="_Toc140620919"/>
      <w:bookmarkStart w:id="5" w:name="_Toc142955964"/>
      <w:bookmarkStart w:id="6" w:name="_Toc145973912"/>
      <w:bookmarkStart w:id="7" w:name="_Toc151927088"/>
      <w:bookmarkStart w:id="8" w:name="_Toc153309433"/>
      <w:r w:rsidRPr="006B4754">
        <w:rPr>
          <w:rFonts w:ascii="Palatino Linotype" w:hAnsi="Palatino Linotype"/>
          <w:color w:val="auto"/>
        </w:rPr>
        <w:lastRenderedPageBreak/>
        <w:t>ÖNSÖZ</w:t>
      </w:r>
      <w:bookmarkEnd w:id="4"/>
      <w:bookmarkEnd w:id="5"/>
      <w:bookmarkEnd w:id="6"/>
      <w:bookmarkEnd w:id="7"/>
      <w:bookmarkEnd w:id="8"/>
    </w:p>
    <w:p w14:paraId="03F7B567" w14:textId="6AAEB9D7" w:rsidR="00EC4D5A" w:rsidRDefault="00EC4D5A" w:rsidP="00094299">
      <w:pPr>
        <w:autoSpaceDE w:val="0"/>
        <w:autoSpaceDN w:val="0"/>
        <w:adjustRightInd w:val="0"/>
        <w:spacing w:after="120" w:line="271" w:lineRule="auto"/>
        <w:textAlignment w:val="center"/>
      </w:pPr>
      <w:r w:rsidRPr="006B4754">
        <w:t xml:space="preserve">15-20 Temmuz sürecinin ardından en çok konuşulan konulardan biri hiç şüphesiz Bylock olmuştur. Bir haberleşme programını bu kadar önemli hale getiren husus, bu programı kullandığı iddia edilen 100 binden fazla kişinin silahlı örgüt üyeliği gibi ağır bir suçtan cezalandırılmasına gerekçe yapılmasıdır. </w:t>
      </w:r>
    </w:p>
    <w:p w14:paraId="235FB480" w14:textId="3F4FA7E6" w:rsidR="004749A9" w:rsidRPr="006B4754" w:rsidRDefault="004A0253" w:rsidP="004A0253">
      <w:pPr>
        <w:autoSpaceDE w:val="0"/>
        <w:autoSpaceDN w:val="0"/>
        <w:adjustRightInd w:val="0"/>
        <w:spacing w:after="120" w:line="271" w:lineRule="auto"/>
        <w:textAlignment w:val="center"/>
      </w:pPr>
      <w:r>
        <w:t xml:space="preserve">Ancak, böylesi önemli kabul edilen bir delille ilgili ileri sürülen hukuka aykırılık iddiaları hiçbir şekilde karşılanmadığı gibi her türlü müdahaleye açık dijital materyale ilişkin veriler adata “kutsal bir metin” gibi savunmadan ve hatta mahkemelerden saklanmıştır. Ancak, </w:t>
      </w:r>
      <w:r w:rsidR="004749A9" w:rsidRPr="006B4754">
        <w:t>Yüksel Yalçınkaya/Türkiye başvurusunda</w:t>
      </w:r>
      <w:r>
        <w:t xml:space="preserve"> AİHM,</w:t>
      </w:r>
      <w:r w:rsidR="004749A9" w:rsidRPr="006B4754">
        <w:t xml:space="preserve"> başvuranın iddialarının tamamını inceleme</w:t>
      </w:r>
      <w:r>
        <w:t>se de</w:t>
      </w:r>
      <w:r w:rsidR="004749A9" w:rsidRPr="006B4754">
        <w:t xml:space="preserve"> </w:t>
      </w:r>
      <w:r>
        <w:t xml:space="preserve">bu çalışmaya konu hususlara dayanarak </w:t>
      </w:r>
      <w:r w:rsidR="004749A9" w:rsidRPr="006B4754">
        <w:t>adil yargılanma hakkının ihlaline karar vermiştir. AİHM, her ne kadar Bylock’un elde ediliş yönteminin hukukiliğiyle ilgili bir değerlendirme yapma</w:t>
      </w:r>
      <w:r w:rsidR="00094299" w:rsidRPr="006B4754">
        <w:t>sa da</w:t>
      </w:r>
      <w:r w:rsidR="004749A9" w:rsidRPr="006B4754">
        <w:t xml:space="preserve"> Sözleşme’nin 6. maddesi kapsamında verdiği ihlal kararında ortaya koyduğu ilkelerle artık Bylock’un delil olarak kullanılmasını imkansız hale getirmiştir.</w:t>
      </w:r>
    </w:p>
    <w:p w14:paraId="0283E670" w14:textId="52EFC06F" w:rsidR="00094299" w:rsidRPr="006B4754" w:rsidRDefault="00094299" w:rsidP="00094299">
      <w:pPr>
        <w:autoSpaceDE w:val="0"/>
        <w:autoSpaceDN w:val="0"/>
        <w:adjustRightInd w:val="0"/>
        <w:spacing w:after="120" w:line="271" w:lineRule="auto"/>
        <w:textAlignment w:val="center"/>
      </w:pPr>
      <w:r w:rsidRPr="006B4754">
        <w:t xml:space="preserve">Özellikle, Bylock verilerinin MİT’in elinde uzunca bir süre kaldıktan sonra adli mercilere teslimi ve bu dönemde veri güvenliğinin nasıl sağlandığına ilişkin hiçbir bilginin olmaması ve bu sürecin baştan sonra CMK’ya aykırı olarak işletilmesi AİHM’in dikkatinden kaçmamıştır. Bylock’un elde edilme sürecinin cezai bir soruşturmaya </w:t>
      </w:r>
      <w:r w:rsidR="005D7413" w:rsidRPr="006B4754">
        <w:t>yerine</w:t>
      </w:r>
      <w:r w:rsidRPr="006B4754">
        <w:t xml:space="preserve"> istihbari çalışmaya dayandığını bilen yargı mercilerinin</w:t>
      </w:r>
      <w:r w:rsidR="005D7413" w:rsidRPr="006B4754">
        <w:t>,</w:t>
      </w:r>
      <w:r w:rsidRPr="006B4754">
        <w:t xml:space="preserve"> Bylock’la ilgili hukuki süreci</w:t>
      </w:r>
      <w:r w:rsidR="00522CC4" w:rsidRPr="006B4754">
        <w:t xml:space="preserve"> verilerin savcılığa tesliminden sonra başlat</w:t>
      </w:r>
      <w:r w:rsidR="005D7413" w:rsidRPr="006B4754">
        <w:t>tıklarını belirten</w:t>
      </w:r>
      <w:r w:rsidR="00522CC4" w:rsidRPr="006B4754">
        <w:t xml:space="preserve"> AİHM, bu husus</w:t>
      </w:r>
      <w:r w:rsidR="005D7413" w:rsidRPr="006B4754">
        <w:t>usun</w:t>
      </w:r>
      <w:r w:rsidR="00522CC4" w:rsidRPr="006B4754">
        <w:t xml:space="preserve"> verilerin güvenliği açısından çok sıkıntılı olduğunu belirtmiştir.</w:t>
      </w:r>
    </w:p>
    <w:p w14:paraId="61C1E9DD" w14:textId="20D3295C" w:rsidR="00522CC4" w:rsidRPr="006B4754" w:rsidRDefault="00522CC4" w:rsidP="00094299">
      <w:pPr>
        <w:autoSpaceDE w:val="0"/>
        <w:autoSpaceDN w:val="0"/>
        <w:adjustRightInd w:val="0"/>
        <w:spacing w:after="120" w:line="271" w:lineRule="auto"/>
        <w:textAlignment w:val="center"/>
      </w:pPr>
      <w:r w:rsidRPr="006B4754">
        <w:t xml:space="preserve">Bu </w:t>
      </w:r>
      <w:r w:rsidR="004A0253">
        <w:t>saatten</w:t>
      </w:r>
      <w:r w:rsidRPr="006B4754">
        <w:t xml:space="preserve"> sonra Bylock’un elde edilme süreciyle hukuka aykırılıkların giderilebilmesi ve </w:t>
      </w:r>
      <w:r w:rsidRPr="006B4754">
        <w:rPr>
          <w:i/>
          <w:iCs/>
        </w:rPr>
        <w:t>“geçmişe dönük olarak”</w:t>
      </w:r>
      <w:r w:rsidRPr="006B4754">
        <w:t xml:space="preserve"> hukuka uygun hale getirilebilmesi mümkün değildir. Bu konuda aldırılacak </w:t>
      </w:r>
      <w:r w:rsidR="005D7413" w:rsidRPr="006B4754">
        <w:t xml:space="preserve">sadece </w:t>
      </w:r>
      <w:r w:rsidRPr="006B4754">
        <w:t>bir bilirkişi raporuyla verilerin yapısının bozuk olduğu ve delil olarak kullanılamayacağı ortaya çıkacaktır. Tıpkı, Ankara C. Başsavcılığının aldırıp tüm mahkemelerden sakladığı bilirkişi raporunda belirtildiği gibi.</w:t>
      </w:r>
    </w:p>
    <w:p w14:paraId="6D8C86CE" w14:textId="135AEA6D" w:rsidR="00522CC4" w:rsidRPr="006B4754" w:rsidRDefault="00522CC4" w:rsidP="00094299">
      <w:pPr>
        <w:autoSpaceDE w:val="0"/>
        <w:autoSpaceDN w:val="0"/>
        <w:adjustRightInd w:val="0"/>
        <w:spacing w:after="120" w:line="271" w:lineRule="auto"/>
        <w:textAlignment w:val="center"/>
      </w:pPr>
      <w:r w:rsidRPr="006B4754">
        <w:t>Çalışmada, AİHM’in adil yargılanma hakkı kapsamında verdiği ihlal kararı</w:t>
      </w:r>
      <w:r w:rsidR="004A0253">
        <w:t xml:space="preserve"> kapsamında mahkemelerin </w:t>
      </w:r>
      <w:proofErr w:type="spellStart"/>
      <w:r w:rsidR="004A0253">
        <w:t>Bylock’la</w:t>
      </w:r>
      <w:proofErr w:type="spellEnd"/>
      <w:r w:rsidR="004A0253">
        <w:t xml:space="preserve"> ilgili </w:t>
      </w:r>
      <w:proofErr w:type="spellStart"/>
      <w:r w:rsidR="004A0253">
        <w:t>usuli</w:t>
      </w:r>
      <w:proofErr w:type="spellEnd"/>
      <w:r w:rsidR="004A0253">
        <w:t xml:space="preserve"> yönden tespiti gereken hususlara y</w:t>
      </w:r>
      <w:r w:rsidRPr="006B4754">
        <w:t xml:space="preserve">er verilmiştir. </w:t>
      </w:r>
    </w:p>
    <w:p w14:paraId="36441CC2" w14:textId="1BECFC02" w:rsidR="00522CC4" w:rsidRPr="006B4754" w:rsidRDefault="00522CC4" w:rsidP="00094299">
      <w:pPr>
        <w:autoSpaceDE w:val="0"/>
        <w:autoSpaceDN w:val="0"/>
        <w:adjustRightInd w:val="0"/>
        <w:spacing w:after="120" w:line="271" w:lineRule="auto"/>
        <w:textAlignment w:val="center"/>
      </w:pPr>
      <w:r w:rsidRPr="006B4754">
        <w:t>Vakfımız bünyesinde hazırlanan bu çalışmanın faydalı olmasını dileriz</w:t>
      </w:r>
    </w:p>
    <w:p w14:paraId="444A8EF7" w14:textId="77777777" w:rsidR="00733EA9" w:rsidRPr="006B4754" w:rsidRDefault="00733EA9" w:rsidP="00522CC4">
      <w:pPr>
        <w:spacing w:after="120" w:line="271" w:lineRule="auto"/>
        <w:ind w:firstLine="0"/>
      </w:pPr>
    </w:p>
    <w:p w14:paraId="00AC5FDA" w14:textId="0A01FD3A" w:rsidR="00733EA9" w:rsidRPr="006B4754" w:rsidRDefault="00733EA9" w:rsidP="00BA162B">
      <w:pPr>
        <w:spacing w:after="120" w:line="271" w:lineRule="auto"/>
        <w:rPr>
          <w:b/>
          <w:bCs/>
        </w:rPr>
      </w:pPr>
      <w:r w:rsidRPr="006B4754">
        <w:tab/>
      </w:r>
      <w:r w:rsidRPr="006B4754">
        <w:tab/>
      </w:r>
      <w:r w:rsidRPr="006B4754">
        <w:tab/>
      </w:r>
      <w:r w:rsidRPr="006B4754">
        <w:tab/>
      </w:r>
      <w:r w:rsidRPr="006B4754">
        <w:tab/>
      </w:r>
      <w:r w:rsidRPr="006B4754">
        <w:tab/>
      </w:r>
      <w:r w:rsidRPr="006B4754">
        <w:tab/>
      </w:r>
      <w:r w:rsidRPr="006B4754">
        <w:tab/>
      </w:r>
      <w:r w:rsidRPr="006B4754">
        <w:tab/>
      </w:r>
      <w:r w:rsidRPr="006B4754">
        <w:tab/>
      </w:r>
      <w:r w:rsidRPr="006B4754">
        <w:tab/>
      </w:r>
      <w:r w:rsidR="004A0253">
        <w:rPr>
          <w:b/>
          <w:bCs/>
        </w:rPr>
        <w:t>Aralık</w:t>
      </w:r>
      <w:r w:rsidRPr="006B4754">
        <w:rPr>
          <w:b/>
          <w:bCs/>
        </w:rPr>
        <w:t>-2023</w:t>
      </w:r>
    </w:p>
    <w:p w14:paraId="126BE9A4" w14:textId="783FA1EF" w:rsidR="00D03018" w:rsidRPr="006B4754" w:rsidRDefault="00733EA9" w:rsidP="0090130B">
      <w:pPr>
        <w:spacing w:after="120" w:line="271" w:lineRule="auto"/>
        <w:rPr>
          <w:b/>
          <w:bCs/>
        </w:rPr>
      </w:pPr>
      <w:r w:rsidRPr="006B4754">
        <w:rPr>
          <w:b/>
          <w:bCs/>
        </w:rPr>
        <w:tab/>
      </w:r>
      <w:r w:rsidRPr="006B4754">
        <w:rPr>
          <w:b/>
          <w:bCs/>
        </w:rPr>
        <w:tab/>
      </w:r>
      <w:r w:rsidRPr="006B4754">
        <w:rPr>
          <w:b/>
          <w:bCs/>
        </w:rPr>
        <w:tab/>
      </w:r>
      <w:r w:rsidRPr="006B4754">
        <w:rPr>
          <w:b/>
          <w:bCs/>
        </w:rPr>
        <w:tab/>
      </w:r>
      <w:r w:rsidRPr="006B4754">
        <w:rPr>
          <w:b/>
          <w:bCs/>
        </w:rPr>
        <w:tab/>
      </w:r>
      <w:r w:rsidRPr="006B4754">
        <w:rPr>
          <w:b/>
          <w:bCs/>
        </w:rPr>
        <w:tab/>
      </w:r>
      <w:r w:rsidRPr="006B4754">
        <w:rPr>
          <w:b/>
          <w:bCs/>
        </w:rPr>
        <w:tab/>
      </w:r>
      <w:r w:rsidRPr="006B4754">
        <w:rPr>
          <w:b/>
          <w:bCs/>
        </w:rPr>
        <w:tab/>
      </w:r>
      <w:r w:rsidRPr="006B4754">
        <w:rPr>
          <w:b/>
          <w:bCs/>
        </w:rPr>
        <w:tab/>
      </w:r>
      <w:r w:rsidRPr="006B4754">
        <w:rPr>
          <w:b/>
          <w:bCs/>
        </w:rPr>
        <w:tab/>
      </w:r>
      <w:r w:rsidRPr="006B4754">
        <w:rPr>
          <w:b/>
          <w:bCs/>
        </w:rPr>
        <w:tab/>
        <w:t>Amsterdam</w:t>
      </w:r>
      <w:r w:rsidR="0090130B" w:rsidRPr="006B4754">
        <w:rPr>
          <w:b/>
          <w:bCs/>
        </w:rPr>
        <w:br w:type="page"/>
      </w:r>
    </w:p>
    <w:p w14:paraId="1230684B" w14:textId="1376058B" w:rsidR="00371567" w:rsidRPr="006B4754" w:rsidRDefault="004A0253" w:rsidP="004A0253">
      <w:pPr>
        <w:pStyle w:val="Balk1"/>
        <w:numPr>
          <w:ilvl w:val="0"/>
          <w:numId w:val="0"/>
        </w:numPr>
        <w:ind w:left="1276"/>
        <w:rPr>
          <w:rFonts w:ascii="Palatino Linotype" w:hAnsi="Palatino Linotype"/>
          <w:color w:val="auto"/>
          <w:sz w:val="20"/>
          <w:szCs w:val="20"/>
        </w:rPr>
      </w:pPr>
      <w:bookmarkStart w:id="9" w:name="_Toc145973913"/>
      <w:bookmarkStart w:id="10" w:name="_Toc151927089"/>
      <w:r>
        <w:rPr>
          <w:rFonts w:ascii="Palatino Linotype" w:hAnsi="Palatino Linotype"/>
          <w:color w:val="auto"/>
          <w:sz w:val="20"/>
          <w:szCs w:val="20"/>
        </w:rPr>
        <w:lastRenderedPageBreak/>
        <w:t xml:space="preserve">                                                      </w:t>
      </w:r>
      <w:bookmarkStart w:id="11" w:name="_Toc153309434"/>
      <w:r w:rsidR="00C05A4F" w:rsidRPr="006B4754">
        <w:rPr>
          <w:rFonts w:ascii="Palatino Linotype" w:hAnsi="Palatino Linotype"/>
          <w:color w:val="auto"/>
          <w:sz w:val="20"/>
          <w:szCs w:val="20"/>
        </w:rPr>
        <w:t>İÇİNDEKİLER</w:t>
      </w:r>
      <w:bookmarkEnd w:id="9"/>
      <w:bookmarkEnd w:id="10"/>
      <w:bookmarkEnd w:id="11"/>
    </w:p>
    <w:p w14:paraId="21F00CD3" w14:textId="77777777" w:rsidR="00E52E47" w:rsidRPr="00BA43F1" w:rsidRDefault="00E52E47" w:rsidP="00BA43F1">
      <w:pPr>
        <w:tabs>
          <w:tab w:val="left" w:pos="993"/>
        </w:tabs>
        <w:ind w:left="567" w:firstLine="0"/>
      </w:pPr>
    </w:p>
    <w:p w14:paraId="47B15303" w14:textId="37C60A97" w:rsidR="00BA43F1" w:rsidRPr="00BA43F1" w:rsidRDefault="00BA43F1" w:rsidP="00BA43F1">
      <w:pPr>
        <w:pStyle w:val="T1"/>
        <w:tabs>
          <w:tab w:val="right" w:leader="underscore" w:pos="9061"/>
        </w:tabs>
        <w:ind w:left="709" w:hanging="142"/>
        <w:rPr>
          <w:rFonts w:ascii="Palatino Linotype" w:eastAsiaTheme="minorEastAsia" w:hAnsi="Palatino Linotype" w:cstheme="minorBidi"/>
          <w:b w:val="0"/>
          <w:bCs w:val="0"/>
          <w:i w:val="0"/>
          <w:iCs w:val="0"/>
          <w:noProof/>
        </w:rPr>
      </w:pPr>
      <w:r w:rsidRPr="00BA43F1">
        <w:rPr>
          <w:rFonts w:ascii="Palatino Linotype" w:hAnsi="Palatino Linotype"/>
          <w:i w:val="0"/>
          <w:iCs w:val="0"/>
        </w:rPr>
        <w:fldChar w:fldCharType="begin"/>
      </w:r>
      <w:r w:rsidRPr="00BA43F1">
        <w:rPr>
          <w:rFonts w:ascii="Palatino Linotype" w:hAnsi="Palatino Linotype"/>
          <w:i w:val="0"/>
          <w:iCs w:val="0"/>
        </w:rPr>
        <w:instrText xml:space="preserve"> TOC \o "1-3" \h \z \u </w:instrText>
      </w:r>
      <w:r w:rsidRPr="00BA43F1">
        <w:rPr>
          <w:rFonts w:ascii="Palatino Linotype" w:hAnsi="Palatino Linotype"/>
          <w:i w:val="0"/>
          <w:iCs w:val="0"/>
        </w:rPr>
        <w:fldChar w:fldCharType="separate"/>
      </w:r>
      <w:hyperlink w:anchor="_Toc153309433" w:history="1">
        <w:r w:rsidRPr="00BA43F1">
          <w:rPr>
            <w:rStyle w:val="Kpr"/>
            <w:rFonts w:ascii="Palatino Linotype" w:eastAsiaTheme="majorEastAsia" w:hAnsi="Palatino Linotype"/>
            <w:i w:val="0"/>
            <w:iCs w:val="0"/>
            <w:noProof/>
          </w:rPr>
          <w:t>ÖNSÖZ</w:t>
        </w:r>
        <w:r w:rsidRPr="00BA43F1">
          <w:rPr>
            <w:rFonts w:ascii="Palatino Linotype" w:hAnsi="Palatino Linotype"/>
            <w:i w:val="0"/>
            <w:iCs w:val="0"/>
            <w:noProof/>
            <w:webHidden/>
          </w:rPr>
          <w:tab/>
        </w:r>
        <w:r w:rsidRPr="00BA43F1">
          <w:rPr>
            <w:rFonts w:ascii="Palatino Linotype" w:hAnsi="Palatino Linotype"/>
            <w:i w:val="0"/>
            <w:iCs w:val="0"/>
            <w:noProof/>
            <w:webHidden/>
          </w:rPr>
          <w:fldChar w:fldCharType="begin"/>
        </w:r>
        <w:r w:rsidRPr="00BA43F1">
          <w:rPr>
            <w:rFonts w:ascii="Palatino Linotype" w:hAnsi="Palatino Linotype"/>
            <w:i w:val="0"/>
            <w:iCs w:val="0"/>
            <w:noProof/>
            <w:webHidden/>
          </w:rPr>
          <w:instrText xml:space="preserve"> PAGEREF _Toc153309433 \h </w:instrText>
        </w:r>
        <w:r w:rsidRPr="00BA43F1">
          <w:rPr>
            <w:rFonts w:ascii="Palatino Linotype" w:hAnsi="Palatino Linotype"/>
            <w:i w:val="0"/>
            <w:iCs w:val="0"/>
            <w:noProof/>
            <w:webHidden/>
          </w:rPr>
        </w:r>
        <w:r w:rsidRPr="00BA43F1">
          <w:rPr>
            <w:rFonts w:ascii="Palatino Linotype" w:hAnsi="Palatino Linotype"/>
            <w:i w:val="0"/>
            <w:iCs w:val="0"/>
            <w:noProof/>
            <w:webHidden/>
          </w:rPr>
          <w:fldChar w:fldCharType="separate"/>
        </w:r>
        <w:r w:rsidRPr="00BA43F1">
          <w:rPr>
            <w:rFonts w:ascii="Palatino Linotype" w:hAnsi="Palatino Linotype"/>
            <w:i w:val="0"/>
            <w:iCs w:val="0"/>
            <w:noProof/>
            <w:webHidden/>
          </w:rPr>
          <w:t>3</w:t>
        </w:r>
        <w:r w:rsidRPr="00BA43F1">
          <w:rPr>
            <w:rFonts w:ascii="Palatino Linotype" w:hAnsi="Palatino Linotype"/>
            <w:i w:val="0"/>
            <w:iCs w:val="0"/>
            <w:noProof/>
            <w:webHidden/>
          </w:rPr>
          <w:fldChar w:fldCharType="end"/>
        </w:r>
      </w:hyperlink>
    </w:p>
    <w:p w14:paraId="78CA7486" w14:textId="303365BD" w:rsidR="00BA43F1" w:rsidRPr="00BA43F1" w:rsidRDefault="00BA43F1" w:rsidP="00BA43F1">
      <w:pPr>
        <w:pStyle w:val="T1"/>
        <w:tabs>
          <w:tab w:val="right" w:leader="underscore" w:pos="9061"/>
        </w:tabs>
        <w:ind w:left="709" w:hanging="142"/>
        <w:rPr>
          <w:rFonts w:ascii="Palatino Linotype" w:eastAsiaTheme="minorEastAsia" w:hAnsi="Palatino Linotype" w:cstheme="minorBidi"/>
          <w:b w:val="0"/>
          <w:bCs w:val="0"/>
          <w:i w:val="0"/>
          <w:iCs w:val="0"/>
          <w:noProof/>
        </w:rPr>
      </w:pPr>
      <w:hyperlink w:anchor="_Toc153309434" w:history="1">
        <w:r w:rsidRPr="00BA43F1">
          <w:rPr>
            <w:rStyle w:val="Kpr"/>
            <w:rFonts w:ascii="Palatino Linotype" w:eastAsiaTheme="majorEastAsia" w:hAnsi="Palatino Linotype"/>
            <w:i w:val="0"/>
            <w:iCs w:val="0"/>
            <w:noProof/>
          </w:rPr>
          <w:t>İÇİNDEKİLER</w:t>
        </w:r>
        <w:r w:rsidRPr="00BA43F1">
          <w:rPr>
            <w:rFonts w:ascii="Palatino Linotype" w:hAnsi="Palatino Linotype"/>
            <w:i w:val="0"/>
            <w:iCs w:val="0"/>
            <w:noProof/>
            <w:webHidden/>
          </w:rPr>
          <w:tab/>
        </w:r>
        <w:r w:rsidRPr="00BA43F1">
          <w:rPr>
            <w:rFonts w:ascii="Palatino Linotype" w:hAnsi="Palatino Linotype"/>
            <w:i w:val="0"/>
            <w:iCs w:val="0"/>
            <w:noProof/>
            <w:webHidden/>
          </w:rPr>
          <w:fldChar w:fldCharType="begin"/>
        </w:r>
        <w:r w:rsidRPr="00BA43F1">
          <w:rPr>
            <w:rFonts w:ascii="Palatino Linotype" w:hAnsi="Palatino Linotype"/>
            <w:i w:val="0"/>
            <w:iCs w:val="0"/>
            <w:noProof/>
            <w:webHidden/>
          </w:rPr>
          <w:instrText xml:space="preserve"> PAGEREF _Toc153309434 \h </w:instrText>
        </w:r>
        <w:r w:rsidRPr="00BA43F1">
          <w:rPr>
            <w:rFonts w:ascii="Palatino Linotype" w:hAnsi="Palatino Linotype"/>
            <w:i w:val="0"/>
            <w:iCs w:val="0"/>
            <w:noProof/>
            <w:webHidden/>
          </w:rPr>
        </w:r>
        <w:r w:rsidRPr="00BA43F1">
          <w:rPr>
            <w:rFonts w:ascii="Palatino Linotype" w:hAnsi="Palatino Linotype"/>
            <w:i w:val="0"/>
            <w:iCs w:val="0"/>
            <w:noProof/>
            <w:webHidden/>
          </w:rPr>
          <w:fldChar w:fldCharType="separate"/>
        </w:r>
        <w:r w:rsidRPr="00BA43F1">
          <w:rPr>
            <w:rFonts w:ascii="Palatino Linotype" w:hAnsi="Palatino Linotype"/>
            <w:i w:val="0"/>
            <w:iCs w:val="0"/>
            <w:noProof/>
            <w:webHidden/>
          </w:rPr>
          <w:t>4</w:t>
        </w:r>
        <w:r w:rsidRPr="00BA43F1">
          <w:rPr>
            <w:rFonts w:ascii="Palatino Linotype" w:hAnsi="Palatino Linotype"/>
            <w:i w:val="0"/>
            <w:iCs w:val="0"/>
            <w:noProof/>
            <w:webHidden/>
          </w:rPr>
          <w:fldChar w:fldCharType="end"/>
        </w:r>
      </w:hyperlink>
    </w:p>
    <w:p w14:paraId="09E5421A" w14:textId="6FC205E8" w:rsidR="00BA43F1" w:rsidRPr="00BA43F1" w:rsidRDefault="00BA43F1" w:rsidP="00BA43F1">
      <w:pPr>
        <w:pStyle w:val="T1"/>
        <w:tabs>
          <w:tab w:val="left" w:pos="1100"/>
          <w:tab w:val="right" w:leader="underscore" w:pos="9061"/>
        </w:tabs>
        <w:ind w:left="709" w:hanging="142"/>
        <w:rPr>
          <w:rFonts w:ascii="Palatino Linotype" w:eastAsiaTheme="minorEastAsia" w:hAnsi="Palatino Linotype" w:cstheme="minorBidi"/>
          <w:b w:val="0"/>
          <w:bCs w:val="0"/>
          <w:i w:val="0"/>
          <w:iCs w:val="0"/>
          <w:noProof/>
        </w:rPr>
      </w:pPr>
      <w:hyperlink w:anchor="_Toc153309435" w:history="1">
        <w:r w:rsidRPr="00BA43F1">
          <w:rPr>
            <w:rStyle w:val="Kpr"/>
            <w:rFonts w:ascii="Palatino Linotype" w:eastAsiaTheme="majorEastAsia" w:hAnsi="Palatino Linotype"/>
            <w:i w:val="0"/>
            <w:iCs w:val="0"/>
            <w:noProof/>
          </w:rPr>
          <w:t>A.</w:t>
        </w:r>
        <w:r w:rsidRPr="00BA43F1">
          <w:rPr>
            <w:rFonts w:ascii="Palatino Linotype" w:eastAsiaTheme="minorEastAsia" w:hAnsi="Palatino Linotype" w:cstheme="minorBidi"/>
            <w:b w:val="0"/>
            <w:bCs w:val="0"/>
            <w:i w:val="0"/>
            <w:iCs w:val="0"/>
            <w:noProof/>
          </w:rPr>
          <w:tab/>
        </w:r>
        <w:r w:rsidRPr="00BA43F1">
          <w:rPr>
            <w:rStyle w:val="Kpr"/>
            <w:rFonts w:ascii="Palatino Linotype" w:eastAsiaTheme="majorEastAsia" w:hAnsi="Palatino Linotype"/>
            <w:i w:val="0"/>
            <w:iCs w:val="0"/>
            <w:noProof/>
          </w:rPr>
          <w:t>M</w:t>
        </w:r>
        <w:r w:rsidRPr="00BA43F1">
          <w:rPr>
            <w:rStyle w:val="Kpr"/>
            <w:rFonts w:ascii="Palatino Linotype" w:eastAsiaTheme="majorEastAsia" w:hAnsi="Palatino Linotype" w:cs="Calibri"/>
            <w:i w:val="0"/>
            <w:iCs w:val="0"/>
            <w:noProof/>
          </w:rPr>
          <w:t>İ</w:t>
        </w:r>
        <w:r w:rsidRPr="00BA43F1">
          <w:rPr>
            <w:rStyle w:val="Kpr"/>
            <w:rFonts w:ascii="Palatino Linotype" w:eastAsiaTheme="majorEastAsia" w:hAnsi="Palatino Linotype"/>
            <w:i w:val="0"/>
            <w:iCs w:val="0"/>
            <w:noProof/>
          </w:rPr>
          <w:t>T</w:t>
        </w:r>
        <w:r w:rsidRPr="00BA43F1">
          <w:rPr>
            <w:rStyle w:val="Kpr"/>
            <w:rFonts w:ascii="Palatino Linotype" w:eastAsiaTheme="majorEastAsia" w:hAnsi="Palatino Linotype" w:cs="Segoe UI Historic"/>
            <w:i w:val="0"/>
            <w:iCs w:val="0"/>
            <w:noProof/>
          </w:rPr>
          <w:t>’</w:t>
        </w:r>
        <w:r w:rsidRPr="00BA43F1">
          <w:rPr>
            <w:rStyle w:val="Kpr"/>
            <w:rFonts w:ascii="Palatino Linotype" w:eastAsiaTheme="majorEastAsia" w:hAnsi="Palatino Linotype"/>
            <w:i w:val="0"/>
            <w:iCs w:val="0"/>
            <w:noProof/>
          </w:rPr>
          <w:t xml:space="preserve">in ByLock ile </w:t>
        </w:r>
        <w:r w:rsidRPr="00BA43F1">
          <w:rPr>
            <w:rStyle w:val="Kpr"/>
            <w:rFonts w:ascii="Palatino Linotype" w:eastAsiaTheme="majorEastAsia" w:hAnsi="Palatino Linotype" w:cs="Calibri"/>
            <w:i w:val="0"/>
            <w:iCs w:val="0"/>
            <w:noProof/>
          </w:rPr>
          <w:t>İ</w:t>
        </w:r>
        <w:r w:rsidRPr="00BA43F1">
          <w:rPr>
            <w:rStyle w:val="Kpr"/>
            <w:rFonts w:ascii="Palatino Linotype" w:eastAsiaTheme="majorEastAsia" w:hAnsi="Palatino Linotype"/>
            <w:i w:val="0"/>
            <w:iCs w:val="0"/>
            <w:noProof/>
          </w:rPr>
          <w:t>lgili Ald</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cs="Calibri"/>
            <w:i w:val="0"/>
            <w:iCs w:val="0"/>
            <w:noProof/>
          </w:rPr>
          <w:t>ğ</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 xml:space="preserve"> </w:t>
        </w:r>
        <w:r w:rsidRPr="00BA43F1">
          <w:rPr>
            <w:rStyle w:val="Kpr"/>
            <w:rFonts w:ascii="Palatino Linotype" w:eastAsiaTheme="majorEastAsia" w:hAnsi="Palatino Linotype" w:cs="Calibri"/>
            <w:i w:val="0"/>
            <w:iCs w:val="0"/>
            <w:noProof/>
          </w:rPr>
          <w:t>İ</w:t>
        </w:r>
        <w:r w:rsidRPr="00BA43F1">
          <w:rPr>
            <w:rStyle w:val="Kpr"/>
            <w:rFonts w:ascii="Palatino Linotype" w:eastAsiaTheme="majorEastAsia" w:hAnsi="Palatino Linotype"/>
            <w:i w:val="0"/>
            <w:iCs w:val="0"/>
            <w:noProof/>
          </w:rPr>
          <w:t>hbara Dayanarak Yapt</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cs="Calibri"/>
            <w:i w:val="0"/>
            <w:iCs w:val="0"/>
            <w:noProof/>
          </w:rPr>
          <w:t>ğ</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 xml:space="preserve"> </w:t>
        </w:r>
        <w:r w:rsidRPr="00BA43F1">
          <w:rPr>
            <w:rStyle w:val="Kpr"/>
            <w:rFonts w:ascii="Palatino Linotype" w:eastAsiaTheme="majorEastAsia" w:hAnsi="Palatino Linotype" w:cs="Calibri"/>
            <w:i w:val="0"/>
            <w:iCs w:val="0"/>
            <w:noProof/>
          </w:rPr>
          <w:t>İ</w:t>
        </w:r>
        <w:r w:rsidRPr="00BA43F1">
          <w:rPr>
            <w:rStyle w:val="Kpr"/>
            <w:rFonts w:ascii="Palatino Linotype" w:eastAsiaTheme="majorEastAsia" w:hAnsi="Palatino Linotype"/>
            <w:i w:val="0"/>
            <w:iCs w:val="0"/>
            <w:noProof/>
          </w:rPr>
          <w:t xml:space="preserve">stihbari </w:t>
        </w:r>
        <w:r w:rsidRPr="00BA43F1">
          <w:rPr>
            <w:rStyle w:val="Kpr"/>
            <w:rFonts w:ascii="Palatino Linotype" w:eastAsiaTheme="majorEastAsia" w:hAnsi="Palatino Linotype" w:cs="Segoe UI Historic"/>
            <w:i w:val="0"/>
            <w:iCs w:val="0"/>
            <w:noProof/>
          </w:rPr>
          <w:t>Ç</w:t>
        </w:r>
        <w:r w:rsidRPr="00BA43F1">
          <w:rPr>
            <w:rStyle w:val="Kpr"/>
            <w:rFonts w:ascii="Palatino Linotype" w:eastAsiaTheme="majorEastAsia" w:hAnsi="Palatino Linotype"/>
            <w:i w:val="0"/>
            <w:iCs w:val="0"/>
            <w:noProof/>
          </w:rPr>
          <w:t>al</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cs="Calibri"/>
            <w:i w:val="0"/>
            <w:iCs w:val="0"/>
            <w:noProof/>
          </w:rPr>
          <w:t>ş</w:t>
        </w:r>
        <w:r w:rsidRPr="00BA43F1">
          <w:rPr>
            <w:rStyle w:val="Kpr"/>
            <w:rFonts w:ascii="Palatino Linotype" w:eastAsiaTheme="majorEastAsia" w:hAnsi="Palatino Linotype"/>
            <w:i w:val="0"/>
            <w:iCs w:val="0"/>
            <w:noProof/>
          </w:rPr>
          <w:t>man</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n Hukuka Uygunlu</w:t>
        </w:r>
        <w:r w:rsidRPr="00BA43F1">
          <w:rPr>
            <w:rStyle w:val="Kpr"/>
            <w:rFonts w:ascii="Palatino Linotype" w:eastAsiaTheme="majorEastAsia" w:hAnsi="Palatino Linotype" w:cs="Calibri"/>
            <w:i w:val="0"/>
            <w:iCs w:val="0"/>
            <w:noProof/>
          </w:rPr>
          <w:t>ğ</w:t>
        </w:r>
        <w:r w:rsidRPr="00BA43F1">
          <w:rPr>
            <w:rStyle w:val="Kpr"/>
            <w:rFonts w:ascii="Palatino Linotype" w:eastAsiaTheme="majorEastAsia" w:hAnsi="Palatino Linotype"/>
            <w:i w:val="0"/>
            <w:iCs w:val="0"/>
            <w:noProof/>
          </w:rPr>
          <w:t>unun Belirlenmesi Zorunlulu</w:t>
        </w:r>
        <w:r w:rsidRPr="00BA43F1">
          <w:rPr>
            <w:rStyle w:val="Kpr"/>
            <w:rFonts w:ascii="Palatino Linotype" w:eastAsiaTheme="majorEastAsia" w:hAnsi="Palatino Linotype" w:cs="Calibri"/>
            <w:i w:val="0"/>
            <w:iCs w:val="0"/>
            <w:noProof/>
          </w:rPr>
          <w:t>ğ</w:t>
        </w:r>
        <w:r w:rsidRPr="00BA43F1">
          <w:rPr>
            <w:rStyle w:val="Kpr"/>
            <w:rFonts w:ascii="Palatino Linotype" w:eastAsiaTheme="majorEastAsia" w:hAnsi="Palatino Linotype"/>
            <w:i w:val="0"/>
            <w:iCs w:val="0"/>
            <w:noProof/>
          </w:rPr>
          <w:t>u</w:t>
        </w:r>
        <w:r w:rsidRPr="00BA43F1">
          <w:rPr>
            <w:rFonts w:ascii="Palatino Linotype" w:hAnsi="Palatino Linotype"/>
            <w:i w:val="0"/>
            <w:iCs w:val="0"/>
            <w:noProof/>
            <w:webHidden/>
          </w:rPr>
          <w:tab/>
        </w:r>
        <w:r w:rsidRPr="00BA43F1">
          <w:rPr>
            <w:rFonts w:ascii="Palatino Linotype" w:hAnsi="Palatino Linotype"/>
            <w:i w:val="0"/>
            <w:iCs w:val="0"/>
            <w:noProof/>
            <w:webHidden/>
          </w:rPr>
          <w:fldChar w:fldCharType="begin"/>
        </w:r>
        <w:r w:rsidRPr="00BA43F1">
          <w:rPr>
            <w:rFonts w:ascii="Palatino Linotype" w:hAnsi="Palatino Linotype"/>
            <w:i w:val="0"/>
            <w:iCs w:val="0"/>
            <w:noProof/>
            <w:webHidden/>
          </w:rPr>
          <w:instrText xml:space="preserve"> PAGEREF _Toc153309435 \h </w:instrText>
        </w:r>
        <w:r w:rsidRPr="00BA43F1">
          <w:rPr>
            <w:rFonts w:ascii="Palatino Linotype" w:hAnsi="Palatino Linotype"/>
            <w:i w:val="0"/>
            <w:iCs w:val="0"/>
            <w:noProof/>
            <w:webHidden/>
          </w:rPr>
        </w:r>
        <w:r w:rsidRPr="00BA43F1">
          <w:rPr>
            <w:rFonts w:ascii="Palatino Linotype" w:hAnsi="Palatino Linotype"/>
            <w:i w:val="0"/>
            <w:iCs w:val="0"/>
            <w:noProof/>
            <w:webHidden/>
          </w:rPr>
          <w:fldChar w:fldCharType="separate"/>
        </w:r>
        <w:r w:rsidRPr="00BA43F1">
          <w:rPr>
            <w:rFonts w:ascii="Palatino Linotype" w:hAnsi="Palatino Linotype"/>
            <w:i w:val="0"/>
            <w:iCs w:val="0"/>
            <w:noProof/>
            <w:webHidden/>
          </w:rPr>
          <w:t>1</w:t>
        </w:r>
        <w:r w:rsidRPr="00BA43F1">
          <w:rPr>
            <w:rFonts w:ascii="Palatino Linotype" w:hAnsi="Palatino Linotype"/>
            <w:i w:val="0"/>
            <w:iCs w:val="0"/>
            <w:noProof/>
            <w:webHidden/>
          </w:rPr>
          <w:fldChar w:fldCharType="end"/>
        </w:r>
      </w:hyperlink>
    </w:p>
    <w:p w14:paraId="3B259804" w14:textId="77F3C6C7" w:rsidR="00BA43F1" w:rsidRPr="00BA43F1" w:rsidRDefault="00BA43F1" w:rsidP="00BA43F1">
      <w:pPr>
        <w:pStyle w:val="T1"/>
        <w:tabs>
          <w:tab w:val="left" w:pos="1100"/>
          <w:tab w:val="right" w:leader="underscore" w:pos="9061"/>
        </w:tabs>
        <w:ind w:left="709" w:hanging="142"/>
        <w:rPr>
          <w:rFonts w:ascii="Palatino Linotype" w:eastAsiaTheme="minorEastAsia" w:hAnsi="Palatino Linotype" w:cstheme="minorBidi"/>
          <w:b w:val="0"/>
          <w:bCs w:val="0"/>
          <w:i w:val="0"/>
          <w:iCs w:val="0"/>
          <w:noProof/>
        </w:rPr>
      </w:pPr>
      <w:hyperlink w:anchor="_Toc153309436" w:history="1">
        <w:r w:rsidRPr="00BA43F1">
          <w:rPr>
            <w:rStyle w:val="Kpr"/>
            <w:rFonts w:ascii="Palatino Linotype" w:eastAsiaTheme="majorEastAsia" w:hAnsi="Palatino Linotype"/>
            <w:i w:val="0"/>
            <w:iCs w:val="0"/>
            <w:noProof/>
          </w:rPr>
          <w:t>B.</w:t>
        </w:r>
        <w:r w:rsidRPr="00BA43F1">
          <w:rPr>
            <w:rFonts w:ascii="Palatino Linotype" w:eastAsiaTheme="minorEastAsia" w:hAnsi="Palatino Linotype" w:cstheme="minorBidi"/>
            <w:b w:val="0"/>
            <w:bCs w:val="0"/>
            <w:i w:val="0"/>
            <w:iCs w:val="0"/>
            <w:noProof/>
          </w:rPr>
          <w:tab/>
        </w:r>
        <w:r w:rsidRPr="00BA43F1">
          <w:rPr>
            <w:rStyle w:val="Kpr"/>
            <w:rFonts w:ascii="Palatino Linotype" w:eastAsiaTheme="majorEastAsia" w:hAnsi="Palatino Linotype"/>
            <w:i w:val="0"/>
            <w:iCs w:val="0"/>
            <w:noProof/>
          </w:rPr>
          <w:t xml:space="preserve">Bylock Verilerinin Ele Geçirilme Zamanı ve Yöntemine </w:t>
        </w:r>
        <w:r w:rsidRPr="00BA43F1">
          <w:rPr>
            <w:rStyle w:val="Kpr"/>
            <w:rFonts w:ascii="Palatino Linotype" w:eastAsiaTheme="majorEastAsia" w:hAnsi="Palatino Linotype" w:cs="Calibri"/>
            <w:i w:val="0"/>
            <w:iCs w:val="0"/>
            <w:noProof/>
          </w:rPr>
          <w:t>İ</w:t>
        </w:r>
        <w:r w:rsidRPr="00BA43F1">
          <w:rPr>
            <w:rStyle w:val="Kpr"/>
            <w:rFonts w:ascii="Palatino Linotype" w:eastAsiaTheme="majorEastAsia" w:hAnsi="Palatino Linotype"/>
            <w:i w:val="0"/>
            <w:iCs w:val="0"/>
            <w:noProof/>
          </w:rPr>
          <w:t>li</w:t>
        </w:r>
        <w:r w:rsidRPr="00BA43F1">
          <w:rPr>
            <w:rStyle w:val="Kpr"/>
            <w:rFonts w:ascii="Palatino Linotype" w:eastAsiaTheme="majorEastAsia" w:hAnsi="Palatino Linotype" w:cs="Calibri"/>
            <w:i w:val="0"/>
            <w:iCs w:val="0"/>
            <w:noProof/>
          </w:rPr>
          <w:t>ş</w:t>
        </w:r>
        <w:r w:rsidRPr="00BA43F1">
          <w:rPr>
            <w:rStyle w:val="Kpr"/>
            <w:rFonts w:ascii="Palatino Linotype" w:eastAsiaTheme="majorEastAsia" w:hAnsi="Palatino Linotype"/>
            <w:i w:val="0"/>
            <w:iCs w:val="0"/>
            <w:noProof/>
          </w:rPr>
          <w:t>kin Olarak</w:t>
        </w:r>
        <w:r w:rsidRPr="00BA43F1">
          <w:rPr>
            <w:rFonts w:ascii="Palatino Linotype" w:hAnsi="Palatino Linotype"/>
            <w:i w:val="0"/>
            <w:iCs w:val="0"/>
            <w:noProof/>
            <w:webHidden/>
          </w:rPr>
          <w:tab/>
        </w:r>
        <w:r w:rsidRPr="00BA43F1">
          <w:rPr>
            <w:rFonts w:ascii="Palatino Linotype" w:hAnsi="Palatino Linotype"/>
            <w:i w:val="0"/>
            <w:iCs w:val="0"/>
            <w:noProof/>
            <w:webHidden/>
          </w:rPr>
          <w:fldChar w:fldCharType="begin"/>
        </w:r>
        <w:r w:rsidRPr="00BA43F1">
          <w:rPr>
            <w:rFonts w:ascii="Palatino Linotype" w:hAnsi="Palatino Linotype"/>
            <w:i w:val="0"/>
            <w:iCs w:val="0"/>
            <w:noProof/>
            <w:webHidden/>
          </w:rPr>
          <w:instrText xml:space="preserve"> PAGEREF _Toc153309436 \h </w:instrText>
        </w:r>
        <w:r w:rsidRPr="00BA43F1">
          <w:rPr>
            <w:rFonts w:ascii="Palatino Linotype" w:hAnsi="Palatino Linotype"/>
            <w:i w:val="0"/>
            <w:iCs w:val="0"/>
            <w:noProof/>
            <w:webHidden/>
          </w:rPr>
        </w:r>
        <w:r w:rsidRPr="00BA43F1">
          <w:rPr>
            <w:rFonts w:ascii="Palatino Linotype" w:hAnsi="Palatino Linotype"/>
            <w:i w:val="0"/>
            <w:iCs w:val="0"/>
            <w:noProof/>
            <w:webHidden/>
          </w:rPr>
          <w:fldChar w:fldCharType="separate"/>
        </w:r>
        <w:r w:rsidRPr="00BA43F1">
          <w:rPr>
            <w:rFonts w:ascii="Palatino Linotype" w:hAnsi="Palatino Linotype"/>
            <w:i w:val="0"/>
            <w:iCs w:val="0"/>
            <w:noProof/>
            <w:webHidden/>
          </w:rPr>
          <w:t>2</w:t>
        </w:r>
        <w:r w:rsidRPr="00BA43F1">
          <w:rPr>
            <w:rFonts w:ascii="Palatino Linotype" w:hAnsi="Palatino Linotype"/>
            <w:i w:val="0"/>
            <w:iCs w:val="0"/>
            <w:noProof/>
            <w:webHidden/>
          </w:rPr>
          <w:fldChar w:fldCharType="end"/>
        </w:r>
      </w:hyperlink>
    </w:p>
    <w:p w14:paraId="2C45B09D" w14:textId="46B42D7F" w:rsidR="00BA43F1" w:rsidRPr="00BA43F1" w:rsidRDefault="00BA43F1" w:rsidP="00BA43F1">
      <w:pPr>
        <w:pStyle w:val="T1"/>
        <w:tabs>
          <w:tab w:val="left" w:pos="1100"/>
          <w:tab w:val="right" w:leader="underscore" w:pos="9061"/>
        </w:tabs>
        <w:ind w:left="709" w:hanging="142"/>
        <w:rPr>
          <w:rFonts w:ascii="Palatino Linotype" w:eastAsiaTheme="minorEastAsia" w:hAnsi="Palatino Linotype" w:cstheme="minorBidi"/>
          <w:b w:val="0"/>
          <w:bCs w:val="0"/>
          <w:i w:val="0"/>
          <w:iCs w:val="0"/>
          <w:noProof/>
        </w:rPr>
      </w:pPr>
      <w:hyperlink w:anchor="_Toc153309437" w:history="1">
        <w:r w:rsidRPr="00BA43F1">
          <w:rPr>
            <w:rStyle w:val="Kpr"/>
            <w:rFonts w:ascii="Palatino Linotype" w:eastAsiaTheme="majorEastAsia" w:hAnsi="Palatino Linotype"/>
            <w:i w:val="0"/>
            <w:iCs w:val="0"/>
            <w:noProof/>
          </w:rPr>
          <w:t>C.</w:t>
        </w:r>
        <w:r w:rsidRPr="00BA43F1">
          <w:rPr>
            <w:rFonts w:ascii="Palatino Linotype" w:eastAsiaTheme="minorEastAsia" w:hAnsi="Palatino Linotype" w:cstheme="minorBidi"/>
            <w:b w:val="0"/>
            <w:bCs w:val="0"/>
            <w:i w:val="0"/>
            <w:iCs w:val="0"/>
            <w:noProof/>
          </w:rPr>
          <w:tab/>
        </w:r>
        <w:r w:rsidRPr="00BA43F1">
          <w:rPr>
            <w:rStyle w:val="Kpr"/>
            <w:rFonts w:ascii="Palatino Linotype" w:eastAsiaTheme="majorEastAsia" w:hAnsi="Palatino Linotype"/>
            <w:i w:val="0"/>
            <w:iCs w:val="0"/>
            <w:noProof/>
          </w:rPr>
          <w:t xml:space="preserve">Verilerinin Elde Edilmesinden Adli Mercilere Teslimine Kadar Geçen </w:t>
        </w:r>
        <w:r w:rsidRPr="00BA43F1">
          <w:rPr>
            <w:rStyle w:val="Kpr"/>
            <w:rFonts w:ascii="Palatino Linotype" w:eastAsiaTheme="majorEastAsia" w:hAnsi="Palatino Linotype"/>
            <w:i w:val="0"/>
            <w:iCs w:val="0"/>
            <w:noProof/>
          </w:rPr>
          <w:t>S</w:t>
        </w:r>
        <w:r w:rsidRPr="00BA43F1">
          <w:rPr>
            <w:rStyle w:val="Kpr"/>
            <w:rFonts w:ascii="Palatino Linotype" w:eastAsiaTheme="majorEastAsia" w:hAnsi="Palatino Linotype"/>
            <w:i w:val="0"/>
            <w:iCs w:val="0"/>
            <w:noProof/>
          </w:rPr>
          <w:t>ürede Veri Bütünlü</w:t>
        </w:r>
        <w:r w:rsidRPr="00BA43F1">
          <w:rPr>
            <w:rStyle w:val="Kpr"/>
            <w:rFonts w:ascii="Palatino Linotype" w:eastAsiaTheme="majorEastAsia" w:hAnsi="Palatino Linotype" w:cs="Calibri"/>
            <w:i w:val="0"/>
            <w:iCs w:val="0"/>
            <w:noProof/>
          </w:rPr>
          <w:t>ğ</w:t>
        </w:r>
        <w:r w:rsidRPr="00BA43F1">
          <w:rPr>
            <w:rStyle w:val="Kpr"/>
            <w:rFonts w:ascii="Palatino Linotype" w:eastAsiaTheme="majorEastAsia" w:hAnsi="Palatino Linotype" w:cs="Segoe UI Historic"/>
            <w:i w:val="0"/>
            <w:iCs w:val="0"/>
            <w:noProof/>
          </w:rPr>
          <w:t>ü</w:t>
        </w:r>
        <w:r w:rsidRPr="00BA43F1">
          <w:rPr>
            <w:rStyle w:val="Kpr"/>
            <w:rFonts w:ascii="Palatino Linotype" w:eastAsiaTheme="majorEastAsia" w:hAnsi="Palatino Linotype"/>
            <w:i w:val="0"/>
            <w:iCs w:val="0"/>
            <w:noProof/>
          </w:rPr>
          <w:t>n</w:t>
        </w:r>
        <w:r w:rsidRPr="00BA43F1">
          <w:rPr>
            <w:rStyle w:val="Kpr"/>
            <w:rFonts w:ascii="Palatino Linotype" w:eastAsiaTheme="majorEastAsia" w:hAnsi="Palatino Linotype" w:cs="Segoe UI Historic"/>
            <w:i w:val="0"/>
            <w:iCs w:val="0"/>
            <w:noProof/>
          </w:rPr>
          <w:t>ü</w:t>
        </w:r>
        <w:r w:rsidRPr="00BA43F1">
          <w:rPr>
            <w:rStyle w:val="Kpr"/>
            <w:rFonts w:ascii="Palatino Linotype" w:eastAsiaTheme="majorEastAsia" w:hAnsi="Palatino Linotype"/>
            <w:i w:val="0"/>
            <w:iCs w:val="0"/>
            <w:noProof/>
          </w:rPr>
          <w:t>n Sa</w:t>
        </w:r>
        <w:r w:rsidRPr="00BA43F1">
          <w:rPr>
            <w:rStyle w:val="Kpr"/>
            <w:rFonts w:ascii="Palatino Linotype" w:eastAsiaTheme="majorEastAsia" w:hAnsi="Palatino Linotype" w:cs="Calibri"/>
            <w:i w:val="0"/>
            <w:iCs w:val="0"/>
            <w:noProof/>
          </w:rPr>
          <w:t>ğ</w:t>
        </w:r>
        <w:r w:rsidRPr="00BA43F1">
          <w:rPr>
            <w:rStyle w:val="Kpr"/>
            <w:rFonts w:ascii="Palatino Linotype" w:eastAsiaTheme="majorEastAsia" w:hAnsi="Palatino Linotype"/>
            <w:i w:val="0"/>
            <w:iCs w:val="0"/>
            <w:noProof/>
          </w:rPr>
          <w:t>lanmas</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na Y</w:t>
        </w:r>
        <w:r w:rsidRPr="00BA43F1">
          <w:rPr>
            <w:rStyle w:val="Kpr"/>
            <w:rFonts w:ascii="Palatino Linotype" w:eastAsiaTheme="majorEastAsia" w:hAnsi="Palatino Linotype" w:cs="Segoe UI Historic"/>
            <w:i w:val="0"/>
            <w:iCs w:val="0"/>
            <w:noProof/>
          </w:rPr>
          <w:t>ö</w:t>
        </w:r>
        <w:r w:rsidRPr="00BA43F1">
          <w:rPr>
            <w:rStyle w:val="Kpr"/>
            <w:rFonts w:ascii="Palatino Linotype" w:eastAsiaTheme="majorEastAsia" w:hAnsi="Palatino Linotype"/>
            <w:i w:val="0"/>
            <w:iCs w:val="0"/>
            <w:noProof/>
          </w:rPr>
          <w:t>nelik Al</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nmas</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 xml:space="preserve"> Gereken Tedbirler A</w:t>
        </w:r>
        <w:r w:rsidRPr="00BA43F1">
          <w:rPr>
            <w:rStyle w:val="Kpr"/>
            <w:rFonts w:ascii="Palatino Linotype" w:eastAsiaTheme="majorEastAsia" w:hAnsi="Palatino Linotype" w:cs="Segoe UI Historic"/>
            <w:i w:val="0"/>
            <w:iCs w:val="0"/>
            <w:noProof/>
          </w:rPr>
          <w:t>çı</w:t>
        </w:r>
        <w:r w:rsidRPr="00BA43F1">
          <w:rPr>
            <w:rStyle w:val="Kpr"/>
            <w:rFonts w:ascii="Palatino Linotype" w:eastAsiaTheme="majorEastAsia" w:hAnsi="Palatino Linotype"/>
            <w:i w:val="0"/>
            <w:iCs w:val="0"/>
            <w:noProof/>
          </w:rPr>
          <w:t>s</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ndan</w:t>
        </w:r>
        <w:r w:rsidRPr="00BA43F1">
          <w:rPr>
            <w:rFonts w:ascii="Palatino Linotype" w:hAnsi="Palatino Linotype"/>
            <w:i w:val="0"/>
            <w:iCs w:val="0"/>
            <w:noProof/>
            <w:webHidden/>
          </w:rPr>
          <w:tab/>
        </w:r>
        <w:r w:rsidRPr="00BA43F1">
          <w:rPr>
            <w:rFonts w:ascii="Palatino Linotype" w:hAnsi="Palatino Linotype"/>
            <w:i w:val="0"/>
            <w:iCs w:val="0"/>
            <w:noProof/>
            <w:webHidden/>
          </w:rPr>
          <w:fldChar w:fldCharType="begin"/>
        </w:r>
        <w:r w:rsidRPr="00BA43F1">
          <w:rPr>
            <w:rFonts w:ascii="Palatino Linotype" w:hAnsi="Palatino Linotype"/>
            <w:i w:val="0"/>
            <w:iCs w:val="0"/>
            <w:noProof/>
            <w:webHidden/>
          </w:rPr>
          <w:instrText xml:space="preserve"> PAGEREF _Toc153309437 \h </w:instrText>
        </w:r>
        <w:r w:rsidRPr="00BA43F1">
          <w:rPr>
            <w:rFonts w:ascii="Palatino Linotype" w:hAnsi="Palatino Linotype"/>
            <w:i w:val="0"/>
            <w:iCs w:val="0"/>
            <w:noProof/>
            <w:webHidden/>
          </w:rPr>
        </w:r>
        <w:r w:rsidRPr="00BA43F1">
          <w:rPr>
            <w:rFonts w:ascii="Palatino Linotype" w:hAnsi="Palatino Linotype"/>
            <w:i w:val="0"/>
            <w:iCs w:val="0"/>
            <w:noProof/>
            <w:webHidden/>
          </w:rPr>
          <w:fldChar w:fldCharType="separate"/>
        </w:r>
        <w:r w:rsidRPr="00BA43F1">
          <w:rPr>
            <w:rFonts w:ascii="Palatino Linotype" w:hAnsi="Palatino Linotype"/>
            <w:i w:val="0"/>
            <w:iCs w:val="0"/>
            <w:noProof/>
            <w:webHidden/>
          </w:rPr>
          <w:t>3</w:t>
        </w:r>
        <w:r w:rsidRPr="00BA43F1">
          <w:rPr>
            <w:rFonts w:ascii="Palatino Linotype" w:hAnsi="Palatino Linotype"/>
            <w:i w:val="0"/>
            <w:iCs w:val="0"/>
            <w:noProof/>
            <w:webHidden/>
          </w:rPr>
          <w:fldChar w:fldCharType="end"/>
        </w:r>
      </w:hyperlink>
    </w:p>
    <w:p w14:paraId="089544BD" w14:textId="74BE54D2" w:rsidR="00BA43F1" w:rsidRPr="00BA43F1" w:rsidRDefault="00BA43F1" w:rsidP="00BA43F1">
      <w:pPr>
        <w:pStyle w:val="T1"/>
        <w:tabs>
          <w:tab w:val="left" w:pos="1100"/>
          <w:tab w:val="right" w:leader="underscore" w:pos="9061"/>
        </w:tabs>
        <w:ind w:left="709" w:hanging="142"/>
        <w:rPr>
          <w:rFonts w:ascii="Palatino Linotype" w:eastAsiaTheme="minorEastAsia" w:hAnsi="Palatino Linotype" w:cstheme="minorBidi"/>
          <w:b w:val="0"/>
          <w:bCs w:val="0"/>
          <w:i w:val="0"/>
          <w:iCs w:val="0"/>
          <w:noProof/>
        </w:rPr>
      </w:pPr>
      <w:hyperlink w:anchor="_Toc153309438" w:history="1">
        <w:r w:rsidRPr="00BA43F1">
          <w:rPr>
            <w:rStyle w:val="Kpr"/>
            <w:rFonts w:ascii="Palatino Linotype" w:eastAsiaTheme="majorEastAsia" w:hAnsi="Palatino Linotype"/>
            <w:i w:val="0"/>
            <w:iCs w:val="0"/>
            <w:noProof/>
          </w:rPr>
          <w:t>D.</w:t>
        </w:r>
        <w:r w:rsidRPr="00BA43F1">
          <w:rPr>
            <w:rFonts w:ascii="Palatino Linotype" w:eastAsiaTheme="minorEastAsia" w:hAnsi="Palatino Linotype" w:cstheme="minorBidi"/>
            <w:b w:val="0"/>
            <w:bCs w:val="0"/>
            <w:i w:val="0"/>
            <w:iCs w:val="0"/>
            <w:noProof/>
          </w:rPr>
          <w:tab/>
        </w:r>
        <w:r w:rsidRPr="00BA43F1">
          <w:rPr>
            <w:rStyle w:val="Kpr"/>
            <w:rFonts w:ascii="Palatino Linotype" w:eastAsiaTheme="majorEastAsia" w:hAnsi="Palatino Linotype"/>
            <w:i w:val="0"/>
            <w:iCs w:val="0"/>
            <w:noProof/>
          </w:rPr>
          <w:t>Bylock Verileri Üzerinde Bilirki</w:t>
        </w:r>
        <w:r w:rsidRPr="00BA43F1">
          <w:rPr>
            <w:rStyle w:val="Kpr"/>
            <w:rFonts w:ascii="Palatino Linotype" w:eastAsiaTheme="majorEastAsia" w:hAnsi="Palatino Linotype" w:cs="Calibri"/>
            <w:i w:val="0"/>
            <w:iCs w:val="0"/>
            <w:noProof/>
          </w:rPr>
          <w:t>ş</w:t>
        </w:r>
        <w:r w:rsidRPr="00BA43F1">
          <w:rPr>
            <w:rStyle w:val="Kpr"/>
            <w:rFonts w:ascii="Palatino Linotype" w:eastAsiaTheme="majorEastAsia" w:hAnsi="Palatino Linotype"/>
            <w:i w:val="0"/>
            <w:iCs w:val="0"/>
            <w:noProof/>
          </w:rPr>
          <w:t xml:space="preserve">i </w:t>
        </w:r>
        <w:r w:rsidRPr="00BA43F1">
          <w:rPr>
            <w:rStyle w:val="Kpr"/>
            <w:rFonts w:ascii="Palatino Linotype" w:eastAsiaTheme="majorEastAsia" w:hAnsi="Palatino Linotype" w:cs="Calibri"/>
            <w:i w:val="0"/>
            <w:iCs w:val="0"/>
            <w:noProof/>
          </w:rPr>
          <w:t>İ</w:t>
        </w:r>
        <w:r w:rsidRPr="00BA43F1">
          <w:rPr>
            <w:rStyle w:val="Kpr"/>
            <w:rFonts w:ascii="Palatino Linotype" w:eastAsiaTheme="majorEastAsia" w:hAnsi="Palatino Linotype"/>
            <w:i w:val="0"/>
            <w:iCs w:val="0"/>
            <w:noProof/>
          </w:rPr>
          <w:t>ncelmesi Yapt</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r</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lmas</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 xml:space="preserve"> Gereklili</w:t>
        </w:r>
        <w:r w:rsidRPr="00BA43F1">
          <w:rPr>
            <w:rStyle w:val="Kpr"/>
            <w:rFonts w:ascii="Palatino Linotype" w:eastAsiaTheme="majorEastAsia" w:hAnsi="Palatino Linotype" w:cs="Calibri"/>
            <w:i w:val="0"/>
            <w:iCs w:val="0"/>
            <w:noProof/>
          </w:rPr>
          <w:t>ğ</w:t>
        </w:r>
        <w:r w:rsidRPr="00BA43F1">
          <w:rPr>
            <w:rStyle w:val="Kpr"/>
            <w:rFonts w:ascii="Palatino Linotype" w:eastAsiaTheme="majorEastAsia" w:hAnsi="Palatino Linotype"/>
            <w:i w:val="0"/>
            <w:iCs w:val="0"/>
            <w:noProof/>
          </w:rPr>
          <w:t xml:space="preserve">iyle </w:t>
        </w:r>
        <w:r w:rsidRPr="00BA43F1">
          <w:rPr>
            <w:rStyle w:val="Kpr"/>
            <w:rFonts w:ascii="Palatino Linotype" w:eastAsiaTheme="majorEastAsia" w:hAnsi="Palatino Linotype" w:cs="Calibri"/>
            <w:i w:val="0"/>
            <w:iCs w:val="0"/>
            <w:noProof/>
          </w:rPr>
          <w:t>İ</w:t>
        </w:r>
        <w:r w:rsidRPr="00BA43F1">
          <w:rPr>
            <w:rStyle w:val="Kpr"/>
            <w:rFonts w:ascii="Palatino Linotype" w:eastAsiaTheme="majorEastAsia" w:hAnsi="Palatino Linotype"/>
            <w:i w:val="0"/>
            <w:iCs w:val="0"/>
            <w:noProof/>
          </w:rPr>
          <w:t>lgili A</w:t>
        </w:r>
        <w:r w:rsidRPr="00BA43F1">
          <w:rPr>
            <w:rStyle w:val="Kpr"/>
            <w:rFonts w:ascii="Palatino Linotype" w:eastAsiaTheme="majorEastAsia" w:hAnsi="Palatino Linotype" w:cs="Calibri"/>
            <w:i w:val="0"/>
            <w:iCs w:val="0"/>
            <w:noProof/>
          </w:rPr>
          <w:t>İ</w:t>
        </w:r>
        <w:r w:rsidRPr="00BA43F1">
          <w:rPr>
            <w:rStyle w:val="Kpr"/>
            <w:rFonts w:ascii="Palatino Linotype" w:eastAsiaTheme="majorEastAsia" w:hAnsi="Palatino Linotype"/>
            <w:i w:val="0"/>
            <w:iCs w:val="0"/>
            <w:noProof/>
          </w:rPr>
          <w:t>HM</w:t>
        </w:r>
        <w:r w:rsidRPr="00BA43F1">
          <w:rPr>
            <w:rStyle w:val="Kpr"/>
            <w:rFonts w:ascii="Palatino Linotype" w:eastAsiaTheme="majorEastAsia" w:hAnsi="Palatino Linotype" w:cs="Segoe UI Historic"/>
            <w:i w:val="0"/>
            <w:iCs w:val="0"/>
            <w:noProof/>
          </w:rPr>
          <w:t>’</w:t>
        </w:r>
        <w:r w:rsidRPr="00BA43F1">
          <w:rPr>
            <w:rStyle w:val="Kpr"/>
            <w:rFonts w:ascii="Palatino Linotype" w:eastAsiaTheme="majorEastAsia" w:hAnsi="Palatino Linotype"/>
            <w:i w:val="0"/>
            <w:iCs w:val="0"/>
            <w:noProof/>
          </w:rPr>
          <w:t xml:space="preserve">in Tespitleriyle </w:t>
        </w:r>
        <w:r w:rsidRPr="00BA43F1">
          <w:rPr>
            <w:rStyle w:val="Kpr"/>
            <w:rFonts w:ascii="Palatino Linotype" w:eastAsiaTheme="majorEastAsia" w:hAnsi="Palatino Linotype" w:cs="Calibri"/>
            <w:i w:val="0"/>
            <w:iCs w:val="0"/>
            <w:noProof/>
          </w:rPr>
          <w:t>İ</w:t>
        </w:r>
        <w:r w:rsidRPr="00BA43F1">
          <w:rPr>
            <w:rStyle w:val="Kpr"/>
            <w:rFonts w:ascii="Palatino Linotype" w:eastAsiaTheme="majorEastAsia" w:hAnsi="Palatino Linotype"/>
            <w:i w:val="0"/>
            <w:iCs w:val="0"/>
            <w:noProof/>
          </w:rPr>
          <w:t>lgili Olarak</w:t>
        </w:r>
        <w:r w:rsidRPr="00BA43F1">
          <w:rPr>
            <w:rFonts w:ascii="Palatino Linotype" w:hAnsi="Palatino Linotype"/>
            <w:i w:val="0"/>
            <w:iCs w:val="0"/>
            <w:noProof/>
            <w:webHidden/>
          </w:rPr>
          <w:tab/>
        </w:r>
        <w:r w:rsidRPr="00BA43F1">
          <w:rPr>
            <w:rFonts w:ascii="Palatino Linotype" w:hAnsi="Palatino Linotype"/>
            <w:i w:val="0"/>
            <w:iCs w:val="0"/>
            <w:noProof/>
            <w:webHidden/>
          </w:rPr>
          <w:fldChar w:fldCharType="begin"/>
        </w:r>
        <w:r w:rsidRPr="00BA43F1">
          <w:rPr>
            <w:rFonts w:ascii="Palatino Linotype" w:hAnsi="Palatino Linotype"/>
            <w:i w:val="0"/>
            <w:iCs w:val="0"/>
            <w:noProof/>
            <w:webHidden/>
          </w:rPr>
          <w:instrText xml:space="preserve"> PAGEREF _Toc153309438 \h </w:instrText>
        </w:r>
        <w:r w:rsidRPr="00BA43F1">
          <w:rPr>
            <w:rFonts w:ascii="Palatino Linotype" w:hAnsi="Palatino Linotype"/>
            <w:i w:val="0"/>
            <w:iCs w:val="0"/>
            <w:noProof/>
            <w:webHidden/>
          </w:rPr>
        </w:r>
        <w:r w:rsidRPr="00BA43F1">
          <w:rPr>
            <w:rFonts w:ascii="Palatino Linotype" w:hAnsi="Palatino Linotype"/>
            <w:i w:val="0"/>
            <w:iCs w:val="0"/>
            <w:noProof/>
            <w:webHidden/>
          </w:rPr>
          <w:fldChar w:fldCharType="separate"/>
        </w:r>
        <w:r w:rsidRPr="00BA43F1">
          <w:rPr>
            <w:rFonts w:ascii="Palatino Linotype" w:hAnsi="Palatino Linotype"/>
            <w:i w:val="0"/>
            <w:iCs w:val="0"/>
            <w:noProof/>
            <w:webHidden/>
          </w:rPr>
          <w:t>8</w:t>
        </w:r>
        <w:r w:rsidRPr="00BA43F1">
          <w:rPr>
            <w:rFonts w:ascii="Palatino Linotype" w:hAnsi="Palatino Linotype"/>
            <w:i w:val="0"/>
            <w:iCs w:val="0"/>
            <w:noProof/>
            <w:webHidden/>
          </w:rPr>
          <w:fldChar w:fldCharType="end"/>
        </w:r>
      </w:hyperlink>
    </w:p>
    <w:p w14:paraId="617AC7FF" w14:textId="7C3857A7" w:rsidR="00BA43F1" w:rsidRPr="00BA43F1" w:rsidRDefault="00BA43F1" w:rsidP="00BA43F1">
      <w:pPr>
        <w:pStyle w:val="T1"/>
        <w:tabs>
          <w:tab w:val="left" w:pos="1100"/>
          <w:tab w:val="right" w:leader="underscore" w:pos="9061"/>
        </w:tabs>
        <w:ind w:left="709" w:hanging="142"/>
        <w:rPr>
          <w:rFonts w:ascii="Palatino Linotype" w:eastAsiaTheme="minorEastAsia" w:hAnsi="Palatino Linotype" w:cstheme="minorBidi"/>
          <w:b w:val="0"/>
          <w:bCs w:val="0"/>
          <w:i w:val="0"/>
          <w:iCs w:val="0"/>
          <w:noProof/>
        </w:rPr>
      </w:pPr>
      <w:hyperlink w:anchor="_Toc153309439" w:history="1">
        <w:r w:rsidRPr="00BA43F1">
          <w:rPr>
            <w:rStyle w:val="Kpr"/>
            <w:rFonts w:ascii="Palatino Linotype" w:eastAsiaTheme="majorEastAsia" w:hAnsi="Palatino Linotype"/>
            <w:i w:val="0"/>
            <w:iCs w:val="0"/>
            <w:noProof/>
          </w:rPr>
          <w:t>E.</w:t>
        </w:r>
        <w:r w:rsidRPr="00BA43F1">
          <w:rPr>
            <w:rFonts w:ascii="Palatino Linotype" w:eastAsiaTheme="minorEastAsia" w:hAnsi="Palatino Linotype" w:cstheme="minorBidi"/>
            <w:b w:val="0"/>
            <w:bCs w:val="0"/>
            <w:i w:val="0"/>
            <w:iCs w:val="0"/>
            <w:noProof/>
          </w:rPr>
          <w:tab/>
        </w:r>
        <w:r w:rsidRPr="00BA43F1">
          <w:rPr>
            <w:rStyle w:val="Kpr"/>
            <w:rFonts w:ascii="Palatino Linotype" w:eastAsiaTheme="majorEastAsia" w:hAnsi="Palatino Linotype"/>
            <w:i w:val="0"/>
            <w:iCs w:val="0"/>
            <w:noProof/>
          </w:rPr>
          <w:t>Bylock’un Münhasır Bir Uygulama Oldu</w:t>
        </w:r>
        <w:r w:rsidRPr="00BA43F1">
          <w:rPr>
            <w:rStyle w:val="Kpr"/>
            <w:rFonts w:ascii="Palatino Linotype" w:eastAsiaTheme="majorEastAsia" w:hAnsi="Palatino Linotype" w:cs="Calibri"/>
            <w:i w:val="0"/>
            <w:iCs w:val="0"/>
            <w:noProof/>
          </w:rPr>
          <w:t>ğ</w:t>
        </w:r>
        <w:r w:rsidRPr="00BA43F1">
          <w:rPr>
            <w:rStyle w:val="Kpr"/>
            <w:rFonts w:ascii="Palatino Linotype" w:eastAsiaTheme="majorEastAsia" w:hAnsi="Palatino Linotype"/>
            <w:i w:val="0"/>
            <w:iCs w:val="0"/>
            <w:noProof/>
          </w:rPr>
          <w:t xml:space="preserve">u </w:t>
        </w:r>
        <w:r w:rsidRPr="00BA43F1">
          <w:rPr>
            <w:rStyle w:val="Kpr"/>
            <w:rFonts w:ascii="Palatino Linotype" w:eastAsiaTheme="majorEastAsia" w:hAnsi="Palatino Linotype" w:cs="Calibri"/>
            <w:i w:val="0"/>
            <w:iCs w:val="0"/>
            <w:noProof/>
          </w:rPr>
          <w:t>İ</w:t>
        </w:r>
        <w:r w:rsidRPr="00BA43F1">
          <w:rPr>
            <w:rStyle w:val="Kpr"/>
            <w:rFonts w:ascii="Palatino Linotype" w:eastAsiaTheme="majorEastAsia" w:hAnsi="Palatino Linotype"/>
            <w:i w:val="0"/>
            <w:iCs w:val="0"/>
            <w:noProof/>
          </w:rPr>
          <w:t>ddias</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 xml:space="preserve">na </w:t>
        </w:r>
        <w:r w:rsidRPr="00BA43F1">
          <w:rPr>
            <w:rStyle w:val="Kpr"/>
            <w:rFonts w:ascii="Palatino Linotype" w:eastAsiaTheme="majorEastAsia" w:hAnsi="Palatino Linotype" w:cs="Calibri"/>
            <w:i w:val="0"/>
            <w:iCs w:val="0"/>
            <w:noProof/>
          </w:rPr>
          <w:t>İ</w:t>
        </w:r>
        <w:r w:rsidRPr="00BA43F1">
          <w:rPr>
            <w:rStyle w:val="Kpr"/>
            <w:rFonts w:ascii="Palatino Linotype" w:eastAsiaTheme="majorEastAsia" w:hAnsi="Palatino Linotype"/>
            <w:i w:val="0"/>
            <w:iCs w:val="0"/>
            <w:noProof/>
          </w:rPr>
          <w:t>li</w:t>
        </w:r>
        <w:r w:rsidRPr="00BA43F1">
          <w:rPr>
            <w:rStyle w:val="Kpr"/>
            <w:rFonts w:ascii="Palatino Linotype" w:eastAsiaTheme="majorEastAsia" w:hAnsi="Palatino Linotype" w:cs="Calibri"/>
            <w:i w:val="0"/>
            <w:iCs w:val="0"/>
            <w:noProof/>
          </w:rPr>
          <w:t>ş</w:t>
        </w:r>
        <w:r w:rsidRPr="00BA43F1">
          <w:rPr>
            <w:rStyle w:val="Kpr"/>
            <w:rFonts w:ascii="Palatino Linotype" w:eastAsiaTheme="majorEastAsia" w:hAnsi="Palatino Linotype"/>
            <w:i w:val="0"/>
            <w:iCs w:val="0"/>
            <w:noProof/>
          </w:rPr>
          <w:t>kin Olarak</w:t>
        </w:r>
        <w:r w:rsidRPr="00BA43F1">
          <w:rPr>
            <w:rFonts w:ascii="Palatino Linotype" w:hAnsi="Palatino Linotype"/>
            <w:i w:val="0"/>
            <w:iCs w:val="0"/>
            <w:noProof/>
            <w:webHidden/>
          </w:rPr>
          <w:tab/>
        </w:r>
        <w:r w:rsidRPr="00BA43F1">
          <w:rPr>
            <w:rFonts w:ascii="Palatino Linotype" w:hAnsi="Palatino Linotype"/>
            <w:i w:val="0"/>
            <w:iCs w:val="0"/>
            <w:noProof/>
            <w:webHidden/>
          </w:rPr>
          <w:fldChar w:fldCharType="begin"/>
        </w:r>
        <w:r w:rsidRPr="00BA43F1">
          <w:rPr>
            <w:rFonts w:ascii="Palatino Linotype" w:hAnsi="Palatino Linotype"/>
            <w:i w:val="0"/>
            <w:iCs w:val="0"/>
            <w:noProof/>
            <w:webHidden/>
          </w:rPr>
          <w:instrText xml:space="preserve"> PAGEREF _Toc153309439 \h </w:instrText>
        </w:r>
        <w:r w:rsidRPr="00BA43F1">
          <w:rPr>
            <w:rFonts w:ascii="Palatino Linotype" w:hAnsi="Palatino Linotype"/>
            <w:i w:val="0"/>
            <w:iCs w:val="0"/>
            <w:noProof/>
            <w:webHidden/>
          </w:rPr>
        </w:r>
        <w:r w:rsidRPr="00BA43F1">
          <w:rPr>
            <w:rFonts w:ascii="Palatino Linotype" w:hAnsi="Palatino Linotype"/>
            <w:i w:val="0"/>
            <w:iCs w:val="0"/>
            <w:noProof/>
            <w:webHidden/>
          </w:rPr>
          <w:fldChar w:fldCharType="separate"/>
        </w:r>
        <w:r w:rsidRPr="00BA43F1">
          <w:rPr>
            <w:rFonts w:ascii="Palatino Linotype" w:hAnsi="Palatino Linotype"/>
            <w:i w:val="0"/>
            <w:iCs w:val="0"/>
            <w:noProof/>
            <w:webHidden/>
          </w:rPr>
          <w:t>10</w:t>
        </w:r>
        <w:r w:rsidRPr="00BA43F1">
          <w:rPr>
            <w:rFonts w:ascii="Palatino Linotype" w:hAnsi="Palatino Linotype"/>
            <w:i w:val="0"/>
            <w:iCs w:val="0"/>
            <w:noProof/>
            <w:webHidden/>
          </w:rPr>
          <w:fldChar w:fldCharType="end"/>
        </w:r>
      </w:hyperlink>
    </w:p>
    <w:p w14:paraId="3E576A76" w14:textId="512EE12A" w:rsidR="00BA43F1" w:rsidRPr="00BA43F1" w:rsidRDefault="00BA43F1" w:rsidP="00BA43F1">
      <w:pPr>
        <w:pStyle w:val="T1"/>
        <w:tabs>
          <w:tab w:val="left" w:pos="1100"/>
          <w:tab w:val="right" w:leader="underscore" w:pos="9061"/>
        </w:tabs>
        <w:ind w:left="709" w:hanging="142"/>
        <w:rPr>
          <w:rFonts w:ascii="Palatino Linotype" w:eastAsiaTheme="minorEastAsia" w:hAnsi="Palatino Linotype" w:cstheme="minorBidi"/>
          <w:b w:val="0"/>
          <w:bCs w:val="0"/>
          <w:i w:val="0"/>
          <w:iCs w:val="0"/>
          <w:noProof/>
        </w:rPr>
      </w:pPr>
      <w:hyperlink w:anchor="_Toc153309440" w:history="1">
        <w:r w:rsidRPr="00BA43F1">
          <w:rPr>
            <w:rStyle w:val="Kpr"/>
            <w:rFonts w:ascii="Palatino Linotype" w:eastAsiaTheme="majorEastAsia" w:hAnsi="Palatino Linotype"/>
            <w:i w:val="0"/>
            <w:iCs w:val="0"/>
            <w:noProof/>
          </w:rPr>
          <w:t>F.</w:t>
        </w:r>
        <w:r w:rsidRPr="00BA43F1">
          <w:rPr>
            <w:rFonts w:ascii="Palatino Linotype" w:eastAsiaTheme="minorEastAsia" w:hAnsi="Palatino Linotype" w:cstheme="minorBidi"/>
            <w:b w:val="0"/>
            <w:bCs w:val="0"/>
            <w:i w:val="0"/>
            <w:iCs w:val="0"/>
            <w:noProof/>
          </w:rPr>
          <w:tab/>
        </w:r>
        <w:r w:rsidRPr="00BA43F1">
          <w:rPr>
            <w:rStyle w:val="Kpr"/>
            <w:rFonts w:ascii="Palatino Linotype" w:eastAsiaTheme="majorEastAsia" w:hAnsi="Palatino Linotype"/>
            <w:i w:val="0"/>
            <w:iCs w:val="0"/>
            <w:noProof/>
          </w:rPr>
          <w:t>M</w:t>
        </w:r>
        <w:r w:rsidRPr="00BA43F1">
          <w:rPr>
            <w:rStyle w:val="Kpr"/>
            <w:rFonts w:ascii="Palatino Linotype" w:eastAsiaTheme="majorEastAsia" w:hAnsi="Palatino Linotype" w:cs="Calibri"/>
            <w:i w:val="0"/>
            <w:iCs w:val="0"/>
            <w:noProof/>
          </w:rPr>
          <w:t>İ</w:t>
        </w:r>
        <w:r w:rsidRPr="00BA43F1">
          <w:rPr>
            <w:rStyle w:val="Kpr"/>
            <w:rFonts w:ascii="Palatino Linotype" w:eastAsiaTheme="majorEastAsia" w:hAnsi="Palatino Linotype"/>
            <w:i w:val="0"/>
            <w:iCs w:val="0"/>
            <w:noProof/>
          </w:rPr>
          <w:t>T</w:t>
        </w:r>
        <w:r w:rsidRPr="00BA43F1">
          <w:rPr>
            <w:rStyle w:val="Kpr"/>
            <w:rFonts w:ascii="Palatino Linotype" w:eastAsiaTheme="majorEastAsia" w:hAnsi="Palatino Linotype" w:cs="Segoe UI Historic"/>
            <w:i w:val="0"/>
            <w:iCs w:val="0"/>
            <w:noProof/>
          </w:rPr>
          <w:t>’</w:t>
        </w:r>
        <w:r w:rsidRPr="00BA43F1">
          <w:rPr>
            <w:rStyle w:val="Kpr"/>
            <w:rFonts w:ascii="Palatino Linotype" w:eastAsiaTheme="majorEastAsia" w:hAnsi="Palatino Linotype"/>
            <w:i w:val="0"/>
            <w:iCs w:val="0"/>
            <w:noProof/>
          </w:rPr>
          <w:t>in Haz</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rlad</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cs="Calibri"/>
            <w:i w:val="0"/>
            <w:iCs w:val="0"/>
            <w:noProof/>
          </w:rPr>
          <w:t>ğ</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 xml:space="preserve"> Teknik Raporda Bylock Sunucusunun Litvanya</w:t>
        </w:r>
        <w:r w:rsidRPr="00BA43F1">
          <w:rPr>
            <w:rStyle w:val="Kpr"/>
            <w:rFonts w:ascii="Palatino Linotype" w:eastAsiaTheme="majorEastAsia" w:hAnsi="Palatino Linotype" w:cs="Segoe UI Historic"/>
            <w:i w:val="0"/>
            <w:iCs w:val="0"/>
            <w:noProof/>
          </w:rPr>
          <w:t>’</w:t>
        </w:r>
        <w:r w:rsidRPr="00BA43F1">
          <w:rPr>
            <w:rStyle w:val="Kpr"/>
            <w:rFonts w:ascii="Palatino Linotype" w:eastAsiaTheme="majorEastAsia" w:hAnsi="Palatino Linotype"/>
            <w:i w:val="0"/>
            <w:iCs w:val="0"/>
            <w:noProof/>
          </w:rPr>
          <w:t>da Oldu</w:t>
        </w:r>
        <w:r w:rsidRPr="00BA43F1">
          <w:rPr>
            <w:rStyle w:val="Kpr"/>
            <w:rFonts w:ascii="Palatino Linotype" w:eastAsiaTheme="majorEastAsia" w:hAnsi="Palatino Linotype" w:cs="Calibri"/>
            <w:i w:val="0"/>
            <w:iCs w:val="0"/>
            <w:noProof/>
          </w:rPr>
          <w:t>ğ</w:t>
        </w:r>
        <w:r w:rsidRPr="00BA43F1">
          <w:rPr>
            <w:rStyle w:val="Kpr"/>
            <w:rFonts w:ascii="Palatino Linotype" w:eastAsiaTheme="majorEastAsia" w:hAnsi="Palatino Linotype"/>
            <w:i w:val="0"/>
            <w:iCs w:val="0"/>
            <w:noProof/>
          </w:rPr>
          <w:t xml:space="preserve">unun Belirtilmesine </w:t>
        </w:r>
        <w:r w:rsidRPr="00BA43F1">
          <w:rPr>
            <w:rStyle w:val="Kpr"/>
            <w:rFonts w:ascii="Palatino Linotype" w:eastAsiaTheme="majorEastAsia" w:hAnsi="Palatino Linotype" w:cs="Calibri"/>
            <w:i w:val="0"/>
            <w:iCs w:val="0"/>
            <w:noProof/>
          </w:rPr>
          <w:t>İ</w:t>
        </w:r>
        <w:r w:rsidRPr="00BA43F1">
          <w:rPr>
            <w:rStyle w:val="Kpr"/>
            <w:rFonts w:ascii="Palatino Linotype" w:eastAsiaTheme="majorEastAsia" w:hAnsi="Palatino Linotype"/>
            <w:i w:val="0"/>
            <w:iCs w:val="0"/>
            <w:noProof/>
          </w:rPr>
          <w:t>li</w:t>
        </w:r>
        <w:r w:rsidRPr="00BA43F1">
          <w:rPr>
            <w:rStyle w:val="Kpr"/>
            <w:rFonts w:ascii="Palatino Linotype" w:eastAsiaTheme="majorEastAsia" w:hAnsi="Palatino Linotype" w:cs="Calibri"/>
            <w:i w:val="0"/>
            <w:iCs w:val="0"/>
            <w:noProof/>
          </w:rPr>
          <w:t>ş</w:t>
        </w:r>
        <w:r w:rsidRPr="00BA43F1">
          <w:rPr>
            <w:rStyle w:val="Kpr"/>
            <w:rFonts w:ascii="Palatino Linotype" w:eastAsiaTheme="majorEastAsia" w:hAnsi="Palatino Linotype"/>
            <w:i w:val="0"/>
            <w:iCs w:val="0"/>
            <w:noProof/>
          </w:rPr>
          <w:t>kin Olarak</w:t>
        </w:r>
        <w:r w:rsidRPr="00BA43F1">
          <w:rPr>
            <w:rFonts w:ascii="Palatino Linotype" w:hAnsi="Palatino Linotype"/>
            <w:i w:val="0"/>
            <w:iCs w:val="0"/>
            <w:noProof/>
            <w:webHidden/>
          </w:rPr>
          <w:tab/>
        </w:r>
        <w:r w:rsidRPr="00BA43F1">
          <w:rPr>
            <w:rFonts w:ascii="Palatino Linotype" w:hAnsi="Palatino Linotype"/>
            <w:i w:val="0"/>
            <w:iCs w:val="0"/>
            <w:noProof/>
            <w:webHidden/>
          </w:rPr>
          <w:fldChar w:fldCharType="begin"/>
        </w:r>
        <w:r w:rsidRPr="00BA43F1">
          <w:rPr>
            <w:rFonts w:ascii="Palatino Linotype" w:hAnsi="Palatino Linotype"/>
            <w:i w:val="0"/>
            <w:iCs w:val="0"/>
            <w:noProof/>
            <w:webHidden/>
          </w:rPr>
          <w:instrText xml:space="preserve"> PAGEREF _Toc153309440 \h </w:instrText>
        </w:r>
        <w:r w:rsidRPr="00BA43F1">
          <w:rPr>
            <w:rFonts w:ascii="Palatino Linotype" w:hAnsi="Palatino Linotype"/>
            <w:i w:val="0"/>
            <w:iCs w:val="0"/>
            <w:noProof/>
            <w:webHidden/>
          </w:rPr>
        </w:r>
        <w:r w:rsidRPr="00BA43F1">
          <w:rPr>
            <w:rFonts w:ascii="Palatino Linotype" w:hAnsi="Palatino Linotype"/>
            <w:i w:val="0"/>
            <w:iCs w:val="0"/>
            <w:noProof/>
            <w:webHidden/>
          </w:rPr>
          <w:fldChar w:fldCharType="separate"/>
        </w:r>
        <w:r w:rsidRPr="00BA43F1">
          <w:rPr>
            <w:rFonts w:ascii="Palatino Linotype" w:hAnsi="Palatino Linotype"/>
            <w:i w:val="0"/>
            <w:iCs w:val="0"/>
            <w:noProof/>
            <w:webHidden/>
          </w:rPr>
          <w:t>11</w:t>
        </w:r>
        <w:r w:rsidRPr="00BA43F1">
          <w:rPr>
            <w:rFonts w:ascii="Palatino Linotype" w:hAnsi="Palatino Linotype"/>
            <w:i w:val="0"/>
            <w:iCs w:val="0"/>
            <w:noProof/>
            <w:webHidden/>
          </w:rPr>
          <w:fldChar w:fldCharType="end"/>
        </w:r>
      </w:hyperlink>
    </w:p>
    <w:p w14:paraId="3A9C0F21" w14:textId="2B0BBE16" w:rsidR="00BA43F1" w:rsidRPr="00BA43F1" w:rsidRDefault="00BA43F1" w:rsidP="00BA43F1">
      <w:pPr>
        <w:pStyle w:val="T1"/>
        <w:tabs>
          <w:tab w:val="left" w:pos="1100"/>
          <w:tab w:val="right" w:leader="underscore" w:pos="9061"/>
        </w:tabs>
        <w:ind w:left="709" w:hanging="142"/>
        <w:rPr>
          <w:rFonts w:ascii="Palatino Linotype" w:eastAsiaTheme="minorEastAsia" w:hAnsi="Palatino Linotype" w:cstheme="minorBidi"/>
          <w:b w:val="0"/>
          <w:bCs w:val="0"/>
          <w:i w:val="0"/>
          <w:iCs w:val="0"/>
          <w:noProof/>
        </w:rPr>
      </w:pPr>
      <w:hyperlink w:anchor="_Toc153309441" w:history="1">
        <w:r w:rsidRPr="00BA43F1">
          <w:rPr>
            <w:rStyle w:val="Kpr"/>
            <w:rFonts w:ascii="Palatino Linotype" w:eastAsiaTheme="majorEastAsia" w:hAnsi="Palatino Linotype"/>
            <w:i w:val="0"/>
            <w:iCs w:val="0"/>
            <w:noProof/>
          </w:rPr>
          <w:t>G.</w:t>
        </w:r>
        <w:r w:rsidRPr="00BA43F1">
          <w:rPr>
            <w:rFonts w:ascii="Palatino Linotype" w:eastAsiaTheme="minorEastAsia" w:hAnsi="Palatino Linotype" w:cstheme="minorBidi"/>
            <w:b w:val="0"/>
            <w:bCs w:val="0"/>
            <w:i w:val="0"/>
            <w:iCs w:val="0"/>
            <w:noProof/>
          </w:rPr>
          <w:tab/>
        </w:r>
        <w:r w:rsidRPr="00BA43F1">
          <w:rPr>
            <w:rStyle w:val="Kpr"/>
            <w:rFonts w:ascii="Palatino Linotype" w:eastAsiaTheme="majorEastAsia" w:hAnsi="Palatino Linotype"/>
            <w:i w:val="0"/>
            <w:iCs w:val="0"/>
            <w:noProof/>
          </w:rPr>
          <w:t>M</w:t>
        </w:r>
        <w:r w:rsidRPr="00BA43F1">
          <w:rPr>
            <w:rStyle w:val="Kpr"/>
            <w:rFonts w:ascii="Palatino Linotype" w:eastAsiaTheme="majorEastAsia" w:hAnsi="Palatino Linotype" w:cs="Calibri"/>
            <w:i w:val="0"/>
            <w:iCs w:val="0"/>
            <w:noProof/>
          </w:rPr>
          <w:t>İ</w:t>
        </w:r>
        <w:r w:rsidRPr="00BA43F1">
          <w:rPr>
            <w:rStyle w:val="Kpr"/>
            <w:rFonts w:ascii="Palatino Linotype" w:eastAsiaTheme="majorEastAsia" w:hAnsi="Palatino Linotype"/>
            <w:i w:val="0"/>
            <w:iCs w:val="0"/>
            <w:noProof/>
          </w:rPr>
          <w:t>T</w:t>
        </w:r>
        <w:r w:rsidRPr="00BA43F1">
          <w:rPr>
            <w:rStyle w:val="Kpr"/>
            <w:rFonts w:ascii="Palatino Linotype" w:eastAsiaTheme="majorEastAsia" w:hAnsi="Palatino Linotype" w:cs="Segoe UI Historic"/>
            <w:i w:val="0"/>
            <w:iCs w:val="0"/>
            <w:noProof/>
          </w:rPr>
          <w:t>’</w:t>
        </w:r>
        <w:r w:rsidRPr="00BA43F1">
          <w:rPr>
            <w:rStyle w:val="Kpr"/>
            <w:rFonts w:ascii="Palatino Linotype" w:eastAsiaTheme="majorEastAsia" w:hAnsi="Palatino Linotype"/>
            <w:i w:val="0"/>
            <w:iCs w:val="0"/>
            <w:noProof/>
          </w:rPr>
          <w:t>in haz</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rlad</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cs="Calibri"/>
            <w:i w:val="0"/>
            <w:iCs w:val="0"/>
            <w:noProof/>
          </w:rPr>
          <w:t>ğ</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 xml:space="preserve"> Teknik Raporda Bylock</w:t>
        </w:r>
        <w:r w:rsidRPr="00BA43F1">
          <w:rPr>
            <w:rStyle w:val="Kpr"/>
            <w:rFonts w:ascii="Palatino Linotype" w:eastAsiaTheme="majorEastAsia" w:hAnsi="Palatino Linotype" w:cs="Segoe UI Historic"/>
            <w:i w:val="0"/>
            <w:iCs w:val="0"/>
            <w:noProof/>
          </w:rPr>
          <w:t>’</w:t>
        </w:r>
        <w:r w:rsidRPr="00BA43F1">
          <w:rPr>
            <w:rStyle w:val="Kpr"/>
            <w:rFonts w:ascii="Palatino Linotype" w:eastAsiaTheme="majorEastAsia" w:hAnsi="Palatino Linotype"/>
            <w:i w:val="0"/>
            <w:iCs w:val="0"/>
            <w:noProof/>
          </w:rPr>
          <w:t>un 215 Bin Kullan</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c</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s</w:t>
        </w:r>
        <w:r w:rsidRPr="00BA43F1">
          <w:rPr>
            <w:rStyle w:val="Kpr"/>
            <w:rFonts w:ascii="Palatino Linotype" w:eastAsiaTheme="majorEastAsia" w:hAnsi="Palatino Linotype" w:cs="Segoe UI Historic"/>
            <w:i w:val="0"/>
            <w:iCs w:val="0"/>
            <w:noProof/>
          </w:rPr>
          <w:t>ı</w:t>
        </w:r>
        <w:r w:rsidRPr="00BA43F1">
          <w:rPr>
            <w:rStyle w:val="Kpr"/>
            <w:rFonts w:ascii="Palatino Linotype" w:eastAsiaTheme="majorEastAsia" w:hAnsi="Palatino Linotype"/>
            <w:i w:val="0"/>
            <w:iCs w:val="0"/>
            <w:noProof/>
          </w:rPr>
          <w:t xml:space="preserve"> Oldu</w:t>
        </w:r>
        <w:r w:rsidRPr="00BA43F1">
          <w:rPr>
            <w:rStyle w:val="Kpr"/>
            <w:rFonts w:ascii="Palatino Linotype" w:eastAsiaTheme="majorEastAsia" w:hAnsi="Palatino Linotype" w:cs="Calibri"/>
            <w:i w:val="0"/>
            <w:iCs w:val="0"/>
            <w:noProof/>
          </w:rPr>
          <w:t>ğ</w:t>
        </w:r>
        <w:r w:rsidRPr="00BA43F1">
          <w:rPr>
            <w:rStyle w:val="Kpr"/>
            <w:rFonts w:ascii="Palatino Linotype" w:eastAsiaTheme="majorEastAsia" w:hAnsi="Palatino Linotype"/>
            <w:i w:val="0"/>
            <w:iCs w:val="0"/>
            <w:noProof/>
          </w:rPr>
          <w:t xml:space="preserve">unun Belirtilmesine </w:t>
        </w:r>
        <w:r w:rsidRPr="00BA43F1">
          <w:rPr>
            <w:rStyle w:val="Kpr"/>
            <w:rFonts w:ascii="Palatino Linotype" w:eastAsiaTheme="majorEastAsia" w:hAnsi="Palatino Linotype" w:cs="Calibri"/>
            <w:i w:val="0"/>
            <w:iCs w:val="0"/>
            <w:noProof/>
          </w:rPr>
          <w:t>İ</w:t>
        </w:r>
        <w:r w:rsidRPr="00BA43F1">
          <w:rPr>
            <w:rStyle w:val="Kpr"/>
            <w:rFonts w:ascii="Palatino Linotype" w:eastAsiaTheme="majorEastAsia" w:hAnsi="Palatino Linotype"/>
            <w:i w:val="0"/>
            <w:iCs w:val="0"/>
            <w:noProof/>
          </w:rPr>
          <w:t>li</w:t>
        </w:r>
        <w:r w:rsidRPr="00BA43F1">
          <w:rPr>
            <w:rStyle w:val="Kpr"/>
            <w:rFonts w:ascii="Palatino Linotype" w:eastAsiaTheme="majorEastAsia" w:hAnsi="Palatino Linotype" w:cs="Calibri"/>
            <w:i w:val="0"/>
            <w:iCs w:val="0"/>
            <w:noProof/>
          </w:rPr>
          <w:t>ş</w:t>
        </w:r>
        <w:r w:rsidRPr="00BA43F1">
          <w:rPr>
            <w:rStyle w:val="Kpr"/>
            <w:rFonts w:ascii="Palatino Linotype" w:eastAsiaTheme="majorEastAsia" w:hAnsi="Palatino Linotype"/>
            <w:i w:val="0"/>
            <w:iCs w:val="0"/>
            <w:noProof/>
          </w:rPr>
          <w:t>kin Olarak</w:t>
        </w:r>
        <w:r w:rsidRPr="00BA43F1">
          <w:rPr>
            <w:rFonts w:ascii="Palatino Linotype" w:hAnsi="Palatino Linotype"/>
            <w:i w:val="0"/>
            <w:iCs w:val="0"/>
            <w:noProof/>
            <w:webHidden/>
          </w:rPr>
          <w:tab/>
        </w:r>
        <w:r w:rsidRPr="00BA43F1">
          <w:rPr>
            <w:rFonts w:ascii="Palatino Linotype" w:hAnsi="Palatino Linotype"/>
            <w:i w:val="0"/>
            <w:iCs w:val="0"/>
            <w:noProof/>
            <w:webHidden/>
          </w:rPr>
          <w:fldChar w:fldCharType="begin"/>
        </w:r>
        <w:r w:rsidRPr="00BA43F1">
          <w:rPr>
            <w:rFonts w:ascii="Palatino Linotype" w:hAnsi="Palatino Linotype"/>
            <w:i w:val="0"/>
            <w:iCs w:val="0"/>
            <w:noProof/>
            <w:webHidden/>
          </w:rPr>
          <w:instrText xml:space="preserve"> PAGEREF _Toc153309441 \h </w:instrText>
        </w:r>
        <w:r w:rsidRPr="00BA43F1">
          <w:rPr>
            <w:rFonts w:ascii="Palatino Linotype" w:hAnsi="Palatino Linotype"/>
            <w:i w:val="0"/>
            <w:iCs w:val="0"/>
            <w:noProof/>
            <w:webHidden/>
          </w:rPr>
        </w:r>
        <w:r w:rsidRPr="00BA43F1">
          <w:rPr>
            <w:rFonts w:ascii="Palatino Linotype" w:hAnsi="Palatino Linotype"/>
            <w:i w:val="0"/>
            <w:iCs w:val="0"/>
            <w:noProof/>
            <w:webHidden/>
          </w:rPr>
          <w:fldChar w:fldCharType="separate"/>
        </w:r>
        <w:r w:rsidRPr="00BA43F1">
          <w:rPr>
            <w:rFonts w:ascii="Palatino Linotype" w:hAnsi="Palatino Linotype"/>
            <w:i w:val="0"/>
            <w:iCs w:val="0"/>
            <w:noProof/>
            <w:webHidden/>
          </w:rPr>
          <w:t>12</w:t>
        </w:r>
        <w:r w:rsidRPr="00BA43F1">
          <w:rPr>
            <w:rFonts w:ascii="Palatino Linotype" w:hAnsi="Palatino Linotype"/>
            <w:i w:val="0"/>
            <w:iCs w:val="0"/>
            <w:noProof/>
            <w:webHidden/>
          </w:rPr>
          <w:fldChar w:fldCharType="end"/>
        </w:r>
      </w:hyperlink>
    </w:p>
    <w:p w14:paraId="0FFD2BCC" w14:textId="44CC60CF" w:rsidR="00BA43F1" w:rsidRPr="00BA43F1" w:rsidRDefault="00BA43F1" w:rsidP="00BA43F1">
      <w:pPr>
        <w:pStyle w:val="T1"/>
        <w:tabs>
          <w:tab w:val="right" w:leader="underscore" w:pos="9061"/>
        </w:tabs>
        <w:ind w:left="709" w:hanging="142"/>
        <w:rPr>
          <w:rFonts w:ascii="Palatino Linotype" w:eastAsiaTheme="minorEastAsia" w:hAnsi="Palatino Linotype" w:cstheme="minorBidi"/>
          <w:b w:val="0"/>
          <w:bCs w:val="0"/>
          <w:i w:val="0"/>
          <w:iCs w:val="0"/>
          <w:noProof/>
        </w:rPr>
      </w:pPr>
      <w:hyperlink w:anchor="_Toc153309442" w:history="1">
        <w:r w:rsidRPr="00BA43F1">
          <w:rPr>
            <w:rStyle w:val="Kpr"/>
            <w:rFonts w:ascii="Palatino Linotype" w:eastAsiaTheme="majorEastAsia" w:hAnsi="Palatino Linotype"/>
            <w:i w:val="0"/>
            <w:iCs w:val="0"/>
            <w:noProof/>
          </w:rPr>
          <w:t>SONUÇ</w:t>
        </w:r>
        <w:r w:rsidRPr="00BA43F1">
          <w:rPr>
            <w:rFonts w:ascii="Palatino Linotype" w:hAnsi="Palatino Linotype"/>
            <w:i w:val="0"/>
            <w:iCs w:val="0"/>
            <w:noProof/>
            <w:webHidden/>
          </w:rPr>
          <w:tab/>
        </w:r>
        <w:r w:rsidRPr="00BA43F1">
          <w:rPr>
            <w:rFonts w:ascii="Palatino Linotype" w:hAnsi="Palatino Linotype"/>
            <w:i w:val="0"/>
            <w:iCs w:val="0"/>
            <w:noProof/>
            <w:webHidden/>
          </w:rPr>
          <w:fldChar w:fldCharType="begin"/>
        </w:r>
        <w:r w:rsidRPr="00BA43F1">
          <w:rPr>
            <w:rFonts w:ascii="Palatino Linotype" w:hAnsi="Palatino Linotype"/>
            <w:i w:val="0"/>
            <w:iCs w:val="0"/>
            <w:noProof/>
            <w:webHidden/>
          </w:rPr>
          <w:instrText xml:space="preserve"> PAGEREF _Toc153309442 \h </w:instrText>
        </w:r>
        <w:r w:rsidRPr="00BA43F1">
          <w:rPr>
            <w:rFonts w:ascii="Palatino Linotype" w:hAnsi="Palatino Linotype"/>
            <w:i w:val="0"/>
            <w:iCs w:val="0"/>
            <w:noProof/>
            <w:webHidden/>
          </w:rPr>
        </w:r>
        <w:r w:rsidRPr="00BA43F1">
          <w:rPr>
            <w:rFonts w:ascii="Palatino Linotype" w:hAnsi="Palatino Linotype"/>
            <w:i w:val="0"/>
            <w:iCs w:val="0"/>
            <w:noProof/>
            <w:webHidden/>
          </w:rPr>
          <w:fldChar w:fldCharType="separate"/>
        </w:r>
        <w:r w:rsidRPr="00BA43F1">
          <w:rPr>
            <w:rFonts w:ascii="Palatino Linotype" w:hAnsi="Palatino Linotype"/>
            <w:i w:val="0"/>
            <w:iCs w:val="0"/>
            <w:noProof/>
            <w:webHidden/>
          </w:rPr>
          <w:t>14</w:t>
        </w:r>
        <w:r w:rsidRPr="00BA43F1">
          <w:rPr>
            <w:rFonts w:ascii="Palatino Linotype" w:hAnsi="Palatino Linotype"/>
            <w:i w:val="0"/>
            <w:iCs w:val="0"/>
            <w:noProof/>
            <w:webHidden/>
          </w:rPr>
          <w:fldChar w:fldCharType="end"/>
        </w:r>
      </w:hyperlink>
    </w:p>
    <w:p w14:paraId="6586C1CA" w14:textId="7E85FD88" w:rsidR="00E52E47" w:rsidRPr="00BA43F1" w:rsidRDefault="00BA43F1" w:rsidP="00BA43F1">
      <w:pPr>
        <w:tabs>
          <w:tab w:val="left" w:pos="993"/>
        </w:tabs>
        <w:ind w:left="709" w:hanging="142"/>
      </w:pPr>
      <w:r w:rsidRPr="00BA43F1">
        <w:fldChar w:fldCharType="end"/>
      </w:r>
    </w:p>
    <w:p w14:paraId="15FCC1D8" w14:textId="77777777" w:rsidR="00E52E47" w:rsidRPr="006B4754" w:rsidRDefault="00E52E47" w:rsidP="00E52E47"/>
    <w:p w14:paraId="07E44D24" w14:textId="77777777" w:rsidR="00E52E47" w:rsidRPr="006B4754" w:rsidRDefault="00E52E47" w:rsidP="00E52E47"/>
    <w:p w14:paraId="53F673E5" w14:textId="77777777" w:rsidR="00E52E47" w:rsidRPr="006B4754" w:rsidRDefault="00E52E47" w:rsidP="00E52E47"/>
    <w:p w14:paraId="2673002B" w14:textId="77777777" w:rsidR="00E52E47" w:rsidRPr="006B4754" w:rsidRDefault="00E52E47" w:rsidP="00E52E47"/>
    <w:p w14:paraId="633D9A2E" w14:textId="77777777" w:rsidR="00E52E47" w:rsidRPr="006B4754" w:rsidRDefault="00E52E47" w:rsidP="00E52E47"/>
    <w:p w14:paraId="2C3E5B23" w14:textId="77777777" w:rsidR="00E52E47" w:rsidRPr="006B4754" w:rsidRDefault="00E52E47" w:rsidP="00E52E47"/>
    <w:p w14:paraId="48C8A285" w14:textId="77777777" w:rsidR="00E52E47" w:rsidRPr="006B4754" w:rsidRDefault="00E52E47" w:rsidP="00E52E47"/>
    <w:p w14:paraId="7EEF231E" w14:textId="77777777" w:rsidR="0090130B" w:rsidRPr="006B4754" w:rsidRDefault="0090130B" w:rsidP="00E52E47">
      <w:pPr>
        <w:sectPr w:rsidR="0090130B" w:rsidRPr="006B4754" w:rsidSect="0090130B">
          <w:footerReference w:type="even" r:id="rId10"/>
          <w:footerReference w:type="default" r:id="rId11"/>
          <w:pgSz w:w="11906" w:h="16838"/>
          <w:pgMar w:top="1418" w:right="1417" w:bottom="1135" w:left="1418" w:header="708" w:footer="708" w:gutter="0"/>
          <w:cols w:space="708"/>
          <w:titlePg/>
          <w:docGrid w:linePitch="360"/>
        </w:sectPr>
      </w:pPr>
    </w:p>
    <w:p w14:paraId="457CE49C" w14:textId="77777777" w:rsidR="0090130B" w:rsidRPr="006B4754" w:rsidRDefault="0090130B" w:rsidP="00E52E47">
      <w:pPr>
        <w:sectPr w:rsidR="0090130B" w:rsidRPr="006B4754" w:rsidSect="0090130B">
          <w:type w:val="continuous"/>
          <w:pgSz w:w="11906" w:h="16838"/>
          <w:pgMar w:top="1418" w:right="1417" w:bottom="1135" w:left="1418" w:header="708" w:footer="708" w:gutter="0"/>
          <w:pgNumType w:start="0"/>
          <w:cols w:space="708"/>
          <w:titlePg/>
          <w:docGrid w:linePitch="360"/>
        </w:sectPr>
      </w:pPr>
    </w:p>
    <w:p w14:paraId="65FE6E78" w14:textId="3C3FBCC3" w:rsidR="00757C5D" w:rsidRPr="006B4754" w:rsidRDefault="00757C5D" w:rsidP="00757C5D">
      <w:pPr>
        <w:spacing w:line="271" w:lineRule="auto"/>
        <w:jc w:val="center"/>
        <w:textAlignment w:val="baseline"/>
        <w:rPr>
          <w:rFonts w:cs="Segoe UI"/>
        </w:rPr>
      </w:pPr>
      <w:bookmarkStart w:id="12" w:name="_Hlk153137458"/>
      <w:r w:rsidRPr="006B4754">
        <w:rPr>
          <w:rFonts w:cs="Segoe UI"/>
          <w:b/>
          <w:bCs/>
        </w:rPr>
        <w:lastRenderedPageBreak/>
        <w:t>BYLOCK’LA İLGİLİ MAHKEMELERCE USULİ AÇIDAN TESPİTİ GEREKEN HUSUSLAR</w:t>
      </w:r>
    </w:p>
    <w:bookmarkEnd w:id="12"/>
    <w:p w14:paraId="6CE0D732" w14:textId="77777777" w:rsidR="00757C5D" w:rsidRPr="006B4754" w:rsidRDefault="00757C5D" w:rsidP="00757C5D">
      <w:pPr>
        <w:spacing w:line="271" w:lineRule="auto"/>
        <w:jc w:val="center"/>
        <w:textAlignment w:val="baseline"/>
        <w:rPr>
          <w:rFonts w:cs="Segoe UI"/>
        </w:rPr>
      </w:pPr>
    </w:p>
    <w:p w14:paraId="08AC7EB2" w14:textId="77777777" w:rsidR="00757C5D" w:rsidRPr="006B4754" w:rsidRDefault="00757C5D" w:rsidP="00757C5D">
      <w:pPr>
        <w:spacing w:line="271" w:lineRule="auto"/>
        <w:ind w:firstLine="555"/>
        <w:textAlignment w:val="baseline"/>
        <w:rPr>
          <w:rFonts w:cs="Segoe UI"/>
        </w:rPr>
      </w:pPr>
      <w:r w:rsidRPr="006B4754">
        <w:rPr>
          <w:rFonts w:cs="Segoe UI"/>
        </w:rPr>
        <w:t>Avrupa İnsan Hakları Mahkemesi (AİHM), 26/9/2023 tarihinde açıkladığı Yüksel Yalçınkaya kararında</w:t>
      </w:r>
      <w:r w:rsidRPr="006B4754">
        <w:rPr>
          <w:rStyle w:val="DipnotBavurusu"/>
          <w:rFonts w:cs="Segoe UI"/>
        </w:rPr>
        <w:footnoteReference w:id="1"/>
      </w:r>
      <w:r w:rsidRPr="006B4754">
        <w:rPr>
          <w:rFonts w:cs="Segoe UI"/>
        </w:rPr>
        <w:t xml:space="preserve"> çok önemli hususlara yer vermiştir. Bunlardan en önemlisi de hiç kuşkusuz Bylock’la ilgili tespitleri ve ihlal gerekçeleri olmuştur. Bu çalışmada, AİHM’in adil yargılanma hakkı kapsamında verdiği ihlal gerekçeleri bağlamında </w:t>
      </w:r>
      <w:r w:rsidRPr="006B4754">
        <w:rPr>
          <w:rFonts w:cs="Segoe UI"/>
          <w:i/>
          <w:iCs/>
        </w:rPr>
        <w:t>“usule”</w:t>
      </w:r>
      <w:r w:rsidRPr="006B4754">
        <w:rPr>
          <w:rFonts w:cs="Segoe UI"/>
        </w:rPr>
        <w:t xml:space="preserve"> ilişkin mahkemelerce tespiti gereken hususlara yer verilmiştir. </w:t>
      </w:r>
    </w:p>
    <w:p w14:paraId="5C852AEF" w14:textId="77777777" w:rsidR="00757C5D" w:rsidRPr="006B4754" w:rsidRDefault="00757C5D" w:rsidP="00757C5D">
      <w:pPr>
        <w:spacing w:line="271" w:lineRule="auto"/>
        <w:ind w:firstLine="555"/>
        <w:textAlignment w:val="baseline"/>
        <w:rPr>
          <w:rFonts w:cs="Segoe UI"/>
        </w:rPr>
      </w:pPr>
      <w:r w:rsidRPr="006B4754">
        <w:rPr>
          <w:rFonts w:cs="Segoe UI"/>
        </w:rPr>
        <w:t>Yalçınkaya kararı ışığında hakkaniyete uygun yargılama yapılabilmesi ve dolayısıyla benzer hak ihlallerine sebebiyet verilmemesi adına, önyargısız olarak aşağıdaki hususların şüpheye yer vermeyecek şekilde araştırılması ve gerekçeleriyle ortaya konulması gerekmektedir.</w:t>
      </w:r>
    </w:p>
    <w:p w14:paraId="7BCCFC78" w14:textId="00C14151" w:rsidR="00757C5D" w:rsidRPr="004A0253" w:rsidRDefault="00757C5D" w:rsidP="004A0253">
      <w:pPr>
        <w:pStyle w:val="Balk1"/>
        <w:ind w:left="0" w:firstLine="567"/>
        <w:rPr>
          <w:rFonts w:ascii="Palatino Linotype" w:hAnsi="Palatino Linotype"/>
        </w:rPr>
      </w:pPr>
      <w:bookmarkStart w:id="13" w:name="_Toc153309435"/>
      <w:r w:rsidRPr="004A0253">
        <w:rPr>
          <w:rFonts w:ascii="Palatino Linotype" w:hAnsi="Palatino Linotype"/>
        </w:rPr>
        <w:t>M</w:t>
      </w:r>
      <w:r w:rsidRPr="004A0253">
        <w:rPr>
          <w:rFonts w:ascii="Palatino Linotype" w:hAnsi="Palatino Linotype" w:cs="Calibri"/>
        </w:rPr>
        <w:t>İ</w:t>
      </w:r>
      <w:r w:rsidRPr="004A0253">
        <w:rPr>
          <w:rFonts w:ascii="Palatino Linotype" w:hAnsi="Palatino Linotype"/>
        </w:rPr>
        <w:t>T</w:t>
      </w:r>
      <w:r w:rsidRPr="004A0253">
        <w:rPr>
          <w:rFonts w:ascii="Palatino Linotype" w:hAnsi="Palatino Linotype" w:cs="Segoe UI Historic"/>
        </w:rPr>
        <w:t>’</w:t>
      </w:r>
      <w:r w:rsidRPr="004A0253">
        <w:rPr>
          <w:rFonts w:ascii="Palatino Linotype" w:hAnsi="Palatino Linotype"/>
        </w:rPr>
        <w:t xml:space="preserve">in ByLock ile </w:t>
      </w:r>
      <w:r w:rsidRPr="004A0253">
        <w:rPr>
          <w:rFonts w:ascii="Palatino Linotype" w:hAnsi="Palatino Linotype" w:cs="Calibri"/>
        </w:rPr>
        <w:t>İ</w:t>
      </w:r>
      <w:r w:rsidRPr="004A0253">
        <w:rPr>
          <w:rFonts w:ascii="Palatino Linotype" w:hAnsi="Palatino Linotype"/>
        </w:rPr>
        <w:t>lgili Ald</w:t>
      </w:r>
      <w:r w:rsidRPr="004A0253">
        <w:rPr>
          <w:rFonts w:ascii="Palatino Linotype" w:hAnsi="Palatino Linotype" w:cs="Segoe UI Historic"/>
        </w:rPr>
        <w:t>ı</w:t>
      </w:r>
      <w:r w:rsidRPr="004A0253">
        <w:rPr>
          <w:rFonts w:ascii="Palatino Linotype" w:hAnsi="Palatino Linotype" w:cs="Calibri"/>
        </w:rPr>
        <w:t>ğ</w:t>
      </w:r>
      <w:r w:rsidRPr="004A0253">
        <w:rPr>
          <w:rFonts w:ascii="Palatino Linotype" w:hAnsi="Palatino Linotype" w:cs="Segoe UI Historic"/>
        </w:rPr>
        <w:t>ı</w:t>
      </w:r>
      <w:r w:rsidRPr="004A0253">
        <w:rPr>
          <w:rFonts w:ascii="Palatino Linotype" w:hAnsi="Palatino Linotype"/>
        </w:rPr>
        <w:t xml:space="preserve"> </w:t>
      </w:r>
      <w:r w:rsidRPr="004A0253">
        <w:rPr>
          <w:rFonts w:ascii="Palatino Linotype" w:hAnsi="Palatino Linotype" w:cs="Calibri"/>
        </w:rPr>
        <w:t>İ</w:t>
      </w:r>
      <w:r w:rsidRPr="004A0253">
        <w:rPr>
          <w:rFonts w:ascii="Palatino Linotype" w:hAnsi="Palatino Linotype"/>
        </w:rPr>
        <w:t>hbara Dayanarak Yapt</w:t>
      </w:r>
      <w:r w:rsidRPr="004A0253">
        <w:rPr>
          <w:rFonts w:ascii="Palatino Linotype" w:hAnsi="Palatino Linotype" w:cs="Segoe UI Historic"/>
        </w:rPr>
        <w:t>ı</w:t>
      </w:r>
      <w:r w:rsidRPr="004A0253">
        <w:rPr>
          <w:rFonts w:ascii="Palatino Linotype" w:hAnsi="Palatino Linotype" w:cs="Calibri"/>
        </w:rPr>
        <w:t>ğ</w:t>
      </w:r>
      <w:r w:rsidRPr="004A0253">
        <w:rPr>
          <w:rFonts w:ascii="Palatino Linotype" w:hAnsi="Palatino Linotype" w:cs="Segoe UI Historic"/>
        </w:rPr>
        <w:t>ı</w:t>
      </w:r>
      <w:r w:rsidRPr="004A0253">
        <w:rPr>
          <w:rFonts w:ascii="Palatino Linotype" w:hAnsi="Palatino Linotype"/>
        </w:rPr>
        <w:t xml:space="preserve"> </w:t>
      </w:r>
      <w:r w:rsidRPr="004A0253">
        <w:rPr>
          <w:rFonts w:ascii="Palatino Linotype" w:hAnsi="Palatino Linotype" w:cs="Calibri"/>
        </w:rPr>
        <w:t>İ</w:t>
      </w:r>
      <w:r w:rsidRPr="004A0253">
        <w:rPr>
          <w:rFonts w:ascii="Palatino Linotype" w:hAnsi="Palatino Linotype"/>
        </w:rPr>
        <w:t xml:space="preserve">stihbari </w:t>
      </w:r>
      <w:r w:rsidRPr="004A0253">
        <w:rPr>
          <w:rFonts w:ascii="Palatino Linotype" w:hAnsi="Palatino Linotype" w:cs="Segoe UI Historic"/>
        </w:rPr>
        <w:t>Ç</w:t>
      </w:r>
      <w:r w:rsidRPr="004A0253">
        <w:rPr>
          <w:rFonts w:ascii="Palatino Linotype" w:hAnsi="Palatino Linotype"/>
        </w:rPr>
        <w:t>al</w:t>
      </w:r>
      <w:r w:rsidRPr="004A0253">
        <w:rPr>
          <w:rFonts w:ascii="Palatino Linotype" w:hAnsi="Palatino Linotype" w:cs="Segoe UI Historic"/>
        </w:rPr>
        <w:t>ı</w:t>
      </w:r>
      <w:r w:rsidRPr="004A0253">
        <w:rPr>
          <w:rFonts w:ascii="Palatino Linotype" w:hAnsi="Palatino Linotype" w:cs="Calibri"/>
        </w:rPr>
        <w:t>ş</w:t>
      </w:r>
      <w:r w:rsidRPr="004A0253">
        <w:rPr>
          <w:rFonts w:ascii="Palatino Linotype" w:hAnsi="Palatino Linotype"/>
        </w:rPr>
        <w:t>man</w:t>
      </w:r>
      <w:r w:rsidRPr="004A0253">
        <w:rPr>
          <w:rFonts w:ascii="Palatino Linotype" w:hAnsi="Palatino Linotype" w:cs="Segoe UI Historic"/>
        </w:rPr>
        <w:t>ı</w:t>
      </w:r>
      <w:r w:rsidRPr="004A0253">
        <w:rPr>
          <w:rFonts w:ascii="Palatino Linotype" w:hAnsi="Palatino Linotype"/>
        </w:rPr>
        <w:t>n Hukuka Uygunlu</w:t>
      </w:r>
      <w:r w:rsidRPr="004A0253">
        <w:rPr>
          <w:rFonts w:ascii="Palatino Linotype" w:hAnsi="Palatino Linotype" w:cs="Calibri"/>
        </w:rPr>
        <w:t>ğ</w:t>
      </w:r>
      <w:r w:rsidRPr="004A0253">
        <w:rPr>
          <w:rFonts w:ascii="Palatino Linotype" w:hAnsi="Palatino Linotype"/>
        </w:rPr>
        <w:t>unun Belirlenmesi Zorunlulu</w:t>
      </w:r>
      <w:r w:rsidRPr="004A0253">
        <w:rPr>
          <w:rFonts w:ascii="Palatino Linotype" w:hAnsi="Palatino Linotype" w:cs="Calibri"/>
        </w:rPr>
        <w:t>ğ</w:t>
      </w:r>
      <w:r w:rsidRPr="004A0253">
        <w:rPr>
          <w:rFonts w:ascii="Palatino Linotype" w:hAnsi="Palatino Linotype"/>
        </w:rPr>
        <w:t>u</w:t>
      </w:r>
      <w:bookmarkEnd w:id="13"/>
      <w:r w:rsidRPr="004A0253">
        <w:rPr>
          <w:rFonts w:ascii="Palatino Linotype" w:hAnsi="Palatino Linotype"/>
        </w:rPr>
        <w:t xml:space="preserve"> </w:t>
      </w:r>
    </w:p>
    <w:p w14:paraId="01FE8C25"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 Milli İstihbarat Teşkilatı (MİT), yaptığı çalışmaya dayanak gösterdiği </w:t>
      </w:r>
      <w:r w:rsidRPr="006B4754">
        <w:rPr>
          <w:rFonts w:cs="Segoe UI"/>
          <w:i/>
          <w:iCs/>
          <w:kern w:val="0"/>
        </w:rPr>
        <w:t>“FETÖ/PDY üyelerinin Bylock üzerinden haberleştikleri”</w:t>
      </w:r>
      <w:r w:rsidRPr="006B4754">
        <w:rPr>
          <w:rFonts w:cs="Segoe UI"/>
          <w:kern w:val="0"/>
        </w:rPr>
        <w:t xml:space="preserve"> istihbaratını hangi tarihte almıştır? </w:t>
      </w:r>
    </w:p>
    <w:p w14:paraId="1D53275C"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MİT, Türk Ceza Kanunun (TCK) 314. maddesi kapsamında soruşturulması gereken bu istihbaratı Ceza Muhakemesi Kanunun (CMK) 158/4. maddesi gereğince derhal C. Başsavcılığına bildirmek yerine neden kendisini yetkili görmüştür? Yapılan çalışma istihbari nitelikteyse ve adli soruşturmayı gerektirmiyorsa niçin MİT Bylock bilgilerini 09/12/2016 tarihinde Ankara C. Başsavcılığına teslim etmiştir? MİT aldığı her istihbarat üzerine yaptığı çalışmayı Başsavcılığa teslim etmekte midir? </w:t>
      </w:r>
    </w:p>
    <w:p w14:paraId="1A19A594"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AİHM’in Yalçınkaya kararında belirttiği üzere, adli kolluk görevlilerince yapılması gereken böyle bir çalışmayı MİT hangi yasal gerekçeyle yapmıştır? MİT’in CMK gereğince adli kolluk görevi var mıdır? Varsa hangi kanuna dayanarak, ne zamandan beri ve hangi C. Başsavcılığının emri altında bu görevi yapmaktadır?  Alınan istihbarat bir ihbar/şikayet niteliğinde ise buna ilişkin tutanak var mıdır (CMK md 158/5)? İhbar/şikayet edenin kimlik bilgileri tespit edilmiş midir? Edilmedi ise neden yapılmamıştır?</w:t>
      </w:r>
    </w:p>
    <w:p w14:paraId="64F1EF3D"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Adli kolluk görevlileri dahi C. savcısının talimatı olmadan herhangi bir soruşturma işlemi yapamazken, MİT bu kadar kapsamlı bir çalışmayı hangi C. savcısının talimatıyla yapmıştır?  Verilen talimat nedir, C. savcısı ile görüşme tutanağı mevcut mudur?</w:t>
      </w:r>
    </w:p>
    <w:p w14:paraId="3073D426"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Yapılacak olan işlem kişi, konu, zaman ve yer bakımından hukuk kuralları ile yetkilendirilmiş kişi veya kişilerce yapılması gerekir. C. savcısı tarafından bu şekilde bir </w:t>
      </w:r>
      <w:r w:rsidRPr="006B4754">
        <w:rPr>
          <w:rFonts w:cs="Segoe UI"/>
          <w:kern w:val="0"/>
        </w:rPr>
        <w:lastRenderedPageBreak/>
        <w:t>talimat verilmişse, 2937 sayılı Kanun’un 4/2. maddesindeki MİT’e istihbari görev dışında herhangi bir görev verilemeyeceğine ilişkin düzenleme karşısında, böyle bir talimat MİT’e nasıl verilmiş ve MİT kendi teşkilat Kanunu’na aykırı olan bu talimatı nasıl yerine getirmiştir? </w:t>
      </w:r>
      <w:r w:rsidRPr="006B4754">
        <w:rPr>
          <w:rFonts w:cs="Segoe UI"/>
          <w:bCs/>
          <w:iCs/>
          <w:kern w:val="0"/>
        </w:rPr>
        <w:t>Soruşturma işlemleri yapılırken mutlaka bir zabıt kâtibi bulunacaktır; aksi takdirde işlem hukuken yok sayılır, zabıt kâtibi kimdir, imzası var mıdır?</w:t>
      </w:r>
    </w:p>
    <w:p w14:paraId="689E0548" w14:textId="4F5B9ACF" w:rsidR="00757C5D" w:rsidRPr="004A0253" w:rsidRDefault="00757C5D" w:rsidP="004A0253">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MİT’in yaptığı çalışmanın bir hazırlık soruşturmasını gerektirmesi ve böyle bir soruşturma olmadan Bylock bilgilerinin elde edilmesine rağmen, acaba Ankara C. Başsavcılığı hangi gerekçelerle MİT’in istihbari çalışma sonucu elde ettiği dijital malzemeleri yürüttüğü bir soruşturmaya dâhil etmiştir? Hazırlık soruşturmasının soruşturma kaydı/</w:t>
      </w:r>
      <w:proofErr w:type="spellStart"/>
      <w:r w:rsidRPr="006B4754">
        <w:rPr>
          <w:rFonts w:cs="Segoe UI"/>
          <w:kern w:val="0"/>
        </w:rPr>
        <w:t>nosu</w:t>
      </w:r>
      <w:proofErr w:type="spellEnd"/>
      <w:r w:rsidRPr="006B4754">
        <w:rPr>
          <w:rFonts w:cs="Segoe UI"/>
          <w:kern w:val="0"/>
        </w:rPr>
        <w:t xml:space="preserve"> nedir?</w:t>
      </w:r>
    </w:p>
    <w:p w14:paraId="113D791F" w14:textId="271D9290" w:rsidR="00757C5D" w:rsidRPr="004A0253" w:rsidRDefault="00757C5D" w:rsidP="004A0253">
      <w:pPr>
        <w:pStyle w:val="Balk1"/>
        <w:ind w:left="0" w:firstLine="567"/>
        <w:rPr>
          <w:rFonts w:ascii="Palatino Linotype" w:hAnsi="Palatino Linotype"/>
        </w:rPr>
      </w:pPr>
      <w:bookmarkStart w:id="14" w:name="_Toc153309436"/>
      <w:r w:rsidRPr="004A0253">
        <w:rPr>
          <w:rFonts w:ascii="Palatino Linotype" w:hAnsi="Palatino Linotype"/>
        </w:rPr>
        <w:t xml:space="preserve">Bylock Verilerinin Ele Geçirilme Zamanı ve Yöntemine </w:t>
      </w:r>
      <w:r w:rsidRPr="004A0253">
        <w:rPr>
          <w:rFonts w:ascii="Palatino Linotype" w:hAnsi="Palatino Linotype" w:cs="Calibri"/>
        </w:rPr>
        <w:t>İ</w:t>
      </w:r>
      <w:r w:rsidRPr="004A0253">
        <w:rPr>
          <w:rFonts w:ascii="Palatino Linotype" w:hAnsi="Palatino Linotype"/>
        </w:rPr>
        <w:t>li</w:t>
      </w:r>
      <w:r w:rsidRPr="004A0253">
        <w:rPr>
          <w:rFonts w:ascii="Palatino Linotype" w:hAnsi="Palatino Linotype" w:cs="Calibri"/>
        </w:rPr>
        <w:t>ş</w:t>
      </w:r>
      <w:r w:rsidRPr="004A0253">
        <w:rPr>
          <w:rFonts w:ascii="Palatino Linotype" w:hAnsi="Palatino Linotype"/>
        </w:rPr>
        <w:t>kin Olarak</w:t>
      </w:r>
      <w:bookmarkEnd w:id="14"/>
    </w:p>
    <w:p w14:paraId="7E5C4531"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shd w:val="clear" w:color="auto" w:fill="FFFFFF"/>
        </w:rPr>
        <w:t xml:space="preserve">AİHM, Yalçınkaya kararında, </w:t>
      </w:r>
      <w:r w:rsidRPr="006B4754">
        <w:rPr>
          <w:rFonts w:cs="Segoe UI"/>
          <w:kern w:val="0"/>
        </w:rPr>
        <w:t xml:space="preserve">ulusal mahkemeler ve Hükûmet tarafından MİT’in yaptığı çalışmanın yasal dayanağı gösterilen 2937 sayılı MİT Kanunun 4 (1) ve 6 (1) maddelerinin, </w:t>
      </w:r>
      <w:r w:rsidRPr="006B4754">
        <w:rPr>
          <w:rFonts w:cs="Segoe UI"/>
          <w:b/>
          <w:bCs/>
          <w:kern w:val="0"/>
        </w:rPr>
        <w:t xml:space="preserve">bağımsız izin veya denetim de dahil olmak üzere, elektronik delillerin toplanmasıyla ilgili olarak CMK’nın 134. maddesinde belirtilenlere benzer </w:t>
      </w:r>
      <w:proofErr w:type="spellStart"/>
      <w:r w:rsidRPr="006B4754">
        <w:rPr>
          <w:rFonts w:cs="Segoe UI"/>
          <w:b/>
          <w:bCs/>
          <w:kern w:val="0"/>
        </w:rPr>
        <w:t>usuli</w:t>
      </w:r>
      <w:proofErr w:type="spellEnd"/>
      <w:r w:rsidRPr="006B4754">
        <w:rPr>
          <w:rFonts w:cs="Segoe UI"/>
          <w:b/>
          <w:bCs/>
          <w:kern w:val="0"/>
        </w:rPr>
        <w:t xml:space="preserve"> güvenceler barındırmadığını söylemiştir (</w:t>
      </w:r>
      <w:r w:rsidRPr="006B4754">
        <w:rPr>
          <w:rFonts w:cs="Segoe UI"/>
          <w:kern w:val="0"/>
          <w:shd w:val="clear" w:color="auto" w:fill="FFFFFF"/>
        </w:rPr>
        <w:t xml:space="preserve">§ </w:t>
      </w:r>
      <w:r w:rsidRPr="006B4754">
        <w:rPr>
          <w:rFonts w:cs="Segoe UI"/>
          <w:b/>
          <w:bCs/>
          <w:kern w:val="0"/>
        </w:rPr>
        <w:t>317).</w:t>
      </w:r>
    </w:p>
    <w:p w14:paraId="34D76C13"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Ayrıca AİHM, özellikle verilerin tesliminden önceki aşama üzerinde durmuş ve</w:t>
      </w:r>
      <w:r w:rsidRPr="006B4754">
        <w:rPr>
          <w:rFonts w:cs="Segoe UI"/>
          <w:kern w:val="0"/>
          <w:shd w:val="clear" w:color="auto" w:fill="FFFFFF"/>
        </w:rPr>
        <w:t xml:space="preserve"> </w:t>
      </w:r>
      <w:r w:rsidRPr="006B4754">
        <w:rPr>
          <w:rFonts w:cs="Segoe UI"/>
          <w:kern w:val="0"/>
        </w:rPr>
        <w:t xml:space="preserve">dava dosyasındaki hiçbir şeyin Ankara 4. Sulh Ceza Hâkimliğinin Bylock verilerinin CMK’nın 134. maddesi uyarınca incelenmesine yönelik </w:t>
      </w:r>
      <w:r w:rsidRPr="006B4754">
        <w:rPr>
          <w:rFonts w:cs="Segoe UI"/>
          <w:b/>
          <w:bCs/>
          <w:kern w:val="0"/>
        </w:rPr>
        <w:t>sonradan verdiği kararın,</w:t>
      </w:r>
      <w:r w:rsidRPr="006B4754">
        <w:rPr>
          <w:rFonts w:cs="Segoe UI"/>
          <w:kern w:val="0"/>
        </w:rPr>
        <w:t xml:space="preserve"> MİT’in veri toplama faaliyetinin olay sonrası yargısal denetimi içermediğini belirtmiştir. Aynı şekilde</w:t>
      </w:r>
      <w:r w:rsidRPr="006B4754">
        <w:rPr>
          <w:rFonts w:cs="Segoe UI"/>
          <w:b/>
          <w:bCs/>
          <w:kern w:val="0"/>
        </w:rPr>
        <w:t>, MİT’in Bylock verilerini adli makamlara teslim etmeden önce aylarca tuttuğu göz önüne alındığında,</w:t>
      </w:r>
      <w:r w:rsidRPr="006B4754">
        <w:rPr>
          <w:rFonts w:cs="Segoe UI"/>
          <w:kern w:val="0"/>
        </w:rPr>
        <w:t xml:space="preserve"> başvuranın Bylock verilerinin güvenilirliğine ilişkin </w:t>
      </w:r>
      <w:r w:rsidRPr="006B4754">
        <w:rPr>
          <w:rFonts w:cs="Segoe UI"/>
          <w:b/>
          <w:bCs/>
          <w:kern w:val="0"/>
        </w:rPr>
        <w:t>şüphelerinin soyut veya temelsiz olarak kolayca göz ardı edilebileceği konusunda Hükûmet ile aynı fikirde olmadığını dile getirmiştir (</w:t>
      </w:r>
      <w:r w:rsidRPr="006B4754">
        <w:rPr>
          <w:rFonts w:cs="Segoe UI"/>
          <w:b/>
          <w:bCs/>
          <w:kern w:val="0"/>
          <w:shd w:val="clear" w:color="auto" w:fill="FFFFFF"/>
        </w:rPr>
        <w:t xml:space="preserve">§ </w:t>
      </w:r>
      <w:r w:rsidRPr="006B4754">
        <w:rPr>
          <w:rFonts w:cs="Segoe UI"/>
          <w:b/>
          <w:bCs/>
          <w:kern w:val="0"/>
        </w:rPr>
        <w:t>317).  </w:t>
      </w:r>
    </w:p>
    <w:p w14:paraId="4759F7BC"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 xml:space="preserve">MİT Bylock sunucusunu ne zaman ve nasıl ele geçirmiştir? MİT’in hazırladığı </w:t>
      </w:r>
      <w:r w:rsidRPr="006B4754">
        <w:rPr>
          <w:rFonts w:cs="Segoe UI"/>
          <w:i/>
          <w:iCs/>
          <w:kern w:val="0"/>
        </w:rPr>
        <w:t>“</w:t>
      </w:r>
      <w:proofErr w:type="spellStart"/>
      <w:r w:rsidRPr="006B4754">
        <w:rPr>
          <w:rFonts w:cs="Segoe UI"/>
          <w:i/>
          <w:iCs/>
          <w:kern w:val="0"/>
        </w:rPr>
        <w:t>Bylock</w:t>
      </w:r>
      <w:proofErr w:type="spellEnd"/>
      <w:r w:rsidRPr="006B4754">
        <w:rPr>
          <w:rFonts w:cs="Segoe UI"/>
          <w:i/>
          <w:iCs/>
          <w:kern w:val="0"/>
        </w:rPr>
        <w:t xml:space="preserve"> Uygulaması Teknik </w:t>
      </w:r>
      <w:proofErr w:type="spellStart"/>
      <w:r w:rsidRPr="006B4754">
        <w:rPr>
          <w:rFonts w:cs="Segoe UI"/>
          <w:i/>
          <w:iCs/>
          <w:kern w:val="0"/>
        </w:rPr>
        <w:t>Raporu”</w:t>
      </w:r>
      <w:r w:rsidRPr="006B4754">
        <w:rPr>
          <w:rFonts w:cs="Segoe UI"/>
          <w:kern w:val="0"/>
        </w:rPr>
        <w:t>nda</w:t>
      </w:r>
      <w:proofErr w:type="spellEnd"/>
      <w:r w:rsidRPr="006B4754">
        <w:rPr>
          <w:rStyle w:val="DipnotBavurusu"/>
          <w:rFonts w:cs="Segoe UI"/>
          <w:kern w:val="0"/>
        </w:rPr>
        <w:footnoteReference w:id="2"/>
      </w:r>
      <w:r w:rsidRPr="006B4754">
        <w:rPr>
          <w:rFonts w:cs="Segoe UI"/>
          <w:kern w:val="0"/>
        </w:rPr>
        <w:t xml:space="preserve"> (Teknik Rapor), Devletin teknik istihbarat faaliyetlerine ilişkin imkan ve kabiliyetlerinin açığa çıkarılmaması adına, verilerin temin edilmesine ilişkin </w:t>
      </w:r>
      <w:r w:rsidRPr="006B4754">
        <w:rPr>
          <w:rFonts w:cs="Segoe UI"/>
          <w:i/>
          <w:iCs/>
          <w:kern w:val="0"/>
        </w:rPr>
        <w:t xml:space="preserve">“hassas” </w:t>
      </w:r>
      <w:r w:rsidRPr="006B4754">
        <w:rPr>
          <w:rFonts w:cs="Segoe UI"/>
          <w:kern w:val="0"/>
        </w:rPr>
        <w:t>yöntem, usul ve araçlar açıklanmasa da hazırlanan iddianame ve verilen kararlarda Bylock bilgilerinin tersine mühendislik, kripto analiz, e-posta hesabının kırılması, ağ davranış analizi ve bağlantı kurulan sunucular tarafından cevap veren kodlar gibi teknik çalışmalar sonucu elde edildiğinin belirtilmesi, belirtilen hususların hackerlik yöntemleri olması ve basında da bu hususu doğrulayan haberler</w:t>
      </w:r>
      <w:r w:rsidRPr="006B4754">
        <w:rPr>
          <w:rStyle w:val="DipnotBavurusu"/>
          <w:rFonts w:cs="Segoe UI"/>
          <w:kern w:val="0"/>
        </w:rPr>
        <w:footnoteReference w:id="3"/>
      </w:r>
      <w:r w:rsidRPr="006B4754">
        <w:rPr>
          <w:rFonts w:cs="Segoe UI"/>
          <w:kern w:val="0"/>
        </w:rPr>
        <w:t xml:space="preserve"> çıkması dikkate alındığında, </w:t>
      </w:r>
      <w:r w:rsidRPr="006B4754">
        <w:rPr>
          <w:rFonts w:cs="Segoe UI"/>
          <w:b/>
          <w:bCs/>
          <w:kern w:val="0"/>
        </w:rPr>
        <w:t>acaba Bylock bilgileri bilgisayar korsanlığı (hackerlik) yöntemiyle mi ele geçirilmiştir? </w:t>
      </w:r>
    </w:p>
    <w:p w14:paraId="6181B12D"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lastRenderedPageBreak/>
        <w:t xml:space="preserve">Teknik raporda; </w:t>
      </w:r>
      <w:r w:rsidRPr="006B4754">
        <w:rPr>
          <w:rFonts w:cs="Segoe UI"/>
          <w:i/>
          <w:iCs/>
          <w:kern w:val="0"/>
        </w:rPr>
        <w:t>“teşkilata özgü teknik, istihbarat usul ve yöntemleri kullanmak suretiyle Bylock sunucusu üzerinde veriler ile uygulama sunucu ve IP adreslerinin satın alındığı e-posta adresleri içerikleri başta olmak üzere muhtelif bilgiler elde edildiği”</w:t>
      </w:r>
      <w:r w:rsidRPr="006B4754">
        <w:rPr>
          <w:rFonts w:cs="Segoe UI"/>
          <w:kern w:val="0"/>
        </w:rPr>
        <w:t>, MİT’in yaptığı basın açıklamasında da</w:t>
      </w:r>
      <w:r w:rsidRPr="006B4754">
        <w:rPr>
          <w:rStyle w:val="DipnotBavurusu"/>
          <w:rFonts w:cs="Segoe UI"/>
          <w:kern w:val="0"/>
        </w:rPr>
        <w:footnoteReference w:id="4"/>
      </w:r>
      <w:r w:rsidRPr="006B4754">
        <w:rPr>
          <w:rFonts w:cs="Segoe UI"/>
          <w:kern w:val="0"/>
        </w:rPr>
        <w:t xml:space="preserve"> Bylock’la ilgili tespitlerin ve isim listelerinin Mayıs 2016 tarihinde ilgili kurumlarla paylaşıldığı bilgisine yer verilmiştir.  O zaman Bylock’a ilişkin neden soruşturma tarihi mayıs 2016 ve daha öncesi değil?</w:t>
      </w:r>
    </w:p>
    <w:p w14:paraId="37D2EDA5" w14:textId="5F76B38B" w:rsidR="00757C5D" w:rsidRPr="00BA43F1" w:rsidRDefault="00757C5D" w:rsidP="00BA43F1">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Bilgiler hackerlik yöntemiyle ele geçirilmemişse, elde ediliş yöntemi ve doğruluğu hiçbir şüpheye yer bırakmayacak şekilde neden açıklanmamıştır? Nasıl elde edildiği dahi açıklanmayan kaynağı belirsiz bir delilin ceza yargılamasında kullanılması mümkün müdür? </w:t>
      </w:r>
    </w:p>
    <w:p w14:paraId="31F39E18" w14:textId="7D1544DE" w:rsidR="00757C5D" w:rsidRPr="004A0253" w:rsidRDefault="00757C5D" w:rsidP="004A0253">
      <w:pPr>
        <w:pStyle w:val="Balk1"/>
        <w:tabs>
          <w:tab w:val="left" w:pos="284"/>
        </w:tabs>
        <w:ind w:left="0" w:firstLine="567"/>
        <w:rPr>
          <w:rFonts w:ascii="Palatino Linotype" w:hAnsi="Palatino Linotype"/>
        </w:rPr>
      </w:pPr>
      <w:bookmarkStart w:id="15" w:name="_Toc153309437"/>
      <w:r w:rsidRPr="004A0253">
        <w:rPr>
          <w:rFonts w:ascii="Palatino Linotype" w:hAnsi="Palatino Linotype"/>
        </w:rPr>
        <w:t>Verilerinin Elde Edilmesinden Adli Mercilere Teslimine Kadar Geçen Sürede Veri Bütünlü</w:t>
      </w:r>
      <w:r w:rsidRPr="004A0253">
        <w:rPr>
          <w:rFonts w:ascii="Palatino Linotype" w:hAnsi="Palatino Linotype" w:cs="Calibri"/>
        </w:rPr>
        <w:t>ğ</w:t>
      </w:r>
      <w:r w:rsidRPr="004A0253">
        <w:rPr>
          <w:rFonts w:ascii="Palatino Linotype" w:hAnsi="Palatino Linotype" w:cs="Segoe UI Historic"/>
        </w:rPr>
        <w:t>ü</w:t>
      </w:r>
      <w:r w:rsidRPr="004A0253">
        <w:rPr>
          <w:rFonts w:ascii="Palatino Linotype" w:hAnsi="Palatino Linotype"/>
        </w:rPr>
        <w:t>n</w:t>
      </w:r>
      <w:r w:rsidRPr="004A0253">
        <w:rPr>
          <w:rFonts w:ascii="Palatino Linotype" w:hAnsi="Palatino Linotype" w:cs="Segoe UI Historic"/>
        </w:rPr>
        <w:t>ü</w:t>
      </w:r>
      <w:r w:rsidRPr="004A0253">
        <w:rPr>
          <w:rFonts w:ascii="Palatino Linotype" w:hAnsi="Palatino Linotype"/>
        </w:rPr>
        <w:t>n Sa</w:t>
      </w:r>
      <w:r w:rsidRPr="004A0253">
        <w:rPr>
          <w:rFonts w:ascii="Palatino Linotype" w:hAnsi="Palatino Linotype" w:cs="Calibri"/>
        </w:rPr>
        <w:t>ğ</w:t>
      </w:r>
      <w:r w:rsidRPr="004A0253">
        <w:rPr>
          <w:rFonts w:ascii="Palatino Linotype" w:hAnsi="Palatino Linotype"/>
        </w:rPr>
        <w:t>lanmas</w:t>
      </w:r>
      <w:r w:rsidRPr="004A0253">
        <w:rPr>
          <w:rFonts w:ascii="Palatino Linotype" w:hAnsi="Palatino Linotype" w:cs="Segoe UI Historic"/>
        </w:rPr>
        <w:t>ı</w:t>
      </w:r>
      <w:r w:rsidRPr="004A0253">
        <w:rPr>
          <w:rFonts w:ascii="Palatino Linotype" w:hAnsi="Palatino Linotype"/>
        </w:rPr>
        <w:t>na Y</w:t>
      </w:r>
      <w:r w:rsidRPr="004A0253">
        <w:rPr>
          <w:rFonts w:ascii="Palatino Linotype" w:hAnsi="Palatino Linotype" w:cs="Segoe UI Historic"/>
        </w:rPr>
        <w:t>ö</w:t>
      </w:r>
      <w:r w:rsidRPr="004A0253">
        <w:rPr>
          <w:rFonts w:ascii="Palatino Linotype" w:hAnsi="Palatino Linotype"/>
        </w:rPr>
        <w:t>nelik Al</w:t>
      </w:r>
      <w:r w:rsidRPr="004A0253">
        <w:rPr>
          <w:rFonts w:ascii="Palatino Linotype" w:hAnsi="Palatino Linotype" w:cs="Segoe UI Historic"/>
        </w:rPr>
        <w:t>ı</w:t>
      </w:r>
      <w:r w:rsidRPr="004A0253">
        <w:rPr>
          <w:rFonts w:ascii="Palatino Linotype" w:hAnsi="Palatino Linotype"/>
        </w:rPr>
        <w:t>nmas</w:t>
      </w:r>
      <w:r w:rsidRPr="004A0253">
        <w:rPr>
          <w:rFonts w:ascii="Palatino Linotype" w:hAnsi="Palatino Linotype" w:cs="Segoe UI Historic"/>
        </w:rPr>
        <w:t>ı</w:t>
      </w:r>
      <w:r w:rsidRPr="004A0253">
        <w:rPr>
          <w:rFonts w:ascii="Palatino Linotype" w:hAnsi="Palatino Linotype"/>
        </w:rPr>
        <w:t xml:space="preserve"> Gereken Tedbirler A</w:t>
      </w:r>
      <w:r w:rsidRPr="004A0253">
        <w:rPr>
          <w:rFonts w:ascii="Palatino Linotype" w:hAnsi="Palatino Linotype" w:cs="Segoe UI Historic"/>
        </w:rPr>
        <w:t>çı</w:t>
      </w:r>
      <w:r w:rsidRPr="004A0253">
        <w:rPr>
          <w:rFonts w:ascii="Palatino Linotype" w:hAnsi="Palatino Linotype"/>
        </w:rPr>
        <w:t>s</w:t>
      </w:r>
      <w:r w:rsidRPr="004A0253">
        <w:rPr>
          <w:rFonts w:ascii="Palatino Linotype" w:hAnsi="Palatino Linotype" w:cs="Segoe UI Historic"/>
        </w:rPr>
        <w:t>ı</w:t>
      </w:r>
      <w:r w:rsidRPr="004A0253">
        <w:rPr>
          <w:rFonts w:ascii="Palatino Linotype" w:hAnsi="Palatino Linotype"/>
        </w:rPr>
        <w:t>ndan</w:t>
      </w:r>
      <w:bookmarkEnd w:id="15"/>
      <w:r w:rsidRPr="004A0253">
        <w:rPr>
          <w:rFonts w:ascii="Palatino Linotype" w:hAnsi="Palatino Linotype"/>
        </w:rPr>
        <w:t xml:space="preserve"> </w:t>
      </w:r>
    </w:p>
    <w:p w14:paraId="6A04DFAC"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AİHM’in bağlayıcı ve delilin sıhhatini etkileyecek nitelikteki tespitlerinden hareketle, Bylock bilgilerinin </w:t>
      </w:r>
      <w:r w:rsidRPr="006B4754">
        <w:rPr>
          <w:rFonts w:cs="Segoe UI"/>
          <w:b/>
          <w:bCs/>
          <w:kern w:val="0"/>
        </w:rPr>
        <w:t xml:space="preserve">elde edilme sürecinde </w:t>
      </w:r>
      <w:r w:rsidRPr="006B4754">
        <w:rPr>
          <w:rFonts w:cs="Segoe UI"/>
          <w:kern w:val="0"/>
        </w:rPr>
        <w:t>veri bütünlüğünü sağlamak amacıyla; sonradan değiştirme, bozma ve tahrif ihtimaline karşı acaba hangi önleyici prosedürler (imaj alma, özet değeri çıkarma ve zaman damgası vb.) uygulanmıştır? Delilin serverdan ele geçirildiği ana ilişkin kamera/fotoğraf kaydı var mıdır? Soruşturma işlemleri yazılı olduğundan bu işlemlere ilişkin tutanak tutulmuş mudur? Dijital materyalin yapısının hassas, harici etkilere açık ve değiştirilmeye müsait olması nedeniyle ilk temasın/müdahalenin nasıl ve hangi şartlarda gerçekleştirildiğinin belirtilmesi gerekirken, bu konuda hiçbir hususa neden yer verilmemiştir?</w:t>
      </w:r>
    </w:p>
    <w:p w14:paraId="5805CB55"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Hangi işlemi kimler yapmıştır? Bilgilere ilişkin ham veriler değiştirme ve tahrif ihtimaline karşı </w:t>
      </w:r>
      <w:r w:rsidRPr="006B4754">
        <w:rPr>
          <w:rFonts w:cs="Segoe UI"/>
          <w:i/>
          <w:iCs/>
          <w:kern w:val="0"/>
        </w:rPr>
        <w:t>“sağlama”</w:t>
      </w:r>
      <w:r w:rsidRPr="006B4754">
        <w:rPr>
          <w:rFonts w:cs="Segoe UI"/>
          <w:kern w:val="0"/>
        </w:rPr>
        <w:t xml:space="preserve"> yapmak amacıyla korunmakta mıdır? Korunuyorsa nerede, kim tarafından ve nasıl korunmaktadır? Ham veriler adli mercilere teslim edilmiş midir ve adli mercilerce deliller arasında muhafaza edilmekte midir? Bu işlemler yapıldıysa neden bu hususlara hiçbir kararda yer verilmemiştir? </w:t>
      </w:r>
    </w:p>
    <w:p w14:paraId="715673C3"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Bu sorulara ulusal mahkemelerce cevap verilmemiştir. Ancak Hükümet, AİHM’e sunduğu beyanda cevap vermek zorunda kalmış ve bu cevapla birlikte </w:t>
      </w:r>
      <w:r w:rsidRPr="006B4754">
        <w:rPr>
          <w:rFonts w:cs="Segoe UI"/>
          <w:b/>
          <w:bCs/>
          <w:kern w:val="0"/>
        </w:rPr>
        <w:t xml:space="preserve">Bylock’un </w:t>
      </w:r>
      <w:r w:rsidRPr="006B4754">
        <w:rPr>
          <w:rFonts w:cs="Segoe UI"/>
          <w:b/>
          <w:bCs/>
          <w:kern w:val="0"/>
        </w:rPr>
        <w:lastRenderedPageBreak/>
        <w:t>hukuka aykırı bir delil olduğunu</w:t>
      </w:r>
      <w:r w:rsidRPr="006B4754">
        <w:rPr>
          <w:rFonts w:cs="Segoe UI"/>
          <w:kern w:val="0"/>
        </w:rPr>
        <w:t xml:space="preserve"> açıkça itiraf edilmiştir. Zira Hükümete göre MİT, ham verileri </w:t>
      </w:r>
      <w:r w:rsidRPr="006B4754">
        <w:rPr>
          <w:rFonts w:cs="Segoe UI"/>
          <w:b/>
          <w:bCs/>
          <w:kern w:val="0"/>
        </w:rPr>
        <w:t>kişi müdahalesi olmaksızın, kendiliğinden oluşturduğu bir dosya biçiminde Bylock sunucusundan elde etmiştir.</w:t>
      </w:r>
      <w:r w:rsidRPr="006B4754">
        <w:rPr>
          <w:rFonts w:cs="Segoe UI"/>
          <w:kern w:val="0"/>
        </w:rPr>
        <w:t xml:space="preserve"> </w:t>
      </w:r>
      <w:r w:rsidRPr="006B4754">
        <w:rPr>
          <w:rFonts w:cs="Segoe UI"/>
          <w:b/>
          <w:bCs/>
          <w:kern w:val="0"/>
        </w:rPr>
        <w:t xml:space="preserve">Veri bütünlüğünün sağlanması amacıyla, adli makamlara </w:t>
      </w:r>
      <w:r w:rsidRPr="006B4754">
        <w:rPr>
          <w:rFonts w:cs="Segoe UI"/>
          <w:b/>
          <w:bCs/>
          <w:kern w:val="0"/>
          <w:u w:val="single"/>
        </w:rPr>
        <w:t>teslim edilmesi öncesinde dosyanın HASH değeri hesaplanmıştır.</w:t>
      </w:r>
      <w:r w:rsidRPr="006B4754">
        <w:rPr>
          <w:rFonts w:cs="Segoe UI"/>
          <w:b/>
          <w:bCs/>
          <w:kern w:val="0"/>
        </w:rPr>
        <w:t xml:space="preserve"> Akabinde</w:t>
      </w:r>
      <w:r w:rsidRPr="006B4754">
        <w:rPr>
          <w:rFonts w:cs="Segoe UI"/>
          <w:kern w:val="0"/>
        </w:rPr>
        <w:t xml:space="preserve"> dosyanın adli makamlara ulaşması üzerine, ham Bylock verilerini içeren sabit disk CMK’nın 134. maddesi uyarınca </w:t>
      </w:r>
      <w:r w:rsidRPr="006B4754">
        <w:rPr>
          <w:rFonts w:cs="Segoe UI"/>
          <w:b/>
          <w:bCs/>
          <w:kern w:val="0"/>
        </w:rPr>
        <w:t>incelemeye tabi tutulmuştur (</w:t>
      </w:r>
      <w:r w:rsidRPr="006B4754">
        <w:rPr>
          <w:rFonts w:cs="Segoe UI"/>
          <w:b/>
          <w:bCs/>
          <w:kern w:val="0"/>
          <w:shd w:val="clear" w:color="auto" w:fill="FFFFFF"/>
        </w:rPr>
        <w:t xml:space="preserve">§ </w:t>
      </w:r>
      <w:r w:rsidRPr="006B4754">
        <w:rPr>
          <w:rFonts w:cs="Segoe UI"/>
          <w:b/>
          <w:bCs/>
          <w:kern w:val="0"/>
        </w:rPr>
        <w:t>292).</w:t>
      </w:r>
      <w:r w:rsidRPr="006B4754">
        <w:rPr>
          <w:rFonts w:cs="Segoe UI"/>
          <w:kern w:val="0"/>
        </w:rPr>
        <w:t> </w:t>
      </w:r>
    </w:p>
    <w:p w14:paraId="1CA3F1A9"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Bylock’ta ise orijinal veri ile elde edilen delil arasında bütünlük ve içerik doğrulama imkânı ortadan kalkmıştır. Çünkü dijital materyallere ilişkin uygulanması gereken koruma tedbiri uygulanmamış (CMK m.134) ve adli bilişim sürecine ilişkin; fotoğraflama, video kaydı, kroki ve plan, numaralandırma, parmak izi, delil torbasına konulması ve etiketlenmesi, delil torbasının mühürlenmesi, delil formunun hazırlanması, orijinal delilin ilk hali- inceleme anı ve sonrasına ilişkin geçirdiği süreci anlatan rapor ve tutanak, imaj alma anına ilişkin ekran görüntüleri ve kamera kaydı, orijinal verinin, imajın ve klonun </w:t>
      </w:r>
      <w:proofErr w:type="spellStart"/>
      <w:r w:rsidRPr="006B4754">
        <w:rPr>
          <w:rFonts w:cs="Segoe UI"/>
          <w:kern w:val="0"/>
        </w:rPr>
        <w:t>hash</w:t>
      </w:r>
      <w:proofErr w:type="spellEnd"/>
      <w:r w:rsidRPr="006B4754">
        <w:rPr>
          <w:rFonts w:cs="Segoe UI"/>
          <w:kern w:val="0"/>
        </w:rPr>
        <w:t xml:space="preserve"> bilgileri, zaman damgası, meta verilerin olması, kullanılan araç ve gereçler ile metotların açıklanması gibi işlemler yanlış işletilmiştir. Delile kimin el koyduğu, el koyduğu delili nasıl muhafaza ettiği, delilin değişmediğine ilişkin hangi tedbirlerin alındığı, delil torbasına kondu ise mühürlenip mühürlenmediği tutanak altına alınmamıştır.</w:t>
      </w:r>
      <w:r w:rsidRPr="006B4754">
        <w:rPr>
          <w:rFonts w:cs="Palatino Linotype"/>
          <w:kern w:val="0"/>
          <w:sz w:val="21"/>
          <w:szCs w:val="21"/>
        </w:rPr>
        <w:t xml:space="preserve"> </w:t>
      </w:r>
    </w:p>
    <w:p w14:paraId="587A9092"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Ayrıca kamera kaydı ile imaj alma işlemi tamamlandıktan sonra; bir kopyası (yani bir hard disk) şüpheli veya müdafine verilmesi ve </w:t>
      </w:r>
      <w:r w:rsidRPr="006B4754">
        <w:rPr>
          <w:rFonts w:cs="Segoe UI"/>
          <w:b/>
          <w:bCs/>
          <w:kern w:val="0"/>
        </w:rPr>
        <w:t xml:space="preserve">imaj alma tutanağı </w:t>
      </w:r>
      <w:r w:rsidRPr="006B4754">
        <w:rPr>
          <w:rFonts w:cs="Segoe UI"/>
          <w:kern w:val="0"/>
        </w:rPr>
        <w:t xml:space="preserve">ile yapılan işlemlerin yazılı olarak zapta geçirilmesi gerekirken bunların hiç birine uyulmamıştır. Yine, bu tutanakta; soruşturma bilgileri, karar numaraları, şüpheli bilgileri, dijital materyale ait marka, model, seri numarası, imajın aktarıldığı hard disklere ait marka, model, seri numarası bilgileri, imaj alma işlemine başlanıldığı ve işlemin bittiği tarih, saat bilgisi, imaj alma işlemine ait </w:t>
      </w:r>
      <w:proofErr w:type="spellStart"/>
      <w:r w:rsidRPr="006B4754">
        <w:rPr>
          <w:rFonts w:cs="Segoe UI"/>
          <w:kern w:val="0"/>
        </w:rPr>
        <w:t>hash</w:t>
      </w:r>
      <w:proofErr w:type="spellEnd"/>
      <w:r w:rsidRPr="006B4754">
        <w:rPr>
          <w:rFonts w:cs="Segoe UI"/>
          <w:kern w:val="0"/>
        </w:rPr>
        <w:t xml:space="preserve"> (dijital imza) değeri, imajı alan kolluk görevlisinin isim, soy isim veya sicil bilgisi ile imzası, adli kopyayı teslim alan şüpheli veya vekilinin isim, soy isim ve imzası gibi bilgiler yer alması gerekirken, Bylock verilerinin ele geçirilmesi sırasında bunların hiç birine riayet edilmemiştir. </w:t>
      </w:r>
    </w:p>
    <w:p w14:paraId="7109295F"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shd w:val="clear" w:color="auto" w:fill="FFFFFF"/>
        </w:rPr>
        <w:t xml:space="preserve">Acaba verilere müdahale, sadece kişi müdahalesi yani fiziki müdahaleyle mi sınırlı mıdır ki, Hükümet böyle bu müdahalenin insan eliyle yapılmadığını, fakat bir program vasıtasıyla verilere müdahale edildiğini söylemiştir? </w:t>
      </w:r>
      <w:r w:rsidRPr="006B4754">
        <w:rPr>
          <w:rFonts w:cs="Segoe UI"/>
          <w:b/>
          <w:bCs/>
          <w:kern w:val="0"/>
          <w:shd w:val="clear" w:color="auto" w:fill="FFFFFF"/>
        </w:rPr>
        <w:t>Verilere müdahalenin yöntemi mi yoksa varlığı mı önemlidir? </w:t>
      </w:r>
      <w:r w:rsidRPr="006B4754">
        <w:rPr>
          <w:rFonts w:cs="Segoe UI"/>
          <w:b/>
          <w:bCs/>
          <w:kern w:val="0"/>
        </w:rPr>
        <w:t> Verilere müdahalenin kapsamı nedir, ekleme-çıkarma-</w:t>
      </w:r>
      <w:proofErr w:type="spellStart"/>
      <w:r w:rsidRPr="006B4754">
        <w:rPr>
          <w:rFonts w:cs="Segoe UI"/>
          <w:b/>
          <w:bCs/>
          <w:kern w:val="0"/>
        </w:rPr>
        <w:t>yoketme</w:t>
      </w:r>
      <w:proofErr w:type="spellEnd"/>
      <w:r w:rsidRPr="006B4754">
        <w:rPr>
          <w:rFonts w:cs="Segoe UI"/>
          <w:b/>
          <w:bCs/>
          <w:kern w:val="0"/>
        </w:rPr>
        <w:t xml:space="preserve">-tahrip etme, manipüle etme </w:t>
      </w:r>
      <w:proofErr w:type="spellStart"/>
      <w:r w:rsidRPr="006B4754">
        <w:rPr>
          <w:rFonts w:cs="Segoe UI"/>
          <w:b/>
          <w:bCs/>
          <w:kern w:val="0"/>
        </w:rPr>
        <w:t>vs</w:t>
      </w:r>
      <w:proofErr w:type="spellEnd"/>
      <w:r w:rsidRPr="006B4754">
        <w:rPr>
          <w:rFonts w:cs="Segoe UI"/>
          <w:b/>
          <w:bCs/>
          <w:kern w:val="0"/>
        </w:rPr>
        <w:t xml:space="preserve"> gibi eylemlerin gerçekleştirilmediği nasıl ispat edilmektedir?</w:t>
      </w:r>
    </w:p>
    <w:p w14:paraId="078516C7"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Dijital bir delille ilgili olarak öncelikle, orijinal dijital materyalin HASH değeri (h(o)) hesaplanıp ardından imajı alınır. Sonrasında imajın HASH değeri (h(i)) hesaplanır. Alınan imajın, orijinal delilin birebir kopyası olduğunu ispat etmek için H(o) ile H(i) karşılaştırılır. Eğer her iki HASH değeri de aynıysa eldeki kopya orijinalin birebir aynısı demektir. Ardından, orijinal delilin HASH değeri (H(o2)) tekrar hesaplanır ve imaj alma işleminin orijinal delili değiştirmediğini ispatlamak için H(o) ile H(o2)</w:t>
      </w:r>
      <w:r w:rsidRPr="006B4754">
        <w:rPr>
          <w:rFonts w:cs="Palatino Linotype"/>
          <w:kern w:val="0"/>
          <w:sz w:val="21"/>
          <w:szCs w:val="21"/>
        </w:rPr>
        <w:t xml:space="preserve"> </w:t>
      </w:r>
      <w:r w:rsidRPr="006B4754">
        <w:rPr>
          <w:rFonts w:cs="Segoe UI"/>
          <w:kern w:val="0"/>
        </w:rPr>
        <w:t xml:space="preserve">değerleri karşılaştırılır. Her iki HASH değeri de aynı ise orijinal delilin imaj alma işlemi ile değişikliğe uğramadığı, </w:t>
      </w:r>
      <w:r w:rsidRPr="006B4754">
        <w:rPr>
          <w:rFonts w:cs="Segoe UI"/>
          <w:kern w:val="0"/>
        </w:rPr>
        <w:lastRenderedPageBreak/>
        <w:t>yani bütünlüğünün korunduğu tespit edilir. Son olarak da HASH hesaplama işlemi yapıldığı ana ilişkin fotoğraflama yapılıp kamera kaydı alınır ve yapılan işlem tutanağa bağlanır.</w:t>
      </w:r>
    </w:p>
    <w:p w14:paraId="17C78E1D"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shd w:val="clear" w:color="auto" w:fill="FFFFFF"/>
        </w:rPr>
        <w:t xml:space="preserve">Dijital delille ilgili imaj ve HSAH değeri alma süreci yukarıda anlatıldığı şekilde olması gerekirken, Bylock verilerinin HASH değeri neden ve sadece 09/12/2016 tarihinde adli mercilere </w:t>
      </w:r>
      <w:r w:rsidRPr="006B4754">
        <w:rPr>
          <w:rFonts w:cs="Segoe UI"/>
          <w:b/>
          <w:bCs/>
          <w:kern w:val="0"/>
          <w:shd w:val="clear" w:color="auto" w:fill="FFFFFF"/>
        </w:rPr>
        <w:t>tesliminden önce alınmıştır?</w:t>
      </w:r>
      <w:r w:rsidRPr="006B4754">
        <w:rPr>
          <w:rFonts w:cs="Segoe UI"/>
          <w:kern w:val="0"/>
          <w:shd w:val="clear" w:color="auto" w:fill="FFFFFF"/>
        </w:rPr>
        <w:t xml:space="preserve"> MİT’in verileri </w:t>
      </w:r>
      <w:r w:rsidRPr="006B4754">
        <w:rPr>
          <w:rFonts w:cs="Segoe UI"/>
          <w:b/>
          <w:bCs/>
          <w:kern w:val="0"/>
          <w:shd w:val="clear" w:color="auto" w:fill="FFFFFF"/>
        </w:rPr>
        <w:t xml:space="preserve">ilk ele geçirdiği döneme ilişkin HASH değeri neden yoktur ve alınmamıştır? </w:t>
      </w:r>
      <w:r w:rsidRPr="006B4754">
        <w:rPr>
          <w:rFonts w:cs="Segoe UI"/>
          <w:kern w:val="0"/>
          <w:shd w:val="clear" w:color="auto" w:fill="FFFFFF"/>
        </w:rPr>
        <w:t xml:space="preserve">Bu iki değer olmadan ve </w:t>
      </w:r>
      <w:r w:rsidRPr="006B4754">
        <w:rPr>
          <w:rFonts w:cs="Segoe UI"/>
          <w:b/>
          <w:bCs/>
          <w:kern w:val="0"/>
          <w:shd w:val="clear" w:color="auto" w:fill="FFFFFF"/>
        </w:rPr>
        <w:t xml:space="preserve">bunlar karşılaştırılmadan </w:t>
      </w:r>
      <w:r w:rsidRPr="006B4754">
        <w:rPr>
          <w:rFonts w:cs="Segoe UI"/>
          <w:kern w:val="0"/>
          <w:shd w:val="clear" w:color="auto" w:fill="FFFFFF"/>
        </w:rPr>
        <w:t xml:space="preserve">veriler üzerinde </w:t>
      </w:r>
      <w:r w:rsidRPr="006B4754">
        <w:rPr>
          <w:rFonts w:cs="Segoe UI"/>
          <w:b/>
          <w:bCs/>
          <w:kern w:val="0"/>
          <w:shd w:val="clear" w:color="auto" w:fill="FFFFFF"/>
        </w:rPr>
        <w:t xml:space="preserve">oynama yapılıp yapılmadığı nasıl anlaşılacaktır? </w:t>
      </w:r>
      <w:r w:rsidRPr="006B4754">
        <w:rPr>
          <w:rFonts w:cs="Segoe UI"/>
          <w:kern w:val="0"/>
          <w:shd w:val="clear" w:color="auto" w:fill="FFFFFF"/>
        </w:rPr>
        <w:t xml:space="preserve">Bu ifade bile tek başına veriler üzerinde her türlü çalışmanın yapılıp orijinalliğinin bozulduğunun itirafı değil midir? </w:t>
      </w:r>
      <w:r w:rsidRPr="006B4754">
        <w:rPr>
          <w:rFonts w:cs="Segoe UI"/>
          <w:b/>
          <w:bCs/>
          <w:kern w:val="0"/>
          <w:shd w:val="clear" w:color="auto" w:fill="FFFFFF"/>
        </w:rPr>
        <w:t>İlk değer olmadan ve üzerinde her türlü çalışmanın yapıldığı veriler üzerinden en son alınan HASH değerinin ne anlamı ve önemi olabilir?</w:t>
      </w:r>
      <w:r w:rsidRPr="006B4754">
        <w:rPr>
          <w:rFonts w:cs="Segoe UI"/>
          <w:kern w:val="0"/>
        </w:rPr>
        <w:t>  </w:t>
      </w:r>
    </w:p>
    <w:p w14:paraId="5DA39C64"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AİHM de bu hususa vurgu yapmış ve</w:t>
      </w:r>
      <w:r w:rsidRPr="006B4754">
        <w:rPr>
          <w:rFonts w:cs="Segoe UI"/>
          <w:b/>
          <w:bCs/>
          <w:kern w:val="0"/>
        </w:rPr>
        <w:t xml:space="preserve"> verilerin MİT tarafından tesliminden sonra adli makamlar tarafından alınan tedbirlere ilişkin açıklamaların, verilerin </w:t>
      </w:r>
      <w:r w:rsidRPr="006B4754">
        <w:rPr>
          <w:rFonts w:cs="Segoe UI"/>
          <w:b/>
          <w:bCs/>
          <w:kern w:val="0"/>
          <w:u w:val="single"/>
        </w:rPr>
        <w:t>savcılığa teslimden önce</w:t>
      </w:r>
      <w:r w:rsidRPr="006B4754">
        <w:rPr>
          <w:rFonts w:cs="Segoe UI"/>
          <w:b/>
          <w:bCs/>
          <w:kern w:val="0"/>
        </w:rPr>
        <w:t xml:space="preserve"> bütünlüğünün bozulup bozulmadığına ilişkin bir değerlendirmeyi içermediğini söylemiştir</w:t>
      </w:r>
      <w:r w:rsidRPr="006B4754">
        <w:rPr>
          <w:rFonts w:cs="Segoe UI"/>
          <w:kern w:val="0"/>
        </w:rPr>
        <w:t xml:space="preserve"> (</w:t>
      </w:r>
      <w:r w:rsidRPr="006B4754">
        <w:rPr>
          <w:rFonts w:cs="Segoe UI"/>
          <w:kern w:val="0"/>
          <w:shd w:val="clear" w:color="auto" w:fill="FFFFFF"/>
        </w:rPr>
        <w:t xml:space="preserve">§ </w:t>
      </w:r>
      <w:r w:rsidRPr="006B4754">
        <w:rPr>
          <w:rFonts w:cs="Segoe UI"/>
          <w:kern w:val="0"/>
        </w:rPr>
        <w:t>333). </w:t>
      </w:r>
    </w:p>
    <w:p w14:paraId="68B38875"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shd w:val="clear" w:color="auto" w:fill="FFFFFF"/>
        </w:rPr>
        <w:t xml:space="preserve">Yine Hükümete göre </w:t>
      </w:r>
      <w:r w:rsidRPr="006B4754">
        <w:rPr>
          <w:rFonts w:cs="Segoe UI"/>
          <w:b/>
          <w:bCs/>
          <w:kern w:val="0"/>
          <w:shd w:val="clear" w:color="auto" w:fill="FFFFFF"/>
        </w:rPr>
        <w:t>veriler adli mercilere ulaştıktan sonra CMK’nın 134. maddesine göre incelemeye tabi tutulmuştur.</w:t>
      </w:r>
      <w:r w:rsidRPr="006B4754">
        <w:rPr>
          <w:rFonts w:cs="Segoe UI"/>
          <w:kern w:val="0"/>
          <w:shd w:val="clear" w:color="auto" w:fill="FFFFFF"/>
        </w:rPr>
        <w:t xml:space="preserve"> Ancak bu savunma açıkça CMK’nın 134. maddesine aykırıdır. Zira bu madde gereğince, </w:t>
      </w:r>
      <w:r w:rsidRPr="006B4754">
        <w:rPr>
          <w:rFonts w:cs="Segoe UI"/>
          <w:b/>
          <w:bCs/>
          <w:kern w:val="0"/>
          <w:shd w:val="clear" w:color="auto" w:fill="FFFFFF"/>
        </w:rPr>
        <w:t xml:space="preserve">bir suç dolayısıyla yapılan soruşturmada, </w:t>
      </w:r>
      <w:r w:rsidRPr="006B4754">
        <w:rPr>
          <w:rFonts w:cs="Segoe UI"/>
          <w:kern w:val="0"/>
          <w:shd w:val="clear" w:color="auto" w:fill="FFFFFF"/>
        </w:rPr>
        <w:t xml:space="preserve">hâkim veya gecikmesinde sakınca bulunan hâllerde </w:t>
      </w:r>
      <w:r w:rsidRPr="006B4754">
        <w:rPr>
          <w:rFonts w:cs="Segoe UI"/>
          <w:b/>
          <w:bCs/>
          <w:kern w:val="0"/>
          <w:shd w:val="clear" w:color="auto" w:fill="FFFFFF"/>
        </w:rPr>
        <w:t>C. savcısı</w:t>
      </w:r>
      <w:r w:rsidRPr="006B4754">
        <w:rPr>
          <w:rFonts w:cs="Segoe UI"/>
          <w:kern w:val="0"/>
          <w:shd w:val="clear" w:color="auto" w:fill="FFFFFF"/>
        </w:rPr>
        <w:t xml:space="preserve"> tarafından şüphelinin kullandığı bilgisayar ve kütüklerinde arama</w:t>
      </w:r>
      <w:r w:rsidRPr="006B4754">
        <w:rPr>
          <w:rFonts w:cs="Segoe UI"/>
          <w:b/>
          <w:bCs/>
          <w:kern w:val="0"/>
          <w:shd w:val="clear" w:color="auto" w:fill="FFFFFF"/>
        </w:rPr>
        <w:t xml:space="preserve"> yapılmasına, imaj alınmasına ve bu kayıtların çözülerek metin hâline getirilmesine karar verilir. </w:t>
      </w:r>
      <w:r w:rsidRPr="006B4754">
        <w:rPr>
          <w:rFonts w:cs="Segoe UI"/>
          <w:b/>
          <w:bCs/>
          <w:kern w:val="0"/>
        </w:rPr>
        <w:t xml:space="preserve"> </w:t>
      </w:r>
    </w:p>
    <w:p w14:paraId="4A86F26E"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Hükümetin,</w:t>
      </w:r>
      <w:r w:rsidRPr="006B4754">
        <w:rPr>
          <w:rFonts w:cs="Segoe UI"/>
          <w:b/>
          <w:bCs/>
          <w:kern w:val="0"/>
        </w:rPr>
        <w:t xml:space="preserve"> </w:t>
      </w:r>
      <w:r w:rsidRPr="006B4754">
        <w:rPr>
          <w:rFonts w:cs="Segoe UI"/>
          <w:kern w:val="0"/>
        </w:rPr>
        <w:t xml:space="preserve">MİT’in teslim ettiği dijital malzeme üzerinde incelemeye tabi tutulmasından kastı </w:t>
      </w:r>
      <w:r w:rsidRPr="006B4754">
        <w:rPr>
          <w:rFonts w:cs="Segoe UI"/>
          <w:i/>
          <w:iCs/>
          <w:kern w:val="0"/>
        </w:rPr>
        <w:t xml:space="preserve">“imaj alınması” </w:t>
      </w:r>
      <w:r w:rsidRPr="006B4754">
        <w:rPr>
          <w:rFonts w:cs="Segoe UI"/>
          <w:kern w:val="0"/>
        </w:rPr>
        <w:t xml:space="preserve">için talepte bulunulduğu ve bu talebin kabul edilmesidir. Ancak imaj almanın </w:t>
      </w:r>
      <w:r w:rsidRPr="006B4754">
        <w:rPr>
          <w:rFonts w:cs="Segoe UI"/>
          <w:b/>
          <w:bCs/>
          <w:kern w:val="0"/>
        </w:rPr>
        <w:t>ön şartı, öncesinde verilmiş bir arama kararının bulunmasıdır ve ne hikmetse bu karardan hiç bahsedilmemiştir.</w:t>
      </w:r>
      <w:r w:rsidRPr="006B4754">
        <w:rPr>
          <w:rFonts w:cs="Segoe UI"/>
          <w:kern w:val="0"/>
        </w:rPr>
        <w:t xml:space="preserve"> Acaba, Bylock sunucusu üzerinde </w:t>
      </w:r>
      <w:r w:rsidRPr="006B4754">
        <w:rPr>
          <w:rFonts w:cs="Segoe UI"/>
          <w:b/>
          <w:bCs/>
          <w:kern w:val="0"/>
        </w:rPr>
        <w:t>arama yapılması için verilmiş bir karar olmadan mı imaj alma talebinde bulunulmuştur ki hiçbir kararda bu arama kararıyla ilgili bir bilgiye yer verilmemiştir? Eğer böyle bir karar varsa Yargıtay Ceza Genel Kurulu hukuk tarihinde bir ilk olarak imaj alma kararını “geçmişe dönük arama” olarak kabul etmiştir.</w:t>
      </w:r>
      <w:r w:rsidRPr="006B4754">
        <w:rPr>
          <w:rStyle w:val="DipnotBavurusu"/>
          <w:rFonts w:cs="Segoe UI"/>
          <w:b/>
          <w:bCs/>
          <w:kern w:val="0"/>
        </w:rPr>
        <w:footnoteReference w:id="5"/>
      </w:r>
      <w:r w:rsidRPr="006B4754">
        <w:rPr>
          <w:rFonts w:cs="Segoe UI"/>
          <w:b/>
          <w:bCs/>
          <w:kern w:val="0"/>
        </w:rPr>
        <w:t xml:space="preserve"> İmaj almanın ön ve ilk şartı olan arama kararı olmadan verilen imaj alma kararı nasıl olur da arama kararı kabul edilebilir?</w:t>
      </w:r>
      <w:r w:rsidRPr="006B4754">
        <w:rPr>
          <w:rFonts w:cs="Segoe UI"/>
          <w:kern w:val="0"/>
        </w:rPr>
        <w:t> Silahların eşitliği ilkesi gereğince, imaj alma ya da arama yapıldığı anda şüpheli/sanık müdafileri neden hazır bulundurulmamıştır?</w:t>
      </w:r>
    </w:p>
    <w:p w14:paraId="360F3E74"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shd w:val="clear" w:color="auto" w:fill="FFFFFF"/>
        </w:rPr>
        <w:t xml:space="preserve">Bylock’la ilgili soruşturma 09/12/2016’da, yani </w:t>
      </w:r>
      <w:r w:rsidRPr="006B4754">
        <w:rPr>
          <w:rFonts w:cs="Segoe UI"/>
          <w:b/>
          <w:bCs/>
          <w:kern w:val="0"/>
          <w:shd w:val="clear" w:color="auto" w:fill="FFFFFF"/>
        </w:rPr>
        <w:t>verilerin savcılığa teslim edildiği gün başlamıştır</w:t>
      </w:r>
      <w:r w:rsidRPr="006B4754">
        <w:rPr>
          <w:rFonts w:cs="Segoe UI"/>
          <w:kern w:val="0"/>
          <w:shd w:val="clear" w:color="auto" w:fill="FFFFFF"/>
        </w:rPr>
        <w:t xml:space="preserve"> ve Bylock verileri </w:t>
      </w:r>
      <w:r w:rsidRPr="006B4754">
        <w:rPr>
          <w:rFonts w:cs="Segoe UI"/>
          <w:b/>
          <w:bCs/>
          <w:kern w:val="0"/>
          <w:shd w:val="clear" w:color="auto" w:fill="FFFFFF"/>
        </w:rPr>
        <w:t>ancak bu tarihten sonra verilecek bir hakim kararı üzerine yapılacak aramada ele geçirilip imajı alındıktan üzerinde çalışma yapılabilir.</w:t>
      </w:r>
      <w:r w:rsidRPr="006B4754">
        <w:rPr>
          <w:rFonts w:cs="Segoe UI"/>
          <w:kern w:val="0"/>
          <w:shd w:val="clear" w:color="auto" w:fill="FFFFFF"/>
        </w:rPr>
        <w:t xml:space="preserve"> Aynı şekilde, Bylock verileri </w:t>
      </w:r>
      <w:r w:rsidRPr="006B4754">
        <w:rPr>
          <w:rFonts w:cs="Segoe UI"/>
          <w:kern w:val="0"/>
        </w:rPr>
        <w:t xml:space="preserve">bulundukları yerden götürüldüğüne göre, bu işlemin </w:t>
      </w:r>
      <w:r w:rsidRPr="006B4754">
        <w:rPr>
          <w:rFonts w:cs="Segoe UI"/>
          <w:b/>
          <w:bCs/>
          <w:kern w:val="0"/>
        </w:rPr>
        <w:t xml:space="preserve">verilmiş </w:t>
      </w:r>
      <w:r w:rsidRPr="006B4754">
        <w:rPr>
          <w:rFonts w:cs="Segoe UI"/>
          <w:b/>
          <w:bCs/>
          <w:kern w:val="0"/>
        </w:rPr>
        <w:lastRenderedPageBreak/>
        <w:t>bir el koyma kararına dayanılarak yapılması gerekir.</w:t>
      </w:r>
      <w:r w:rsidRPr="006B4754">
        <w:rPr>
          <w:rFonts w:cs="Segoe UI"/>
          <w:kern w:val="0"/>
        </w:rPr>
        <w:t xml:space="preserve"> </w:t>
      </w:r>
      <w:r w:rsidRPr="006B4754">
        <w:rPr>
          <w:rFonts w:cs="Segoe UI"/>
          <w:kern w:val="0"/>
          <w:shd w:val="clear" w:color="auto" w:fill="FFFFFF"/>
        </w:rPr>
        <w:t xml:space="preserve">Bu işlemleri de </w:t>
      </w:r>
      <w:r w:rsidRPr="006B4754">
        <w:rPr>
          <w:rFonts w:cs="Segoe UI"/>
          <w:b/>
          <w:bCs/>
          <w:kern w:val="0"/>
          <w:shd w:val="clear" w:color="auto" w:fill="FFFFFF"/>
        </w:rPr>
        <w:t>MİT değil, adli kolluk yetkisi olan merciler yapabilir.</w:t>
      </w:r>
      <w:r w:rsidRPr="006B4754">
        <w:rPr>
          <w:rFonts w:cs="Segoe UI"/>
          <w:kern w:val="0"/>
        </w:rPr>
        <w:t> </w:t>
      </w:r>
    </w:p>
    <w:p w14:paraId="01DBAF7A"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shd w:val="clear" w:color="auto" w:fill="FFFFFF"/>
        </w:rPr>
        <w:t xml:space="preserve">Böyle bir yetkisi olmayan MİT’in hakim kararı olmadan ele geçirdiği </w:t>
      </w:r>
      <w:r w:rsidRPr="006B4754">
        <w:rPr>
          <w:rFonts w:cs="Segoe UI"/>
          <w:b/>
          <w:bCs/>
          <w:kern w:val="0"/>
          <w:shd w:val="clear" w:color="auto" w:fill="FFFFFF"/>
        </w:rPr>
        <w:t xml:space="preserve">Bylock verileri ancak istihbari bir bilgi ve delil olabilir. Fakat CMK’nın 134. maddesine uygun elde edilen ve ceza yargılamasında kullanılabilecek bir delil olarak kabulü mümkün değildir. </w:t>
      </w:r>
      <w:r w:rsidRPr="006B4754">
        <w:rPr>
          <w:rFonts w:cs="Segoe UI"/>
          <w:kern w:val="0"/>
          <w:shd w:val="clear" w:color="auto" w:fill="FFFFFF"/>
        </w:rPr>
        <w:t xml:space="preserve">Kısaca, Bylock’ta süreç baştan sona </w:t>
      </w:r>
      <w:r w:rsidRPr="006B4754">
        <w:rPr>
          <w:rFonts w:cs="Segoe UI"/>
          <w:b/>
          <w:bCs/>
          <w:kern w:val="0"/>
          <w:shd w:val="clear" w:color="auto" w:fill="FFFFFF"/>
        </w:rPr>
        <w:t xml:space="preserve">ters ve CMK’ya aykırı işletilmiştir. </w:t>
      </w:r>
      <w:r w:rsidRPr="006B4754">
        <w:rPr>
          <w:rFonts w:cs="Segoe UI"/>
          <w:kern w:val="0"/>
          <w:shd w:val="clear" w:color="auto" w:fill="FFFFFF"/>
        </w:rPr>
        <w:t xml:space="preserve">Yine CMK’nın 288/2. maddesi gereğince; </w:t>
      </w:r>
      <w:r w:rsidRPr="006B4754">
        <w:rPr>
          <w:rFonts w:cs="Segoe UI"/>
          <w:b/>
          <w:bCs/>
          <w:i/>
          <w:iCs/>
          <w:kern w:val="0"/>
          <w:shd w:val="clear" w:color="auto" w:fill="FFFFFF"/>
        </w:rPr>
        <w:t xml:space="preserve">“bir hukuk kuralının uygulanmaması veya yanlış uygulanması hukuka aykırılıktır” </w:t>
      </w:r>
      <w:r w:rsidRPr="006B4754">
        <w:rPr>
          <w:rFonts w:cs="Segoe UI"/>
          <w:kern w:val="0"/>
          <w:shd w:val="clear" w:color="auto" w:fill="FFFFFF"/>
        </w:rPr>
        <w:t xml:space="preserve">ve Bylock’ta olan durumda budur ve </w:t>
      </w:r>
      <w:r w:rsidRPr="006B4754">
        <w:rPr>
          <w:rFonts w:cs="Segoe UI"/>
          <w:b/>
          <w:bCs/>
          <w:kern w:val="0"/>
          <w:shd w:val="clear" w:color="auto" w:fill="FFFFFF"/>
        </w:rPr>
        <w:t>bu uygulama açıkça hukuka aykırıdır. Ancak, yargılamalarda MİT’in adli delil elde etme yetkisinin bulunmadığına dair ileri sürülen hususlar hiçbir şekilde karşılanmamıştır. </w:t>
      </w:r>
      <w:r w:rsidRPr="006B4754">
        <w:rPr>
          <w:rFonts w:cs="Segoe UI"/>
          <w:kern w:val="0"/>
        </w:rPr>
        <w:t> </w:t>
      </w:r>
    </w:p>
    <w:p w14:paraId="63E78BCC"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shd w:val="clear" w:color="auto" w:fill="FFFFFF"/>
        </w:rPr>
        <w:t xml:space="preserve">Konuyla ilgili </w:t>
      </w:r>
      <w:r w:rsidRPr="006B4754">
        <w:rPr>
          <w:rFonts w:cs="Segoe UI"/>
          <w:kern w:val="0"/>
        </w:rPr>
        <w:t xml:space="preserve">AİHM de, MİT’in ceza yargılamalarında delil olarak kullanılmak üzere veri toplama yetkisinin bulunmadığı ve Bylock verilerinin MİT tarafından toplanması ile sulh ceza hâkimliğinin bunların incelenmesine yönelik sonradan verdiği kararı arasında, </w:t>
      </w:r>
      <w:r w:rsidRPr="006B4754">
        <w:rPr>
          <w:rFonts w:cs="Segoe UI"/>
          <w:b/>
          <w:bCs/>
          <w:kern w:val="0"/>
        </w:rPr>
        <w:t xml:space="preserve">Bylock verilerinin zaten üzerinde çalışılmış olduğu ve yalnızca istihbarat amacıyla değil, aynı zamanda kişilerin soruşturulması ve tutuklanması için suç delili olarak kullanıldığı gerçeğinin hesaba katılmadığını söylemiştir  </w:t>
      </w:r>
      <w:r w:rsidRPr="006B4754">
        <w:rPr>
          <w:rFonts w:cs="Segoe UI"/>
          <w:kern w:val="0"/>
        </w:rPr>
        <w:t>(</w:t>
      </w:r>
      <w:r w:rsidRPr="006B4754">
        <w:rPr>
          <w:rFonts w:cs="Segoe UI"/>
          <w:kern w:val="0"/>
          <w:shd w:val="clear" w:color="auto" w:fill="FFFFFF"/>
        </w:rPr>
        <w:t xml:space="preserve">§ </w:t>
      </w:r>
      <w:r w:rsidRPr="006B4754">
        <w:rPr>
          <w:rFonts w:cs="Segoe UI"/>
          <w:kern w:val="0"/>
        </w:rPr>
        <w:t xml:space="preserve">334). </w:t>
      </w:r>
    </w:p>
    <w:p w14:paraId="44EAFEF5"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Acaba, bu hususların görmezden gelinme sebebi nedir? MİT’in adli delil toplama yetkisi varsa bunun gerekçeleri ve yasal dayanağı kararlarda neden gösterilmemekte ve MİT’in istihbari faaliyetleri kapsamında bilgi ve belge edebilmesine olanak tanıyan 2937 sayılı Kanun hükümlerine atıflarla yetinilmektedir? Yine, istihbari amaçla elde edilip sadece bu amaç için kullanılabilecek olan ve hakim kararı olmadan üzerinde aylarca çalışılmış bir veri nasıl olmuşta suç delili kabul edilebilmiştir? </w:t>
      </w:r>
    </w:p>
    <w:p w14:paraId="0643D26D"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Hükümet ayrıca, </w:t>
      </w:r>
      <w:r w:rsidRPr="006B4754">
        <w:rPr>
          <w:rFonts w:cs="Segoe UI"/>
          <w:b/>
          <w:bCs/>
          <w:kern w:val="0"/>
          <w:shd w:val="clear" w:color="auto" w:fill="FFFFFF"/>
        </w:rPr>
        <w:t>MİT ve akabinde</w:t>
      </w:r>
      <w:r w:rsidRPr="006B4754">
        <w:rPr>
          <w:rFonts w:cs="Segoe UI"/>
          <w:kern w:val="0"/>
          <w:shd w:val="clear" w:color="auto" w:fill="FFFFFF"/>
        </w:rPr>
        <w:t xml:space="preserve"> KOM tarafından </w:t>
      </w:r>
      <w:r w:rsidRPr="006B4754">
        <w:rPr>
          <w:rFonts w:cs="Segoe UI"/>
          <w:b/>
          <w:bCs/>
          <w:kern w:val="0"/>
          <w:shd w:val="clear" w:color="auto" w:fill="FFFFFF"/>
        </w:rPr>
        <w:t>gerçekleştirilen işlemlerin</w:t>
      </w:r>
      <w:r w:rsidRPr="006B4754">
        <w:rPr>
          <w:rFonts w:cs="Segoe UI"/>
          <w:kern w:val="0"/>
          <w:shd w:val="clear" w:color="auto" w:fill="FFFFFF"/>
        </w:rPr>
        <w:t xml:space="preserve"> ham verileri </w:t>
      </w:r>
      <w:r w:rsidRPr="006B4754">
        <w:rPr>
          <w:rFonts w:cs="Segoe UI"/>
          <w:b/>
          <w:bCs/>
          <w:kern w:val="0"/>
          <w:shd w:val="clear" w:color="auto" w:fill="FFFFFF"/>
        </w:rPr>
        <w:t>anlamlı bilgi çekmeye elverişli kılmak için anlaşılır hale getirmekle sınırlı olduğunu</w:t>
      </w:r>
      <w:r w:rsidRPr="006B4754">
        <w:rPr>
          <w:rFonts w:cs="Segoe UI"/>
          <w:kern w:val="0"/>
          <w:shd w:val="clear" w:color="auto" w:fill="FFFFFF"/>
        </w:rPr>
        <w:t xml:space="preserve"> ve verilerin içeriğinde herhangi bir </w:t>
      </w:r>
      <w:r w:rsidRPr="006B4754">
        <w:rPr>
          <w:rFonts w:cs="Segoe UI"/>
          <w:b/>
          <w:bCs/>
          <w:kern w:val="0"/>
          <w:shd w:val="clear" w:color="auto" w:fill="FFFFFF"/>
        </w:rPr>
        <w:t>değişiklik yapılmadığını söylemiştir.</w:t>
      </w:r>
      <w:r w:rsidRPr="006B4754">
        <w:rPr>
          <w:rFonts w:cs="Segoe UI"/>
          <w:kern w:val="0"/>
          <w:shd w:val="clear" w:color="auto" w:fill="FFFFFF"/>
        </w:rPr>
        <w:t xml:space="preserve"> Yine</w:t>
      </w:r>
      <w:r w:rsidRPr="006B4754">
        <w:rPr>
          <w:rFonts w:cs="Segoe UI"/>
          <w:b/>
          <w:bCs/>
          <w:kern w:val="0"/>
          <w:shd w:val="clear" w:color="auto" w:fill="FFFFFF"/>
        </w:rPr>
        <w:t xml:space="preserve"> </w:t>
      </w:r>
      <w:r w:rsidRPr="006B4754">
        <w:rPr>
          <w:rFonts w:cs="Segoe UI"/>
          <w:kern w:val="0"/>
          <w:shd w:val="clear" w:color="auto" w:fill="FFFFFF"/>
        </w:rPr>
        <w:t xml:space="preserve">Hükümet, MİT’in bu hususta gerçekleştirdiği analizin </w:t>
      </w:r>
      <w:r w:rsidRPr="006B4754">
        <w:rPr>
          <w:rFonts w:cs="Segoe UI"/>
          <w:b/>
          <w:bCs/>
          <w:kern w:val="0"/>
          <w:shd w:val="clear" w:color="auto" w:fill="FFFFFF"/>
        </w:rPr>
        <w:t>istihbarat faaliyetleri alanına girdiğini ve bu nedenle herhangi bir adli izne veya yargısal denetime tabi olmadığını belirtmiştir (§ 293).</w:t>
      </w:r>
      <w:r w:rsidRPr="006B4754">
        <w:rPr>
          <w:rFonts w:cs="Segoe UI"/>
          <w:kern w:val="0"/>
        </w:rPr>
        <w:t> </w:t>
      </w:r>
    </w:p>
    <w:p w14:paraId="72EC55C5"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Acaba verilerin anlamlandırılması hangi algoritmalara göre yapılmıştır? Testleri yapılmış mıdır, yasal dayanağı nedir? Veriler </w:t>
      </w:r>
      <w:proofErr w:type="spellStart"/>
      <w:r w:rsidRPr="006B4754">
        <w:rPr>
          <w:rFonts w:cs="Segoe UI"/>
          <w:kern w:val="0"/>
        </w:rPr>
        <w:t>export</w:t>
      </w:r>
      <w:proofErr w:type="spellEnd"/>
      <w:r w:rsidRPr="006B4754">
        <w:rPr>
          <w:rFonts w:cs="Segoe UI"/>
          <w:kern w:val="0"/>
        </w:rPr>
        <w:t xml:space="preserve"> (dışa aktarma) edilirken hangi arayüz programı kullanılmıştır, arayüz programına müdahale edilmediğine ilişkin tutarlı bilgi mevcut mudur? Arayüz programının kaynak kodları nelerdir, adli bilişim standartlarından hangisine uygundur? Metodolojisi varsa nedir?</w:t>
      </w:r>
    </w:p>
    <w:p w14:paraId="6FA34CEA"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shd w:val="clear" w:color="auto" w:fill="FFFFFF"/>
        </w:rPr>
        <w:t xml:space="preserve">MİT’in yaptığı çalışmanın </w:t>
      </w:r>
      <w:r w:rsidRPr="006B4754">
        <w:rPr>
          <w:rFonts w:cs="Segoe UI"/>
          <w:b/>
          <w:bCs/>
          <w:kern w:val="0"/>
          <w:shd w:val="clear" w:color="auto" w:fill="FFFFFF"/>
        </w:rPr>
        <w:t>istihbarat faaliyetleri alanına girdiği ve bu nedenle herhangi bir adli izne veya yargısal denetime tabi olmadığına ilişkin ifade,</w:t>
      </w:r>
      <w:r w:rsidRPr="006B4754">
        <w:rPr>
          <w:rFonts w:cs="Segoe UI"/>
          <w:kern w:val="0"/>
          <w:shd w:val="clear" w:color="auto" w:fill="FFFFFF"/>
        </w:rPr>
        <w:t xml:space="preserve"> </w:t>
      </w:r>
      <w:r w:rsidRPr="006B4754">
        <w:rPr>
          <w:rFonts w:cs="Segoe UI"/>
          <w:b/>
          <w:bCs/>
          <w:kern w:val="0"/>
          <w:shd w:val="clear" w:color="auto" w:fill="FFFFFF"/>
        </w:rPr>
        <w:t>CMK’nın devre dışı bırakılıp Bylock soruşturmalarının MİT eliyle yapıldığının göstergesidir.</w:t>
      </w:r>
      <w:r w:rsidRPr="006B4754">
        <w:rPr>
          <w:rFonts w:cs="Segoe UI"/>
          <w:kern w:val="0"/>
          <w:shd w:val="clear" w:color="auto" w:fill="FFFFFF"/>
        </w:rPr>
        <w:t xml:space="preserve"> Zira</w:t>
      </w:r>
      <w:r w:rsidRPr="006B4754">
        <w:rPr>
          <w:rFonts w:cs="Segoe UI"/>
          <w:b/>
          <w:bCs/>
          <w:kern w:val="0"/>
          <w:shd w:val="clear" w:color="auto" w:fill="FFFFFF"/>
        </w:rPr>
        <w:t xml:space="preserve"> ceza yargılamasında delil olarak kullanılacak verilere ancak CMK’nın 134. maddesi gereğince verilmiş bir hakim kararından sonra müdahale edilebilir. </w:t>
      </w:r>
      <w:r w:rsidRPr="006B4754">
        <w:rPr>
          <w:rFonts w:cs="Segoe UI"/>
          <w:kern w:val="0"/>
          <w:shd w:val="clear" w:color="auto" w:fill="FFFFFF"/>
        </w:rPr>
        <w:t xml:space="preserve">Böyle bir karar olmadan yapılan işlemler, ismi ister verileri anlamlı hale getirmek ya da anlaşılır yapmak olsun, hiç fark etmez, </w:t>
      </w:r>
      <w:r w:rsidRPr="006B4754">
        <w:rPr>
          <w:rFonts w:cs="Segoe UI"/>
          <w:b/>
          <w:bCs/>
          <w:kern w:val="0"/>
          <w:shd w:val="clear" w:color="auto" w:fill="FFFFFF"/>
        </w:rPr>
        <w:lastRenderedPageBreak/>
        <w:t>veri üzerinde çalışıldığını ve orijinalliğinin bozulduğunu gösterir ve artık bu dijital materyal delil olarak kullanılamaz.</w:t>
      </w:r>
      <w:r w:rsidRPr="006B4754">
        <w:rPr>
          <w:rFonts w:cs="Segoe UI"/>
          <w:kern w:val="0"/>
        </w:rPr>
        <w:t> </w:t>
      </w:r>
    </w:p>
    <w:p w14:paraId="66CAB201"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shd w:val="clear" w:color="auto" w:fill="FFFFFF"/>
        </w:rPr>
        <w:t xml:space="preserve">Eğer herhangi bir delil, MİT’in kendi kanunu gerekçe gösterilerek istihbari yöntemlerle elde edilip ceza yargılamasında kullanılabilecekse, </w:t>
      </w:r>
      <w:r w:rsidRPr="006B4754">
        <w:rPr>
          <w:rFonts w:cs="Segoe UI"/>
          <w:b/>
          <w:bCs/>
          <w:kern w:val="0"/>
          <w:shd w:val="clear" w:color="auto" w:fill="FFFFFF"/>
        </w:rPr>
        <w:t xml:space="preserve">CMK’ya ve özel bir arama şekli olan CMK’nın 134. maddesine ne gerek vardır? </w:t>
      </w:r>
      <w:r w:rsidRPr="006B4754">
        <w:rPr>
          <w:rFonts w:cs="Segoe UI"/>
          <w:kern w:val="0"/>
          <w:shd w:val="clear" w:color="auto" w:fill="FFFFFF"/>
        </w:rPr>
        <w:t xml:space="preserve">Neden bu maddede ısrarla dijital verinin elde edilmesi ve imajının alınması için </w:t>
      </w:r>
      <w:r w:rsidRPr="006B4754">
        <w:rPr>
          <w:rFonts w:cs="Segoe UI"/>
          <w:b/>
          <w:bCs/>
          <w:kern w:val="0"/>
          <w:shd w:val="clear" w:color="auto" w:fill="FFFFFF"/>
        </w:rPr>
        <w:t xml:space="preserve">hakim kararı aranmıştır? </w:t>
      </w:r>
      <w:r w:rsidRPr="006B4754">
        <w:rPr>
          <w:rFonts w:cs="Segoe UI"/>
          <w:kern w:val="0"/>
          <w:shd w:val="clear" w:color="auto" w:fill="FFFFFF"/>
        </w:rPr>
        <w:t xml:space="preserve">Madem Bylock çok önemli bir delildir, neden MİT gelen ihbarı savcılığa ya da adli kolluğa </w:t>
      </w:r>
      <w:r w:rsidRPr="006B4754">
        <w:rPr>
          <w:rFonts w:cs="Segoe UI"/>
          <w:b/>
          <w:bCs/>
          <w:kern w:val="0"/>
          <w:shd w:val="clear" w:color="auto" w:fill="FFFFFF"/>
        </w:rPr>
        <w:t>bildirmek yerine hakim, savcı ve adli kolluk gibi hareket ederek tüm çalışmaları kendisi yapmıştır?</w:t>
      </w:r>
      <w:r w:rsidRPr="006B4754">
        <w:rPr>
          <w:rFonts w:cs="Segoe UI"/>
          <w:kern w:val="0"/>
        </w:rPr>
        <w:t> </w:t>
      </w:r>
    </w:p>
    <w:p w14:paraId="091BBA17"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shd w:val="clear" w:color="auto" w:fill="FFFFFF"/>
        </w:rPr>
        <w:t xml:space="preserve">Eğer, dijital bir delil bu şekilde elde edilip </w:t>
      </w:r>
      <w:r w:rsidRPr="006B4754">
        <w:rPr>
          <w:rFonts w:cs="Segoe UI"/>
          <w:b/>
          <w:bCs/>
          <w:kern w:val="0"/>
          <w:shd w:val="clear" w:color="auto" w:fill="FFFFFF"/>
        </w:rPr>
        <w:t xml:space="preserve">100 bin kişi cezalandırılabilecekse, </w:t>
      </w:r>
      <w:r w:rsidRPr="006B4754">
        <w:rPr>
          <w:rFonts w:cs="Segoe UI"/>
          <w:kern w:val="0"/>
          <w:shd w:val="clear" w:color="auto" w:fill="FFFFFF"/>
        </w:rPr>
        <w:t>neden diğer dosyalarda mahkemeler CMK'nın yargılama sürecini uzatan usul hükümlerini tatbik etmek zorunda kalmaktadır!? MİT’in daha hızlı ve kolay delil elde edebilme imkanından bu mahkemeler neden mahrum bırakılmaktadırlar!?</w:t>
      </w:r>
      <w:r w:rsidRPr="006B4754">
        <w:rPr>
          <w:rFonts w:cs="Segoe UI"/>
          <w:kern w:val="0"/>
        </w:rPr>
        <w:t> </w:t>
      </w:r>
    </w:p>
    <w:p w14:paraId="07BEC326"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shd w:val="clear" w:color="auto" w:fill="FFFFFF"/>
        </w:rPr>
        <w:t xml:space="preserve">Aynı şekilde Hükümete göre MİT bu çalışmayı istihbari faaliyet kapsamında yaptığı için </w:t>
      </w:r>
      <w:r w:rsidRPr="006B4754">
        <w:rPr>
          <w:rFonts w:cs="Segoe UI"/>
          <w:b/>
          <w:bCs/>
          <w:kern w:val="0"/>
          <w:shd w:val="clear" w:color="auto" w:fill="FFFFFF"/>
        </w:rPr>
        <w:t xml:space="preserve">çalışma adli izne ve yargısal denetime tabi değildir. </w:t>
      </w:r>
      <w:r w:rsidRPr="006B4754">
        <w:rPr>
          <w:rFonts w:cs="Segoe UI"/>
          <w:kern w:val="0"/>
          <w:shd w:val="clear" w:color="auto" w:fill="FFFFFF"/>
        </w:rPr>
        <w:t xml:space="preserve">Salt olarak bu tespit doğrudur ve istihbari amaçla MİT böyle bir çalışma yapabilir. Ancak, </w:t>
      </w:r>
      <w:r w:rsidRPr="006B4754">
        <w:rPr>
          <w:rFonts w:cs="Segoe UI"/>
          <w:b/>
          <w:bCs/>
          <w:kern w:val="0"/>
          <w:shd w:val="clear" w:color="auto" w:fill="FFFFFF"/>
        </w:rPr>
        <w:t>istihbari bir çalışmanın silahlı örgüt üyeliği soruşturma ve kovuşturmalarında kullanılabilmesi mümkün değildir.</w:t>
      </w:r>
      <w:r w:rsidRPr="006B4754">
        <w:rPr>
          <w:rFonts w:cs="Segoe UI"/>
          <w:kern w:val="0"/>
          <w:shd w:val="clear" w:color="auto" w:fill="FFFFFF"/>
        </w:rPr>
        <w:t xml:space="preserve"> </w:t>
      </w:r>
    </w:p>
    <w:p w14:paraId="3C514486"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shd w:val="clear" w:color="auto" w:fill="FFFFFF"/>
        </w:rPr>
        <w:t xml:space="preserve">Acaba, </w:t>
      </w:r>
      <w:r w:rsidRPr="006B4754">
        <w:rPr>
          <w:rFonts w:cs="Segoe UI"/>
          <w:kern w:val="0"/>
        </w:rPr>
        <w:t xml:space="preserve">MİT’in elde ettiği istihbari bilgilerin </w:t>
      </w:r>
      <w:r w:rsidRPr="006B4754">
        <w:rPr>
          <w:rFonts w:cs="Segoe UI"/>
          <w:i/>
          <w:iCs/>
          <w:kern w:val="0"/>
        </w:rPr>
        <w:t>“istihbari amaç”</w:t>
      </w:r>
      <w:r w:rsidRPr="006B4754">
        <w:rPr>
          <w:rFonts w:cs="Segoe UI"/>
          <w:kern w:val="0"/>
        </w:rPr>
        <w:t xml:space="preserve"> dışında kullanılamayacağını belirten 2937 sayılı Kanun’un 6/6. maddesi ile Yargıtay kararları</w:t>
      </w:r>
      <w:r w:rsidRPr="006B4754">
        <w:rPr>
          <w:rFonts w:cs="Segoe UI"/>
          <w:kern w:val="0"/>
          <w:vertAlign w:val="superscript"/>
        </w:rPr>
        <w:t>4</w:t>
      </w:r>
      <w:r w:rsidRPr="006B4754">
        <w:rPr>
          <w:rFonts w:cs="Segoe UI"/>
          <w:kern w:val="0"/>
        </w:rPr>
        <w:t xml:space="preserve"> ortadayken,</w:t>
      </w:r>
      <w:r w:rsidRPr="006B4754">
        <w:rPr>
          <w:rStyle w:val="DipnotBavurusu"/>
          <w:rFonts w:cs="Segoe UI"/>
          <w:kern w:val="0"/>
        </w:rPr>
        <w:footnoteReference w:id="6"/>
      </w:r>
      <w:r w:rsidRPr="006B4754">
        <w:rPr>
          <w:rFonts w:cs="Segoe UI"/>
          <w:kern w:val="0"/>
        </w:rPr>
        <w:t xml:space="preserve"> istihbari çalışmalar sonucu elde edilen Bylock bilgileri nasıl olup da soruşturma ve kovuşturmalarda kullanılmış ve yargılamaların en önemli delili olmuştur? </w:t>
      </w:r>
    </w:p>
    <w:p w14:paraId="14BE999B"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Yine, 2937 sayılı Kanun’un Ek-1. maddesi gereğince </w:t>
      </w:r>
      <w:r w:rsidRPr="006B4754">
        <w:rPr>
          <w:rFonts w:cs="Segoe UI"/>
          <w:i/>
          <w:iCs/>
          <w:kern w:val="0"/>
        </w:rPr>
        <w:t>“casusluk”</w:t>
      </w:r>
      <w:r w:rsidRPr="006B4754">
        <w:rPr>
          <w:rFonts w:cs="Segoe UI"/>
          <w:kern w:val="0"/>
        </w:rPr>
        <w:t xml:space="preserve"> suçları dışında MİT’in elde ettiği belge, bilgi ve kayıtların adli mercilerce istenmesi ve MİT’in de bunları adli mercilere göndermesi mümkün değilken, Ankara C. Başsavcılığı, </w:t>
      </w:r>
      <w:r w:rsidRPr="006B4754">
        <w:rPr>
          <w:rFonts w:cs="Segoe UI"/>
          <w:i/>
          <w:iCs/>
          <w:kern w:val="0"/>
        </w:rPr>
        <w:t>“terör örgütü üyeliği suçu”</w:t>
      </w:r>
      <w:r w:rsidRPr="006B4754">
        <w:rPr>
          <w:rFonts w:cs="Segoe UI"/>
          <w:kern w:val="0"/>
        </w:rPr>
        <w:t xml:space="preserve"> kapsamında yürüttüğü bir soruşturmada hangi yasal gerekçeyle MİT’ten Bylock’a ilişkin bilgi ve belgeleri istemiş ve MİT de bu bilgi ve belgeleri Başsavcılığa göndermiştir? </w:t>
      </w:r>
    </w:p>
    <w:p w14:paraId="6F178960"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shd w:val="clear" w:color="auto" w:fill="FFFFFF"/>
        </w:rPr>
        <w:t xml:space="preserve">Benzer şekilde, 2937 sayılı MİT Kanununun 6. maddesine göre MİT’in iletişimin tespiti (önleme dinlemesi) yapma yetkisi vardır. Ancak, </w:t>
      </w:r>
      <w:r w:rsidRPr="006B4754">
        <w:rPr>
          <w:rFonts w:cs="Segoe UI"/>
          <w:b/>
          <w:bCs/>
          <w:kern w:val="0"/>
          <w:shd w:val="clear" w:color="auto" w:fill="FFFFFF"/>
        </w:rPr>
        <w:t xml:space="preserve">MİT’in hukuka uygun olarak elde ettiği bu veriler ceza yargılamasında </w:t>
      </w:r>
      <w:r w:rsidRPr="006B4754">
        <w:rPr>
          <w:rFonts w:cs="Segoe UI"/>
          <w:b/>
          <w:bCs/>
          <w:i/>
          <w:iCs/>
          <w:kern w:val="0"/>
          <w:shd w:val="clear" w:color="auto" w:fill="FFFFFF"/>
        </w:rPr>
        <w:t xml:space="preserve">“delil” </w:t>
      </w:r>
      <w:r w:rsidRPr="006B4754">
        <w:rPr>
          <w:rFonts w:cs="Segoe UI"/>
          <w:b/>
          <w:bCs/>
          <w:kern w:val="0"/>
          <w:shd w:val="clear" w:color="auto" w:fill="FFFFFF"/>
        </w:rPr>
        <w:t>olarak kullanılamaz.</w:t>
      </w:r>
      <w:r w:rsidRPr="006B4754">
        <w:rPr>
          <w:rFonts w:cs="Segoe UI"/>
          <w:kern w:val="0"/>
          <w:shd w:val="clear" w:color="auto" w:fill="FFFFFF"/>
        </w:rPr>
        <w:t xml:space="preserve"> Bu husus yasada açıkça belirtilmiştir. </w:t>
      </w:r>
      <w:r w:rsidRPr="006B4754">
        <w:rPr>
          <w:rFonts w:cs="Segoe UI"/>
          <w:b/>
          <w:bCs/>
          <w:kern w:val="0"/>
          <w:shd w:val="clear" w:color="auto" w:fill="FFFFFF"/>
        </w:rPr>
        <w:t xml:space="preserve">MİT’in önleme dinlemesi kapsamında hakim kararıyla elde ettiği bilgiler dahi “delil” olarak kullanılamazken, </w:t>
      </w:r>
      <w:r w:rsidRPr="006B4754">
        <w:rPr>
          <w:rFonts w:cs="Segoe UI"/>
          <w:kern w:val="0"/>
          <w:shd w:val="clear" w:color="auto" w:fill="FFFFFF"/>
        </w:rPr>
        <w:t xml:space="preserve">açıkça CMK’nın 134. maddesine aykırı ele geçirilen Bylock verileri, casusluk suçlarıyla hiçbir alakası olmayan silahlı örgüt üyeliği suçu kapsamında </w:t>
      </w:r>
      <w:r w:rsidRPr="006B4754">
        <w:rPr>
          <w:rFonts w:cs="Segoe UI"/>
          <w:b/>
          <w:bCs/>
          <w:kern w:val="0"/>
          <w:shd w:val="clear" w:color="auto" w:fill="FFFFFF"/>
        </w:rPr>
        <w:t>nasıl MİT’ten istenmiş ve yargılamaların ana suçlayıcı delili olmuştur?</w:t>
      </w:r>
      <w:r w:rsidRPr="006B4754">
        <w:rPr>
          <w:rFonts w:cs="Segoe UI"/>
          <w:kern w:val="0"/>
        </w:rPr>
        <w:t> </w:t>
      </w:r>
    </w:p>
    <w:p w14:paraId="74FE1F4F"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lastRenderedPageBreak/>
        <w:t xml:space="preserve">AİHM yukarıdaki sorulara cevap olabilecek şekilde, ulusal mahkemelerin verilerin toplanma sürecinin hukuka uygunluğu ve bütünlüğü konusunda derinlemesine inceleme yapmadığını ve başvuranın MİT tarafından toplanan </w:t>
      </w:r>
      <w:r w:rsidRPr="006B4754">
        <w:rPr>
          <w:rFonts w:cs="Segoe UI"/>
          <w:b/>
          <w:bCs/>
          <w:kern w:val="0"/>
        </w:rPr>
        <w:t xml:space="preserve">Bylock verilerinin, yargısal bir karar olmaksızın suç delili olarak kullanıldığını ve bu durumun hukuka aykırı olduğuna ilişkin iddiasının </w:t>
      </w:r>
      <w:r w:rsidRPr="006B4754">
        <w:rPr>
          <w:rFonts w:cs="Segoe UI"/>
          <w:kern w:val="0"/>
        </w:rPr>
        <w:t>Ankara Bölge Adliye Mahkemesi ve Yargıtay tarafından incelenmediğini (</w:t>
      </w:r>
      <w:r w:rsidRPr="006B4754">
        <w:rPr>
          <w:rFonts w:cs="Segoe UI"/>
          <w:kern w:val="0"/>
          <w:shd w:val="clear" w:color="auto" w:fill="FFFFFF"/>
        </w:rPr>
        <w:t xml:space="preserve">§ </w:t>
      </w:r>
      <w:r w:rsidRPr="006B4754">
        <w:rPr>
          <w:rFonts w:cs="Segoe UI"/>
          <w:kern w:val="0"/>
        </w:rPr>
        <w:t xml:space="preserve">333) ve başvurucunun </w:t>
      </w:r>
      <w:r w:rsidRPr="006B4754">
        <w:rPr>
          <w:rFonts w:cs="Segoe UI"/>
          <w:b/>
          <w:bCs/>
          <w:kern w:val="0"/>
        </w:rPr>
        <w:t xml:space="preserve">09/12/2016’da verilen mahkeme kararı nasıl adli kolluk yetkisi olmayan MİT’in topladığı delilleri geriye dönük olarak "hukuka uygun" ve güvenilir kılabilir sorusunun ulusal mahkemelerce cevapsız bırakıldığını belirtmiştir </w:t>
      </w:r>
      <w:r w:rsidRPr="006B4754">
        <w:rPr>
          <w:rFonts w:cs="Segoe UI"/>
          <w:kern w:val="0"/>
        </w:rPr>
        <w:t>(</w:t>
      </w:r>
      <w:r w:rsidRPr="006B4754">
        <w:rPr>
          <w:rFonts w:cs="Segoe UI"/>
          <w:kern w:val="0"/>
          <w:shd w:val="clear" w:color="auto" w:fill="FFFFFF"/>
        </w:rPr>
        <w:t xml:space="preserve">§ </w:t>
      </w:r>
      <w:r w:rsidRPr="006B4754">
        <w:rPr>
          <w:rFonts w:cs="Segoe UI"/>
          <w:kern w:val="0"/>
        </w:rPr>
        <w:t>334).  AİHM’in vurguladığı bu hususlar cevaplanmadan ve Bylock verileriyle ilgili bu çok önemli şüphe sebepleri giderilmeden Bylock gerekçesiyle bir kişinin cezalandırılması mümkün değildir.</w:t>
      </w:r>
    </w:p>
    <w:p w14:paraId="54040838" w14:textId="77777777" w:rsidR="00757C5D" w:rsidRPr="006B4754" w:rsidRDefault="00757C5D" w:rsidP="00757C5D">
      <w:pPr>
        <w:pStyle w:val="ListeParagraf"/>
        <w:spacing w:line="271" w:lineRule="auto"/>
        <w:ind w:left="567" w:firstLine="0"/>
        <w:textAlignment w:val="baseline"/>
        <w:rPr>
          <w:rFonts w:cs="Segoe UI"/>
          <w:kern w:val="0"/>
        </w:rPr>
      </w:pPr>
    </w:p>
    <w:p w14:paraId="39BC2330" w14:textId="3215E613" w:rsidR="00757C5D" w:rsidRPr="004A0253" w:rsidRDefault="00757C5D" w:rsidP="004A0253">
      <w:pPr>
        <w:pStyle w:val="Balk1"/>
        <w:ind w:left="0" w:firstLine="567"/>
        <w:rPr>
          <w:rFonts w:ascii="Palatino Linotype" w:hAnsi="Palatino Linotype"/>
        </w:rPr>
      </w:pPr>
      <w:bookmarkStart w:id="16" w:name="_Toc153309438"/>
      <w:r w:rsidRPr="004A0253">
        <w:rPr>
          <w:rFonts w:ascii="Palatino Linotype" w:hAnsi="Palatino Linotype"/>
        </w:rPr>
        <w:t>Bylock Verileri Üzerinde Bilirki</w:t>
      </w:r>
      <w:r w:rsidRPr="004A0253">
        <w:rPr>
          <w:rFonts w:ascii="Palatino Linotype" w:hAnsi="Palatino Linotype" w:cs="Calibri"/>
        </w:rPr>
        <w:t>ş</w:t>
      </w:r>
      <w:r w:rsidRPr="004A0253">
        <w:rPr>
          <w:rFonts w:ascii="Palatino Linotype" w:hAnsi="Palatino Linotype"/>
        </w:rPr>
        <w:t xml:space="preserve">i </w:t>
      </w:r>
      <w:r w:rsidRPr="004A0253">
        <w:rPr>
          <w:rFonts w:ascii="Palatino Linotype" w:hAnsi="Palatino Linotype" w:cs="Calibri"/>
        </w:rPr>
        <w:t>İ</w:t>
      </w:r>
      <w:r w:rsidRPr="004A0253">
        <w:rPr>
          <w:rFonts w:ascii="Palatino Linotype" w:hAnsi="Palatino Linotype"/>
        </w:rPr>
        <w:t>ncelmesi Yapt</w:t>
      </w:r>
      <w:r w:rsidRPr="004A0253">
        <w:rPr>
          <w:rFonts w:ascii="Palatino Linotype" w:hAnsi="Palatino Linotype" w:cs="Segoe UI Historic"/>
        </w:rPr>
        <w:t>ı</w:t>
      </w:r>
      <w:r w:rsidRPr="004A0253">
        <w:rPr>
          <w:rFonts w:ascii="Palatino Linotype" w:hAnsi="Palatino Linotype"/>
        </w:rPr>
        <w:t>r</w:t>
      </w:r>
      <w:r w:rsidRPr="004A0253">
        <w:rPr>
          <w:rFonts w:ascii="Palatino Linotype" w:hAnsi="Palatino Linotype" w:cs="Segoe UI Historic"/>
        </w:rPr>
        <w:t>ı</w:t>
      </w:r>
      <w:r w:rsidRPr="004A0253">
        <w:rPr>
          <w:rFonts w:ascii="Palatino Linotype" w:hAnsi="Palatino Linotype"/>
        </w:rPr>
        <w:t>lmas</w:t>
      </w:r>
      <w:r w:rsidRPr="004A0253">
        <w:rPr>
          <w:rFonts w:ascii="Palatino Linotype" w:hAnsi="Palatino Linotype" w:cs="Segoe UI Historic"/>
        </w:rPr>
        <w:t>ı</w:t>
      </w:r>
      <w:r w:rsidRPr="004A0253">
        <w:rPr>
          <w:rFonts w:ascii="Palatino Linotype" w:hAnsi="Palatino Linotype"/>
        </w:rPr>
        <w:t xml:space="preserve"> Gereklili</w:t>
      </w:r>
      <w:r w:rsidRPr="004A0253">
        <w:rPr>
          <w:rFonts w:ascii="Palatino Linotype" w:hAnsi="Palatino Linotype" w:cs="Calibri"/>
        </w:rPr>
        <w:t>ğ</w:t>
      </w:r>
      <w:r w:rsidRPr="004A0253">
        <w:rPr>
          <w:rFonts w:ascii="Palatino Linotype" w:hAnsi="Palatino Linotype"/>
        </w:rPr>
        <w:t xml:space="preserve">iyle </w:t>
      </w:r>
      <w:r w:rsidRPr="004A0253">
        <w:rPr>
          <w:rFonts w:ascii="Palatino Linotype" w:hAnsi="Palatino Linotype" w:cs="Calibri"/>
        </w:rPr>
        <w:t>İ</w:t>
      </w:r>
      <w:r w:rsidRPr="004A0253">
        <w:rPr>
          <w:rFonts w:ascii="Palatino Linotype" w:hAnsi="Palatino Linotype"/>
        </w:rPr>
        <w:t>lgili A</w:t>
      </w:r>
      <w:r w:rsidRPr="004A0253">
        <w:rPr>
          <w:rFonts w:ascii="Palatino Linotype" w:hAnsi="Palatino Linotype" w:cs="Calibri"/>
        </w:rPr>
        <w:t>İ</w:t>
      </w:r>
      <w:r w:rsidRPr="004A0253">
        <w:rPr>
          <w:rFonts w:ascii="Palatino Linotype" w:hAnsi="Palatino Linotype"/>
        </w:rPr>
        <w:t>HM</w:t>
      </w:r>
      <w:r w:rsidRPr="004A0253">
        <w:rPr>
          <w:rFonts w:ascii="Palatino Linotype" w:hAnsi="Palatino Linotype" w:cs="Segoe UI Historic"/>
        </w:rPr>
        <w:t>’</w:t>
      </w:r>
      <w:r w:rsidRPr="004A0253">
        <w:rPr>
          <w:rFonts w:ascii="Palatino Linotype" w:hAnsi="Palatino Linotype"/>
        </w:rPr>
        <w:t xml:space="preserve">in Tespitleriyle </w:t>
      </w:r>
      <w:r w:rsidRPr="004A0253">
        <w:rPr>
          <w:rFonts w:ascii="Palatino Linotype" w:hAnsi="Palatino Linotype" w:cs="Calibri"/>
        </w:rPr>
        <w:t>İ</w:t>
      </w:r>
      <w:r w:rsidRPr="004A0253">
        <w:rPr>
          <w:rFonts w:ascii="Palatino Linotype" w:hAnsi="Palatino Linotype"/>
        </w:rPr>
        <w:t>lgili Olarak</w:t>
      </w:r>
      <w:bookmarkEnd w:id="16"/>
    </w:p>
    <w:p w14:paraId="019EAFEC" w14:textId="77777777" w:rsidR="00757C5D" w:rsidRPr="004A0253" w:rsidRDefault="00757C5D" w:rsidP="00757C5D">
      <w:pPr>
        <w:pStyle w:val="ListeParagraf"/>
        <w:spacing w:line="271" w:lineRule="auto"/>
        <w:ind w:left="0"/>
        <w:textAlignment w:val="baseline"/>
        <w:rPr>
          <w:rFonts w:cs="Segoe UI"/>
          <w:kern w:val="0"/>
        </w:rPr>
      </w:pPr>
      <w:r w:rsidRPr="004A0253">
        <w:rPr>
          <w:rFonts w:cs="Segoe UI"/>
          <w:b/>
          <w:bCs/>
          <w:kern w:val="0"/>
        </w:rPr>
        <w:t>AİHM’in konuyla ilgili tespitleri şöyledir;</w:t>
      </w:r>
      <w:r w:rsidRPr="004A0253">
        <w:rPr>
          <w:rFonts w:cs="Segoe UI"/>
          <w:kern w:val="0"/>
        </w:rPr>
        <w:t> </w:t>
      </w:r>
    </w:p>
    <w:p w14:paraId="3FCFAF26"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Başvuranın dava dosyasında yer alan tüm ByLock raporlarına erişebiliyor olmasının, bu raporların oluşturulduğu ham verilere erişim talep etme hakkının veya menfaatinin olmadığı anlamına gelmez (§ 327).  </w:t>
      </w:r>
    </w:p>
    <w:p w14:paraId="1D7F2A69"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Ulusal mahkemelerin, başvurana ait Bylock verilerinin, bir uzman tarafından doğrulanan başka bir veri setiyle (HTS-CGNAT eşleştirmesi) uyumlu olduğunu tespit etmeleri halinde bile bu durumun başvuranın bu eski verilerle, </w:t>
      </w:r>
      <w:r w:rsidRPr="006B4754">
        <w:rPr>
          <w:rFonts w:cs="Segoe UI"/>
          <w:b/>
          <w:bCs/>
          <w:kern w:val="0"/>
        </w:rPr>
        <w:t xml:space="preserve">yani Bylock’a ilişkin ham verilerle ilgili usulü haklarını ortadan kaldırmaz </w:t>
      </w:r>
      <w:r w:rsidRPr="006B4754">
        <w:rPr>
          <w:rFonts w:cs="Segoe UI"/>
          <w:kern w:val="0"/>
        </w:rPr>
        <w:t>(§ 327).  </w:t>
      </w:r>
    </w:p>
    <w:p w14:paraId="328AC8C6"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b/>
          <w:bCs/>
          <w:kern w:val="0"/>
        </w:rPr>
        <w:t xml:space="preserve">Bylock kullanıcı listelerinin nasıl oluşturulduğu ve bireysel Bylock kullanıcılarına ilişkin ham verilerin neden ayrıştırılamadığı ve ilgili kullanıcılarla paylaşılamadığı konusunda daha fazla bilgi sunan analiz raporunun başvurana verilmediğini ve yerel mahkemeler tarafından ham verilerin - özellikle de kendisini ilgilendiren kısımların - neden ve kimin kararıyla verilmediğine dair hiçbir açıklama yapılmadığını belirtmiştir </w:t>
      </w:r>
      <w:r w:rsidRPr="006B4754">
        <w:rPr>
          <w:rFonts w:cs="Segoe UI"/>
          <w:kern w:val="0"/>
        </w:rPr>
        <w:t>(</w:t>
      </w:r>
      <w:r w:rsidRPr="006B4754">
        <w:rPr>
          <w:rFonts w:cs="Segoe UI"/>
          <w:kern w:val="0"/>
          <w:shd w:val="clear" w:color="auto" w:fill="FFFFFF"/>
        </w:rPr>
        <w:t xml:space="preserve">§ </w:t>
      </w:r>
      <w:r w:rsidRPr="006B4754">
        <w:rPr>
          <w:rFonts w:cs="Segoe UI"/>
          <w:kern w:val="0"/>
        </w:rPr>
        <w:t>331). </w:t>
      </w:r>
    </w:p>
    <w:p w14:paraId="11452A7A"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HST kayıtları dikkate alınarak yaptırılan bilirkişi incelemesi sonucu hazırlanan raporlar, ilgililerin GSM hattından ByLock’a erişim sağladığının tespitine ilişkin olup; </w:t>
      </w:r>
      <w:r w:rsidRPr="006B4754">
        <w:rPr>
          <w:rFonts w:cs="Segoe UI"/>
          <w:b/>
          <w:bCs/>
          <w:kern w:val="0"/>
        </w:rPr>
        <w:t>bu tespit, talep edildiği gibi MİT tarafından elde edilen ham verilerin incelenmesini içermemekte ve kapsamları dava dosyasında mevcut olan çeşitli rapor ve kayıtların değerlendirilmesiyle sınırlı kalmaktadır</w:t>
      </w:r>
      <w:r w:rsidRPr="006B4754">
        <w:rPr>
          <w:rFonts w:cs="Segoe UI"/>
          <w:kern w:val="0"/>
        </w:rPr>
        <w:t xml:space="preserve"> (§ 333). </w:t>
      </w:r>
    </w:p>
    <w:p w14:paraId="257B35EE"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Calibri"/>
          <w:kern w:val="0"/>
        </w:rPr>
        <w:t xml:space="preserve">Başvuran, yerel mahkemeler önünde verilerin doğruluğunu ve bütünlüğünü sağlamak için çeşitli güvenceler öngören CMK’nın 134. maddesi uyarınca Bylock verilerinin toplanmadığını veya kendisiyle paylaşılmadığını ileri sürmüş ve böylece bu delillerin </w:t>
      </w:r>
      <w:r w:rsidRPr="006B4754">
        <w:rPr>
          <w:rFonts w:cs="Calibri"/>
          <w:b/>
          <w:bCs/>
          <w:kern w:val="0"/>
        </w:rPr>
        <w:t xml:space="preserve">yalnızca yasallığına değil aynı zamanda güvenilirliğine de itiraz etmiştir </w:t>
      </w:r>
      <w:r w:rsidRPr="006B4754">
        <w:rPr>
          <w:rFonts w:cs="Segoe UI"/>
          <w:kern w:val="0"/>
        </w:rPr>
        <w:t>(§ 334)</w:t>
      </w:r>
      <w:r w:rsidRPr="006B4754">
        <w:rPr>
          <w:rFonts w:cs="Calibri"/>
          <w:b/>
          <w:bCs/>
          <w:kern w:val="0"/>
        </w:rPr>
        <w:t>. </w:t>
      </w:r>
      <w:r w:rsidRPr="006B4754">
        <w:rPr>
          <w:rFonts w:cs="Calibri"/>
          <w:kern w:val="0"/>
        </w:rPr>
        <w:t> </w:t>
      </w:r>
    </w:p>
    <w:p w14:paraId="02D0BA5D"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Calibri"/>
          <w:kern w:val="0"/>
        </w:rPr>
        <w:lastRenderedPageBreak/>
        <w:t>H</w:t>
      </w:r>
      <w:r w:rsidRPr="006B4754">
        <w:rPr>
          <w:rFonts w:cs="Segoe UI"/>
          <w:kern w:val="0"/>
        </w:rPr>
        <w:t xml:space="preserve">am verilerin içerik ve bütünlük bakımından doğrulanması için </w:t>
      </w:r>
      <w:r w:rsidRPr="006B4754">
        <w:rPr>
          <w:rFonts w:cs="Segoe UI"/>
          <w:b/>
          <w:bCs/>
          <w:kern w:val="0"/>
        </w:rPr>
        <w:t xml:space="preserve">bağımsız bir incelemeye tabi tutulması talebi yerel mahkemeler tarafından dikkate alınması gerekirken alınmamıştır </w:t>
      </w:r>
      <w:r w:rsidRPr="006B4754">
        <w:rPr>
          <w:rFonts w:cs="Segoe UI"/>
          <w:kern w:val="0"/>
        </w:rPr>
        <w:t>(§ 332). </w:t>
      </w:r>
    </w:p>
    <w:p w14:paraId="1C8A3F87"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Bylock verilerinin 09/12/2016’da adli makamlara sunulduğu sırada veya daha sonra herhangi bir noktada bütünlüklerinin doğrulanması için </w:t>
      </w:r>
      <w:r w:rsidRPr="006B4754">
        <w:rPr>
          <w:rFonts w:cs="Segoe UI"/>
          <w:b/>
          <w:bCs/>
          <w:kern w:val="0"/>
        </w:rPr>
        <w:t xml:space="preserve">incelemeye tabi tutulmadığı göz önüne alındığında; başvuranın, verilerin bağımsız uzmanlar tarafından incelenmesini istemekte meşru bir menfaati vardır ve mahkemelerin kendisine uygun şekilde yanıt verme görevi bulunmaktadır </w:t>
      </w:r>
      <w:r w:rsidRPr="006B4754">
        <w:rPr>
          <w:rFonts w:cs="Segoe UI"/>
          <w:kern w:val="0"/>
        </w:rPr>
        <w:t>(§ 333).  </w:t>
      </w:r>
    </w:p>
    <w:p w14:paraId="7EB3EB4B"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Başvuranın bu uygulamayı kişisel olarak kullanması sorununun ötesinde, Bylock verileri </w:t>
      </w:r>
      <w:r w:rsidRPr="006B4754">
        <w:rPr>
          <w:rFonts w:cs="Segoe UI"/>
          <w:b/>
          <w:bCs/>
          <w:kern w:val="0"/>
        </w:rPr>
        <w:t>davası için kritik öneme haizdir</w:t>
      </w:r>
      <w:r w:rsidRPr="006B4754">
        <w:rPr>
          <w:rFonts w:cs="Segoe UI"/>
          <w:kern w:val="0"/>
        </w:rPr>
        <w:t xml:space="preserve"> ve </w:t>
      </w:r>
      <w:r w:rsidRPr="006B4754">
        <w:rPr>
          <w:rFonts w:cs="Segoe UI"/>
          <w:b/>
          <w:bCs/>
          <w:kern w:val="0"/>
        </w:rPr>
        <w:t>ulusal mahkemelerin başvuranın bu tür bir bağımsız inceleme talebine cevap vermemesi,</w:t>
      </w:r>
      <w:r w:rsidRPr="006B4754">
        <w:rPr>
          <w:rFonts w:cs="Segoe UI"/>
          <w:kern w:val="0"/>
        </w:rPr>
        <w:t xml:space="preserve"> sadece neden böyle bir bağımsız incelemenin gerekli görülmediğini açıklamak için </w:t>
      </w:r>
      <w:r w:rsidRPr="006B4754">
        <w:rPr>
          <w:rFonts w:cs="Segoe UI"/>
          <w:b/>
          <w:bCs/>
          <w:kern w:val="0"/>
        </w:rPr>
        <w:t>olsa bile sorunludur</w:t>
      </w:r>
      <w:r w:rsidRPr="006B4754">
        <w:rPr>
          <w:rFonts w:cs="Segoe UI"/>
          <w:kern w:val="0"/>
        </w:rPr>
        <w:t xml:space="preserve"> (§ 333).</w:t>
      </w:r>
    </w:p>
    <w:p w14:paraId="57569781"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Başvurana şifresi çözülmüş ve kendisiyle ilgili Bylock materyalleri hakkında bilgi edinme fırsatı vermek, </w:t>
      </w:r>
      <w:r w:rsidRPr="006B4754">
        <w:rPr>
          <w:rFonts w:cs="Segoe UI"/>
          <w:b/>
          <w:bCs/>
          <w:kern w:val="0"/>
        </w:rPr>
        <w:t xml:space="preserve">savunma haklarının korunması açısından önem taşımaktadır. </w:t>
      </w:r>
      <w:r w:rsidRPr="006B4754">
        <w:rPr>
          <w:rFonts w:cs="Segoe UI"/>
          <w:kern w:val="0"/>
        </w:rPr>
        <w:t xml:space="preserve">Zira bu sayede </w:t>
      </w:r>
      <w:r w:rsidRPr="006B4754">
        <w:rPr>
          <w:rFonts w:cs="Segoe UI"/>
          <w:b/>
          <w:bCs/>
          <w:kern w:val="0"/>
        </w:rPr>
        <w:t>savunma, Bylock kullanımından çıkarılan sonuçların geçerliliğine itiraz edebilecek ve argümanlarını esaslı şekilde güçlendirebilecektir.</w:t>
      </w:r>
      <w:r w:rsidRPr="006B4754">
        <w:rPr>
          <w:rFonts w:cs="Segoe UI"/>
          <w:kern w:val="0"/>
        </w:rPr>
        <w:t xml:space="preserve"> Özellikle, Bylock’un başvuranın mahkûmiyetinde ağırlıklı rol oynadığı dikkate alındığında, bu durum daha da önemli hale gelmektedir (§ 336). </w:t>
      </w:r>
    </w:p>
    <w:p w14:paraId="2FFF0210"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Başvuranın hakkında ileri sürülen iddiaların doğruluğuna itiraz edebilmesi ve özellikle de Bylock’un </w:t>
      </w:r>
      <w:r w:rsidRPr="006B4754">
        <w:rPr>
          <w:rFonts w:cs="Segoe UI"/>
          <w:i/>
          <w:iCs/>
          <w:kern w:val="0"/>
        </w:rPr>
        <w:t>“münhasıran”</w:t>
      </w:r>
      <w:r w:rsidRPr="006B4754">
        <w:rPr>
          <w:rFonts w:cs="Segoe UI"/>
          <w:kern w:val="0"/>
        </w:rPr>
        <w:t xml:space="preserve"> veya </w:t>
      </w:r>
      <w:r w:rsidRPr="006B4754">
        <w:rPr>
          <w:rFonts w:cs="Segoe UI"/>
          <w:i/>
          <w:iCs/>
          <w:kern w:val="0"/>
        </w:rPr>
        <w:t>“örgütsel”</w:t>
      </w:r>
      <w:r w:rsidRPr="006B4754">
        <w:rPr>
          <w:rFonts w:cs="Segoe UI"/>
          <w:kern w:val="0"/>
        </w:rPr>
        <w:t xml:space="preserve"> amaçlarla kullanıldığı iddiasını </w:t>
      </w:r>
      <w:r w:rsidRPr="006B4754">
        <w:rPr>
          <w:rFonts w:cs="Segoe UI"/>
          <w:b/>
          <w:bCs/>
          <w:kern w:val="0"/>
        </w:rPr>
        <w:t>çürütmek için tüm Bylock materyallerine ulaşabilmesi önemlidir.</w:t>
      </w:r>
      <w:r w:rsidRPr="006B4754">
        <w:rPr>
          <w:rFonts w:cs="Segoe UI"/>
          <w:kern w:val="0"/>
        </w:rPr>
        <w:t xml:space="preserve"> Bu şartlar altında, başvuranın yalnızca savcılığın elinde bulunan Bylock verilerine dayanarak bu iddialara doğrudan itiraz edemediği düşünüldüğünde, ulusal mahkemelerin bunları yeterli ve ilgili gerekçelerle desteklemesi ve başvuranın bunların doğruluğuna ilişkin itirazlarını ele almaları çok önemliyken </w:t>
      </w:r>
      <w:r w:rsidRPr="006B4754">
        <w:rPr>
          <w:rFonts w:cs="Segoe UI"/>
          <w:b/>
          <w:bCs/>
          <w:kern w:val="0"/>
        </w:rPr>
        <w:t>mahkemeler bunu yapmamışlardır</w:t>
      </w:r>
      <w:r w:rsidRPr="006B4754">
        <w:rPr>
          <w:rFonts w:cs="Segoe UI"/>
          <w:kern w:val="0"/>
        </w:rPr>
        <w:t xml:space="preserve"> (§ 337). </w:t>
      </w:r>
    </w:p>
    <w:p w14:paraId="64FEDD40"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Başvurana şifresi çözülmüş ve kendisiyle ilgili Bylock materyalleri hakkında bilgi edinme fırsatı vermek, </w:t>
      </w:r>
      <w:r w:rsidRPr="006B4754">
        <w:rPr>
          <w:rFonts w:cs="Segoe UI"/>
          <w:b/>
          <w:bCs/>
          <w:kern w:val="0"/>
        </w:rPr>
        <w:t xml:space="preserve">savunma haklarının korunması açısından önem taşımaktadır. </w:t>
      </w:r>
      <w:r w:rsidRPr="006B4754">
        <w:rPr>
          <w:rFonts w:cs="Segoe UI"/>
          <w:kern w:val="0"/>
        </w:rPr>
        <w:t xml:space="preserve">Zira bu sayede </w:t>
      </w:r>
      <w:r w:rsidRPr="006B4754">
        <w:rPr>
          <w:rFonts w:cs="Segoe UI"/>
          <w:b/>
          <w:bCs/>
          <w:kern w:val="0"/>
        </w:rPr>
        <w:t>savunma, Bylock kullanımından çıkarılan sonuçların geçerliliğine itiraz edebilecek ve argümanlarını esaslı şekilde güçlendirebilecektir.</w:t>
      </w:r>
      <w:r w:rsidRPr="006B4754">
        <w:rPr>
          <w:rFonts w:cs="Segoe UI"/>
          <w:kern w:val="0"/>
        </w:rPr>
        <w:t xml:space="preserve"> Özellikle, Bylock’un başvuranın mahkûmiyetinde ağırlıklı rol oynadığı dikkate alındığında, bu durum daha da önemli hale gelmektedir (§ 336). </w:t>
      </w:r>
    </w:p>
    <w:p w14:paraId="207ADE5B"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 xml:space="preserve">AİHM’in Yalçınkaya kararındaki bu tespitleri ve sanıkların Bylock verilerinin </w:t>
      </w:r>
      <w:r w:rsidRPr="006B4754">
        <w:rPr>
          <w:rFonts w:cs="Segoe UI"/>
          <w:b/>
          <w:bCs/>
          <w:kern w:val="0"/>
        </w:rPr>
        <w:t>yalnızca yasallığına değil aynı zamanda güvenilirliğine de itiraz ettikleri dikkate alındığında</w:t>
      </w:r>
      <w:r w:rsidRPr="006B4754">
        <w:rPr>
          <w:rFonts w:cs="Segoe UI"/>
          <w:kern w:val="0"/>
        </w:rPr>
        <w:t xml:space="preserve">, </w:t>
      </w:r>
      <w:r w:rsidRPr="006B4754">
        <w:rPr>
          <w:rFonts w:cs="Segoe UI"/>
          <w:kern w:val="0"/>
          <w:shd w:val="clear" w:color="auto" w:fill="FFFFFF"/>
        </w:rPr>
        <w:t xml:space="preserve">Bylock verilerinin incelenmesi talebinin </w:t>
      </w:r>
      <w:r w:rsidRPr="006B4754">
        <w:rPr>
          <w:rFonts w:cs="Segoe UI"/>
          <w:b/>
          <w:bCs/>
          <w:kern w:val="0"/>
          <w:shd w:val="clear" w:color="auto" w:fill="FFFFFF"/>
        </w:rPr>
        <w:t>sadece ilgililerin Bylock içeriklerine ilişkin ham verilerin incelenmesiyle sınırlı tutulması, talebin karşılanmasına yetmeyecek ve böyle bir inceleme Yalçınkaya kararının gereğini yerine getirmek olmayacaktır. Bu nedenle</w:t>
      </w:r>
      <w:r w:rsidRPr="006B4754">
        <w:rPr>
          <w:rFonts w:cs="Segoe UI"/>
          <w:kern w:val="0"/>
        </w:rPr>
        <w:t xml:space="preserve"> Bylock’a ilişkin verilerin bir bütün olarak güvenilirliklerinin tespiti açısından ham verilerin tamamı üzerinde bilirkişi incelemesi yaptırılması hayati niteliktedir.  </w:t>
      </w:r>
    </w:p>
    <w:p w14:paraId="24B11770"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shd w:val="clear" w:color="auto" w:fill="FFFFFF"/>
        </w:rPr>
        <w:t xml:space="preserve">Bu noktada, Bylock verilerinin 09/12/2016’da adli makamlara teslim edildiği sırada veya daha sonra doğruluklarının teyit edilmesi için incelemeye tabi tutulduğunu </w:t>
      </w:r>
      <w:r w:rsidRPr="006B4754">
        <w:rPr>
          <w:rFonts w:cs="Segoe UI"/>
          <w:kern w:val="0"/>
          <w:shd w:val="clear" w:color="auto" w:fill="FFFFFF"/>
        </w:rPr>
        <w:lastRenderedPageBreak/>
        <w:t xml:space="preserve">gösteren somut bir bilgi bulunmadığına ilişkin </w:t>
      </w:r>
      <w:r w:rsidRPr="006B4754">
        <w:rPr>
          <w:rFonts w:cs="Segoe UI"/>
          <w:kern w:val="0"/>
        </w:rPr>
        <w:t>(</w:t>
      </w:r>
      <w:r w:rsidRPr="006B4754">
        <w:rPr>
          <w:rFonts w:cs="Segoe UI"/>
          <w:kern w:val="0"/>
          <w:shd w:val="clear" w:color="auto" w:fill="FFFFFF"/>
        </w:rPr>
        <w:t xml:space="preserve">§ </w:t>
      </w:r>
      <w:r w:rsidRPr="006B4754">
        <w:rPr>
          <w:rFonts w:cs="Segoe UI"/>
          <w:kern w:val="0"/>
        </w:rPr>
        <w:t xml:space="preserve">333) </w:t>
      </w:r>
      <w:r w:rsidRPr="006B4754">
        <w:rPr>
          <w:rFonts w:cs="Segoe UI"/>
          <w:kern w:val="0"/>
          <w:shd w:val="clear" w:color="auto" w:fill="FFFFFF"/>
        </w:rPr>
        <w:t>AİHM’in </w:t>
      </w:r>
      <w:r w:rsidRPr="006B4754">
        <w:rPr>
          <w:rFonts w:cs="Segoe UI"/>
          <w:b/>
          <w:bCs/>
          <w:kern w:val="0"/>
          <w:shd w:val="clear" w:color="auto" w:fill="FFFFFF"/>
        </w:rPr>
        <w:t xml:space="preserve">tespiti de eksiktir. Zira 09/12/2016’da verilerin teslimi üzerine </w:t>
      </w:r>
      <w:r w:rsidRPr="006B4754">
        <w:rPr>
          <w:rFonts w:cs="Segoe UI"/>
          <w:kern w:val="0"/>
        </w:rPr>
        <w:t xml:space="preserve">sulh ceza hâkimliği, MİT’in teslim ettiği dijital materyalden imaj alınması yanında bu materyaller üzerinde bilirkişi incelemesi yaptırılmasına da karar vermiş, bu karar doğrultusunda Ankara C. Başsavcılığı tarafından Bylock verilerinin </w:t>
      </w:r>
      <w:r w:rsidRPr="006B4754">
        <w:rPr>
          <w:rFonts w:cs="Segoe UI"/>
          <w:b/>
          <w:bCs/>
          <w:kern w:val="0"/>
        </w:rPr>
        <w:t>tamamı üzerinde</w:t>
      </w:r>
      <w:r w:rsidRPr="006B4754">
        <w:rPr>
          <w:rFonts w:cs="Segoe UI"/>
          <w:kern w:val="0"/>
        </w:rPr>
        <w:t xml:space="preserve"> yaptırılan bilirkişi incelemesiyle </w:t>
      </w:r>
      <w:r w:rsidRPr="006B4754">
        <w:rPr>
          <w:rFonts w:cs="Segoe UI"/>
          <w:b/>
          <w:bCs/>
          <w:kern w:val="0"/>
        </w:rPr>
        <w:t>Bylock veri tabanı yapısının bozuk olduğu, yani orijinal olmadığının ortaya çık</w:t>
      </w:r>
      <w:r w:rsidRPr="006B4754">
        <w:rPr>
          <w:rFonts w:cs="Segoe UI"/>
          <w:kern w:val="0"/>
        </w:rPr>
        <w:t>mıştır.</w:t>
      </w:r>
      <w:r w:rsidRPr="006B4754">
        <w:rPr>
          <w:rStyle w:val="DipnotBavurusu"/>
          <w:rFonts w:cs="Segoe UI"/>
          <w:kern w:val="0"/>
        </w:rPr>
        <w:footnoteReference w:id="7"/>
      </w:r>
      <w:r w:rsidRPr="006B4754">
        <w:rPr>
          <w:rFonts w:cs="Segoe UI"/>
          <w:kern w:val="0"/>
        </w:rPr>
        <w:t xml:space="preserve"> Yani, verilerin tesliminden sonra doğruluklarının teyidi için inceleme yapılmış ve </w:t>
      </w:r>
      <w:r w:rsidRPr="006B4754">
        <w:rPr>
          <w:rFonts w:cs="Segoe UI"/>
          <w:i/>
          <w:iCs/>
          <w:kern w:val="0"/>
        </w:rPr>
        <w:t>“yapılarının bozuk olduğu”</w:t>
      </w:r>
      <w:r w:rsidRPr="006B4754">
        <w:rPr>
          <w:rFonts w:cs="Segoe UI"/>
          <w:kern w:val="0"/>
        </w:rPr>
        <w:t xml:space="preserve"> ortaya çıkmıştır. </w:t>
      </w:r>
    </w:p>
    <w:p w14:paraId="0B317831" w14:textId="1CDD1349" w:rsidR="00757C5D" w:rsidRPr="004A0253" w:rsidRDefault="00757C5D" w:rsidP="004A0253">
      <w:pPr>
        <w:pStyle w:val="ListeParagraf"/>
        <w:numPr>
          <w:ilvl w:val="0"/>
          <w:numId w:val="46"/>
        </w:numPr>
        <w:shd w:val="clear" w:color="auto" w:fill="auto"/>
        <w:tabs>
          <w:tab w:val="clear" w:pos="1134"/>
        </w:tabs>
        <w:spacing w:line="271" w:lineRule="auto"/>
        <w:ind w:left="0" w:firstLine="567"/>
        <w:textAlignment w:val="baseline"/>
        <w:rPr>
          <w:rFonts w:cs="Segoe UI"/>
          <w:kern w:val="0"/>
        </w:rPr>
      </w:pPr>
      <w:r w:rsidRPr="006B4754">
        <w:rPr>
          <w:rFonts w:cs="Segoe UI"/>
          <w:kern w:val="0"/>
        </w:rPr>
        <w:t>Somut gerçeklik bu iken,</w:t>
      </w:r>
      <w:r w:rsidRPr="006B4754">
        <w:rPr>
          <w:rFonts w:cs="Segoe UI"/>
          <w:b/>
          <w:bCs/>
          <w:kern w:val="0"/>
          <w:shd w:val="clear" w:color="auto" w:fill="FFFFFF"/>
        </w:rPr>
        <w:t xml:space="preserve"> ya bu bilirkişi raporu dosyalara kazandırılmalı</w:t>
      </w:r>
      <w:r w:rsidRPr="006B4754">
        <w:rPr>
          <w:rFonts w:cs="Segoe UI"/>
          <w:kern w:val="0"/>
          <w:shd w:val="clear" w:color="auto" w:fill="FFFFFF"/>
        </w:rPr>
        <w:t xml:space="preserve"> ya da aynı nitelikte ve </w:t>
      </w:r>
      <w:r w:rsidRPr="006B4754">
        <w:rPr>
          <w:rFonts w:cs="Segoe UI"/>
          <w:b/>
          <w:bCs/>
          <w:kern w:val="0"/>
          <w:shd w:val="clear" w:color="auto" w:fill="FFFFFF"/>
        </w:rPr>
        <w:t>tüm verileri kapsayan yeni bir rapor aldırılmalıdır.</w:t>
      </w:r>
      <w:r w:rsidRPr="006B4754">
        <w:rPr>
          <w:rFonts w:cs="Segoe UI"/>
          <w:kern w:val="0"/>
          <w:shd w:val="clear" w:color="auto" w:fill="FFFFFF"/>
        </w:rPr>
        <w:t xml:space="preserve"> Aksi durumun kabulü, yani </w:t>
      </w:r>
      <w:r w:rsidRPr="006B4754">
        <w:rPr>
          <w:rFonts w:cs="Segoe UI"/>
          <w:b/>
          <w:bCs/>
          <w:kern w:val="0"/>
          <w:shd w:val="clear" w:color="auto" w:fill="FFFFFF"/>
        </w:rPr>
        <w:t>sadece ilgilinin Bylock içeriklerine ilişkin verilerin incelenmesi,</w:t>
      </w:r>
      <w:r w:rsidRPr="006B4754">
        <w:rPr>
          <w:rFonts w:cs="Segoe UI"/>
          <w:kern w:val="0"/>
          <w:shd w:val="clear" w:color="auto" w:fill="FFFFFF"/>
        </w:rPr>
        <w:t xml:space="preserve"> verilerin güvenilirliğine ilişkin itirazın karşılanması anlamına gelmeyecek ve </w:t>
      </w:r>
      <w:r w:rsidRPr="006B4754">
        <w:rPr>
          <w:rFonts w:cs="Segoe UI"/>
          <w:b/>
          <w:bCs/>
          <w:kern w:val="0"/>
          <w:shd w:val="clear" w:color="auto" w:fill="FFFFFF"/>
        </w:rPr>
        <w:t>talep sadece Tespit Değerlendirme Tutanaklarının gerçekliğinin testiyle sınırlı kalacaktır.</w:t>
      </w:r>
      <w:r w:rsidRPr="006B4754">
        <w:rPr>
          <w:rFonts w:cs="Segoe UI"/>
          <w:kern w:val="0"/>
          <w:shd w:val="clear" w:color="auto" w:fill="FFFFFF"/>
        </w:rPr>
        <w:t xml:space="preserve"> Bu sebeplerle, Bylock verilerinin </w:t>
      </w:r>
      <w:r w:rsidRPr="006B4754">
        <w:rPr>
          <w:rFonts w:cs="Segoe UI"/>
          <w:b/>
          <w:bCs/>
          <w:kern w:val="0"/>
          <w:shd w:val="clear" w:color="auto" w:fill="FFFFFF"/>
        </w:rPr>
        <w:t>sağlam ve bütünlüklerinin tam olduğunun aldırılacak bir bilirkişi raporuyla ortaya konulması gerekmektedir. </w:t>
      </w:r>
      <w:r w:rsidRPr="006B4754">
        <w:rPr>
          <w:rFonts w:cs="Segoe UI"/>
          <w:kern w:val="0"/>
        </w:rPr>
        <w:t> </w:t>
      </w:r>
    </w:p>
    <w:p w14:paraId="03DCAB13" w14:textId="60C5B0D2" w:rsidR="00757C5D" w:rsidRPr="004A0253" w:rsidRDefault="00757C5D" w:rsidP="004A0253">
      <w:pPr>
        <w:pStyle w:val="Balk1"/>
        <w:ind w:left="0" w:firstLine="567"/>
        <w:rPr>
          <w:rFonts w:ascii="Palatino Linotype" w:hAnsi="Palatino Linotype"/>
        </w:rPr>
      </w:pPr>
      <w:bookmarkStart w:id="17" w:name="_Toc153309439"/>
      <w:r w:rsidRPr="004A0253">
        <w:rPr>
          <w:rFonts w:ascii="Palatino Linotype" w:hAnsi="Palatino Linotype"/>
        </w:rPr>
        <w:t>Bylock’un Münhasır Bir Uygulama Oldu</w:t>
      </w:r>
      <w:r w:rsidRPr="004A0253">
        <w:rPr>
          <w:rFonts w:ascii="Palatino Linotype" w:hAnsi="Palatino Linotype" w:cs="Calibri"/>
        </w:rPr>
        <w:t>ğ</w:t>
      </w:r>
      <w:r w:rsidRPr="004A0253">
        <w:rPr>
          <w:rFonts w:ascii="Palatino Linotype" w:hAnsi="Palatino Linotype"/>
        </w:rPr>
        <w:t xml:space="preserve">u </w:t>
      </w:r>
      <w:r w:rsidRPr="004A0253">
        <w:rPr>
          <w:rFonts w:ascii="Palatino Linotype" w:hAnsi="Palatino Linotype" w:cs="Calibri"/>
        </w:rPr>
        <w:t>İ</w:t>
      </w:r>
      <w:r w:rsidRPr="004A0253">
        <w:rPr>
          <w:rFonts w:ascii="Palatino Linotype" w:hAnsi="Palatino Linotype"/>
        </w:rPr>
        <w:t>ddias</w:t>
      </w:r>
      <w:r w:rsidRPr="004A0253">
        <w:rPr>
          <w:rFonts w:ascii="Palatino Linotype" w:hAnsi="Palatino Linotype" w:cs="Segoe UI Historic"/>
        </w:rPr>
        <w:t>ı</w:t>
      </w:r>
      <w:r w:rsidRPr="004A0253">
        <w:rPr>
          <w:rFonts w:ascii="Palatino Linotype" w:hAnsi="Palatino Linotype"/>
        </w:rPr>
        <w:t xml:space="preserve">na </w:t>
      </w:r>
      <w:r w:rsidRPr="004A0253">
        <w:rPr>
          <w:rFonts w:ascii="Palatino Linotype" w:hAnsi="Palatino Linotype" w:cs="Calibri"/>
        </w:rPr>
        <w:t>İ</w:t>
      </w:r>
      <w:r w:rsidRPr="004A0253">
        <w:rPr>
          <w:rFonts w:ascii="Palatino Linotype" w:hAnsi="Palatino Linotype"/>
        </w:rPr>
        <w:t>li</w:t>
      </w:r>
      <w:r w:rsidRPr="004A0253">
        <w:rPr>
          <w:rFonts w:ascii="Palatino Linotype" w:hAnsi="Palatino Linotype" w:cs="Calibri"/>
        </w:rPr>
        <w:t>ş</w:t>
      </w:r>
      <w:r w:rsidRPr="004A0253">
        <w:rPr>
          <w:rFonts w:ascii="Palatino Linotype" w:hAnsi="Palatino Linotype"/>
        </w:rPr>
        <w:t>kin Olarak</w:t>
      </w:r>
      <w:bookmarkEnd w:id="17"/>
    </w:p>
    <w:p w14:paraId="439B9F04" w14:textId="77777777" w:rsidR="00757C5D" w:rsidRPr="004A0253" w:rsidRDefault="00757C5D" w:rsidP="004A0253">
      <w:pPr>
        <w:pStyle w:val="ListeParagraf"/>
        <w:spacing w:line="271" w:lineRule="auto"/>
        <w:ind w:left="567" w:firstLine="0"/>
        <w:textAlignment w:val="baseline"/>
        <w:rPr>
          <w:rFonts w:cs="Segoe UI"/>
          <w:b/>
          <w:bCs/>
          <w:kern w:val="0"/>
        </w:rPr>
      </w:pPr>
      <w:r w:rsidRPr="004A0253">
        <w:rPr>
          <w:rFonts w:cs="Segoe UI"/>
          <w:b/>
          <w:bCs/>
          <w:kern w:val="0"/>
        </w:rPr>
        <w:t>AİHM’in konuyla ilgili tespitleri şöyledir;</w:t>
      </w:r>
    </w:p>
    <w:p w14:paraId="44302F40"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Başvuranın Bylock’u örgütsel amaçla kullandığı iddiası herhangi bir özel maddi bulguya yani,</w:t>
      </w:r>
      <w:r w:rsidRPr="006B4754">
        <w:rPr>
          <w:rFonts w:cs="Calibri"/>
          <w:b/>
          <w:bCs/>
          <w:kern w:val="0"/>
        </w:rPr>
        <w:t xml:space="preserve"> Bylock içeriklerine veya hiyerarşik yapıya dahil olunduğunu gösteren somut tespit ve olgulara </w:t>
      </w:r>
      <w:r w:rsidRPr="006B4754">
        <w:rPr>
          <w:rFonts w:cs="Segoe UI"/>
          <w:kern w:val="0"/>
        </w:rPr>
        <w:t xml:space="preserve">değil; başlangıçta </w:t>
      </w:r>
      <w:r w:rsidRPr="006B4754">
        <w:rPr>
          <w:rFonts w:cs="Segoe UI"/>
          <w:b/>
          <w:bCs/>
          <w:kern w:val="0"/>
        </w:rPr>
        <w:t>MİT’in ortaya atıp</w:t>
      </w:r>
      <w:r w:rsidRPr="006B4754">
        <w:rPr>
          <w:rFonts w:cs="Segoe UI"/>
          <w:kern w:val="0"/>
        </w:rPr>
        <w:t xml:space="preserve"> daha sonra Yargıtay’ın da olduğu gibi kabul ettiği </w:t>
      </w:r>
      <w:r w:rsidRPr="006B4754">
        <w:rPr>
          <w:rFonts w:cs="Segoe UI"/>
          <w:b/>
          <w:bCs/>
          <w:kern w:val="0"/>
        </w:rPr>
        <w:t xml:space="preserve">ByLock’un </w:t>
      </w:r>
      <w:r w:rsidRPr="006B4754">
        <w:rPr>
          <w:rFonts w:cs="Segoe UI"/>
          <w:b/>
          <w:bCs/>
          <w:i/>
          <w:iCs/>
          <w:kern w:val="0"/>
        </w:rPr>
        <w:t>"münhasıran"</w:t>
      </w:r>
      <w:r w:rsidRPr="006B4754">
        <w:rPr>
          <w:rFonts w:cs="Segoe UI"/>
          <w:b/>
          <w:bCs/>
          <w:kern w:val="0"/>
        </w:rPr>
        <w:t xml:space="preserve"> cemaat mensupları tarafından kullanıldığı tezine dayanmaktadır</w:t>
      </w:r>
      <w:r w:rsidRPr="006B4754">
        <w:rPr>
          <w:rFonts w:cs="Segoe UI"/>
          <w:kern w:val="0"/>
        </w:rPr>
        <w:t xml:space="preserve"> (§ 338)</w:t>
      </w:r>
      <w:r w:rsidRPr="006B4754">
        <w:rPr>
          <w:rFonts w:cs="Segoe UI"/>
          <w:b/>
          <w:bCs/>
          <w:kern w:val="0"/>
        </w:rPr>
        <w:t>. </w:t>
      </w:r>
      <w:r w:rsidRPr="006B4754">
        <w:rPr>
          <w:rFonts w:cs="Segoe UI"/>
          <w:kern w:val="0"/>
        </w:rPr>
        <w:t> </w:t>
      </w:r>
    </w:p>
    <w:p w14:paraId="07917914"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 xml:space="preserve">Başvuranın yargılama sırasında Bylock uygulamasının 2016 yılının başlarına kadar, yani yaklaşık iki yıl boyunca halka açık uygulama mağazalarından veya sitelerinden indirilebildiği dikkate alındığında </w:t>
      </w:r>
      <w:r w:rsidRPr="006B4754">
        <w:rPr>
          <w:rFonts w:cs="Segoe UI"/>
          <w:b/>
          <w:bCs/>
          <w:kern w:val="0"/>
        </w:rPr>
        <w:t xml:space="preserve">bu durum, münhasırlık argümanını zayıflatmıştır </w:t>
      </w:r>
      <w:r w:rsidRPr="006B4754">
        <w:rPr>
          <w:rFonts w:cs="Segoe UI"/>
          <w:kern w:val="0"/>
        </w:rPr>
        <w:t>(§ 338)</w:t>
      </w:r>
      <w:r w:rsidRPr="006B4754">
        <w:rPr>
          <w:rFonts w:cs="Segoe UI"/>
          <w:b/>
          <w:bCs/>
          <w:kern w:val="0"/>
        </w:rPr>
        <w:t>. </w:t>
      </w:r>
      <w:r w:rsidRPr="006B4754">
        <w:rPr>
          <w:rFonts w:cs="Segoe UI"/>
          <w:kern w:val="0"/>
        </w:rPr>
        <w:t> </w:t>
      </w:r>
    </w:p>
    <w:p w14:paraId="72DEAB09"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 xml:space="preserve">Hükümetin iddiası gibi uygulamanın katı bir örgütsel hiyerarşi içinde indirilip kullanıldığı iddiası yerinde değildir ve </w:t>
      </w:r>
      <w:r w:rsidRPr="006B4754">
        <w:rPr>
          <w:rFonts w:cs="Segoe UI"/>
          <w:b/>
          <w:bCs/>
          <w:kern w:val="0"/>
        </w:rPr>
        <w:t xml:space="preserve">insanların normal bir uygulama olarak indirilip kullanıldığını gösteren ve AYM’nin Ferhat Kara kararındaki ifadeler bunun örneğidir </w:t>
      </w:r>
      <w:r w:rsidRPr="006B4754">
        <w:rPr>
          <w:rFonts w:cs="Segoe UI"/>
          <w:kern w:val="0"/>
        </w:rPr>
        <w:t>(§ 339)</w:t>
      </w:r>
      <w:r w:rsidRPr="006B4754">
        <w:rPr>
          <w:rFonts w:cs="Segoe UI"/>
          <w:b/>
          <w:bCs/>
          <w:kern w:val="0"/>
        </w:rPr>
        <w:t>. </w:t>
      </w:r>
      <w:r w:rsidRPr="006B4754">
        <w:rPr>
          <w:rFonts w:cs="Segoe UI"/>
          <w:kern w:val="0"/>
        </w:rPr>
        <w:t> </w:t>
      </w:r>
      <w:r w:rsidRPr="006B4754">
        <w:rPr>
          <w:rFonts w:cs="Segoe UI"/>
          <w:b/>
          <w:bCs/>
          <w:kern w:val="0"/>
        </w:rPr>
        <w:t xml:space="preserve"> </w:t>
      </w:r>
    </w:p>
    <w:p w14:paraId="63547001"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 xml:space="preserve">Yargıtayın emsal kararlarında yer alan kriterde, bir kişinin </w:t>
      </w:r>
      <w:r w:rsidRPr="006B4754">
        <w:rPr>
          <w:rFonts w:cs="Segoe UI"/>
          <w:i/>
          <w:iCs/>
          <w:kern w:val="0"/>
        </w:rPr>
        <w:t>“örgütün talimatıyla ağa katıldığının”</w:t>
      </w:r>
      <w:r w:rsidRPr="006B4754">
        <w:rPr>
          <w:rFonts w:cs="Segoe UI"/>
          <w:kern w:val="0"/>
        </w:rPr>
        <w:t xml:space="preserve"> tespit edilmesi halinde Bylock kullanımının cemaat bağlantısını gösteren kanıt teşkil edeceği belirtilmiş, ancak Yargıtay veya başvuranın davasına bakan diğer mahkemeler bu yönde değerlendirme ve ilgili mahkemelerin bu değerlendirmeyi neden gerekli görülmediklerine ilişkin herhangi bir açıklama yapmamışlardır (§ 339)</w:t>
      </w:r>
      <w:r w:rsidRPr="006B4754">
        <w:rPr>
          <w:rFonts w:cs="Segoe UI"/>
          <w:b/>
          <w:bCs/>
          <w:kern w:val="0"/>
        </w:rPr>
        <w:t>.</w:t>
      </w:r>
    </w:p>
    <w:p w14:paraId="3959BA65"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lastRenderedPageBreak/>
        <w:t>Başvuran tarafından sunulan ve Hükümet tarafından reddedilmeyen uzman görüşü de dikkate alındığında;</w:t>
      </w:r>
      <w:r w:rsidRPr="006B4754">
        <w:rPr>
          <w:rStyle w:val="DipnotBavurusu"/>
          <w:rFonts w:cs="Segoe UI"/>
          <w:kern w:val="0"/>
        </w:rPr>
        <w:footnoteReference w:id="8"/>
      </w:r>
      <w:r w:rsidRPr="006B4754">
        <w:rPr>
          <w:rFonts w:cs="Segoe UI"/>
          <w:kern w:val="0"/>
        </w:rPr>
        <w:t xml:space="preserve"> münhasırlık argümanını desteklemek için Hükümetin ileri sürdüğü birçok teknik özellik</w:t>
      </w:r>
      <w:r w:rsidRPr="006B4754">
        <w:rPr>
          <w:rFonts w:cs="Segoe UI"/>
          <w:b/>
          <w:bCs/>
          <w:kern w:val="0"/>
        </w:rPr>
        <w:t xml:space="preserve"> münhasırlık iddiasını karşılayacak nitelikte değildir ve Bylock’ta bulunan özellikler aslında yaygın olarak kullanılan birçok uygulamada bulunmaktadır (§ 339). </w:t>
      </w:r>
      <w:r w:rsidRPr="006B4754">
        <w:rPr>
          <w:rFonts w:cs="Segoe UI"/>
          <w:kern w:val="0"/>
        </w:rPr>
        <w:t> </w:t>
      </w:r>
    </w:p>
    <w:p w14:paraId="42507AF9"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B</w:t>
      </w:r>
      <w:r w:rsidRPr="006B4754">
        <w:rPr>
          <w:rFonts w:cs="Calibri"/>
          <w:kern w:val="0"/>
        </w:rPr>
        <w:t xml:space="preserve">u iddialar “münhasırlık” ve “örgütsel kullanım” argümanında bariz boşluklar bulunduğuna işaret etmektedir ve bu durum, TCK’nın 314/2. maddesi kapsamında </w:t>
      </w:r>
      <w:r w:rsidRPr="006B4754">
        <w:rPr>
          <w:rFonts w:cs="Segoe UI"/>
          <w:kern w:val="0"/>
        </w:rPr>
        <w:t>Bylock’un cemaat mensubu olmayan kişilerce kullanılmadığının ve kullanılamayacağının nasıl tespit edildiği hususunda ulusal mahkemelerin daha fazla açıklama yapmalarını gerektirmektedir (§ 340). Kaldı ki, Bylock’un başka kişiler tarafından kullanıldığına ilişkin Yargıtay kararı bile vardır.</w:t>
      </w:r>
      <w:r w:rsidRPr="006B4754">
        <w:rPr>
          <w:rStyle w:val="DipnotBavurusu"/>
          <w:rFonts w:cs="Segoe UI"/>
          <w:kern w:val="0"/>
        </w:rPr>
        <w:footnoteReference w:id="9"/>
      </w:r>
    </w:p>
    <w:p w14:paraId="248A8AD6"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Calibri"/>
          <w:kern w:val="0"/>
        </w:rPr>
        <w:t xml:space="preserve">Yargıtayın emsal kararları da dahil olmak üzere, yerel mahkemeler Bylock uygulamasının münhasır ve örgütsel olduğu iddiasına ilişkin olarak öncelikle MİT tarafından yargı dışı bir bağlamda yapılan tespitleri kabul etmişler ve bu tespitleri ayrıntılı bir şekilde incelememişlerdir </w:t>
      </w:r>
      <w:r w:rsidRPr="006B4754">
        <w:rPr>
          <w:rFonts w:cs="Segoe UI"/>
          <w:kern w:val="0"/>
        </w:rPr>
        <w:t>(§ 340)</w:t>
      </w:r>
      <w:r w:rsidRPr="006B4754">
        <w:rPr>
          <w:rFonts w:cs="Calibri"/>
          <w:kern w:val="0"/>
        </w:rPr>
        <w:t>.  </w:t>
      </w:r>
    </w:p>
    <w:p w14:paraId="0E647F56" w14:textId="668B838D" w:rsidR="00757C5D" w:rsidRPr="004A0253" w:rsidRDefault="00757C5D" w:rsidP="004A0253">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Calibri"/>
          <w:kern w:val="0"/>
        </w:rPr>
        <w:t>Bu ifadelerden de</w:t>
      </w:r>
      <w:r w:rsidRPr="006B4754">
        <w:rPr>
          <w:rFonts w:cs="Segoe UI"/>
          <w:kern w:val="0"/>
        </w:rPr>
        <w:t xml:space="preserve"> anlaşılacağı üzere, </w:t>
      </w:r>
      <w:r w:rsidRPr="006B4754">
        <w:rPr>
          <w:rFonts w:cs="Segoe UI"/>
          <w:b/>
          <w:bCs/>
          <w:kern w:val="0"/>
        </w:rPr>
        <w:t>münhasırlık iddiasının sahibi MİT’tir ve hukuki bir temeli ve dayanağı yoktur.</w:t>
      </w:r>
      <w:r w:rsidRPr="006B4754">
        <w:rPr>
          <w:rFonts w:cs="Segoe UI"/>
          <w:kern w:val="0"/>
        </w:rPr>
        <w:t xml:space="preserve"> Yani, örgütsel amaçla kullanıldığı bizzat mahkemeler tarafından somut olgularla tespit edilmemiş münhasırlık iddiasına dayanılarak insanların cezalandırılması yoluna gidilmiştir. AİHM’in ihlale gerekçe yaptığı hususlardan, başta veri güvenliğinin nasıl sağlandığı şüpheye yer vermeyecek şekilde ortaya konulup, münhasırlık iddiasının gerçekliği de somut delilleriyle ortaya konulduktan sonra Bylock’un bir delil değeri olabilir. </w:t>
      </w:r>
    </w:p>
    <w:p w14:paraId="4075D07F" w14:textId="0E7470DC" w:rsidR="00757C5D" w:rsidRPr="004A0253" w:rsidRDefault="00757C5D" w:rsidP="004A0253">
      <w:pPr>
        <w:pStyle w:val="Balk1"/>
        <w:ind w:left="0" w:firstLine="567"/>
        <w:rPr>
          <w:rFonts w:ascii="Palatino Linotype" w:hAnsi="Palatino Linotype"/>
        </w:rPr>
      </w:pPr>
      <w:bookmarkStart w:id="18" w:name="_Toc153309440"/>
      <w:r w:rsidRPr="004A0253">
        <w:rPr>
          <w:rFonts w:ascii="Palatino Linotype" w:hAnsi="Palatino Linotype"/>
        </w:rPr>
        <w:t>M</w:t>
      </w:r>
      <w:r w:rsidRPr="004A0253">
        <w:rPr>
          <w:rFonts w:ascii="Palatino Linotype" w:hAnsi="Palatino Linotype" w:cs="Calibri"/>
        </w:rPr>
        <w:t>İ</w:t>
      </w:r>
      <w:r w:rsidRPr="004A0253">
        <w:rPr>
          <w:rFonts w:ascii="Palatino Linotype" w:hAnsi="Palatino Linotype"/>
        </w:rPr>
        <w:t>T</w:t>
      </w:r>
      <w:r w:rsidRPr="004A0253">
        <w:rPr>
          <w:rFonts w:ascii="Palatino Linotype" w:hAnsi="Palatino Linotype" w:cs="Segoe UI Historic"/>
        </w:rPr>
        <w:t>’</w:t>
      </w:r>
      <w:r w:rsidRPr="004A0253">
        <w:rPr>
          <w:rFonts w:ascii="Palatino Linotype" w:hAnsi="Palatino Linotype"/>
        </w:rPr>
        <w:t>in Haz</w:t>
      </w:r>
      <w:r w:rsidRPr="004A0253">
        <w:rPr>
          <w:rFonts w:ascii="Palatino Linotype" w:hAnsi="Palatino Linotype" w:cs="Segoe UI Historic"/>
        </w:rPr>
        <w:t>ı</w:t>
      </w:r>
      <w:r w:rsidRPr="004A0253">
        <w:rPr>
          <w:rFonts w:ascii="Palatino Linotype" w:hAnsi="Palatino Linotype"/>
        </w:rPr>
        <w:t>rlad</w:t>
      </w:r>
      <w:r w:rsidRPr="004A0253">
        <w:rPr>
          <w:rFonts w:ascii="Palatino Linotype" w:hAnsi="Palatino Linotype" w:cs="Segoe UI Historic"/>
        </w:rPr>
        <w:t>ı</w:t>
      </w:r>
      <w:r w:rsidRPr="004A0253">
        <w:rPr>
          <w:rFonts w:ascii="Palatino Linotype" w:hAnsi="Palatino Linotype" w:cs="Calibri"/>
        </w:rPr>
        <w:t>ğ</w:t>
      </w:r>
      <w:r w:rsidRPr="004A0253">
        <w:rPr>
          <w:rFonts w:ascii="Palatino Linotype" w:hAnsi="Palatino Linotype" w:cs="Segoe UI Historic"/>
        </w:rPr>
        <w:t>ı</w:t>
      </w:r>
      <w:r w:rsidRPr="004A0253">
        <w:rPr>
          <w:rFonts w:ascii="Palatino Linotype" w:hAnsi="Palatino Linotype"/>
        </w:rPr>
        <w:t xml:space="preserve"> Teknik Raporda Bylock Sunucusunun Litvanya</w:t>
      </w:r>
      <w:r w:rsidRPr="004A0253">
        <w:rPr>
          <w:rFonts w:ascii="Palatino Linotype" w:hAnsi="Palatino Linotype" w:cs="Segoe UI Historic"/>
        </w:rPr>
        <w:t>’</w:t>
      </w:r>
      <w:r w:rsidRPr="004A0253">
        <w:rPr>
          <w:rFonts w:ascii="Palatino Linotype" w:hAnsi="Palatino Linotype"/>
        </w:rPr>
        <w:t>da Oldu</w:t>
      </w:r>
      <w:r w:rsidRPr="004A0253">
        <w:rPr>
          <w:rFonts w:ascii="Palatino Linotype" w:hAnsi="Palatino Linotype" w:cs="Calibri"/>
        </w:rPr>
        <w:t>ğ</w:t>
      </w:r>
      <w:r w:rsidRPr="004A0253">
        <w:rPr>
          <w:rFonts w:ascii="Palatino Linotype" w:hAnsi="Palatino Linotype"/>
        </w:rPr>
        <w:t xml:space="preserve">unun Belirtilmesine </w:t>
      </w:r>
      <w:r w:rsidRPr="004A0253">
        <w:rPr>
          <w:rFonts w:ascii="Palatino Linotype" w:hAnsi="Palatino Linotype" w:cs="Calibri"/>
        </w:rPr>
        <w:t>İ</w:t>
      </w:r>
      <w:r w:rsidRPr="004A0253">
        <w:rPr>
          <w:rFonts w:ascii="Palatino Linotype" w:hAnsi="Palatino Linotype"/>
        </w:rPr>
        <w:t>li</w:t>
      </w:r>
      <w:r w:rsidRPr="004A0253">
        <w:rPr>
          <w:rFonts w:ascii="Palatino Linotype" w:hAnsi="Palatino Linotype" w:cs="Calibri"/>
        </w:rPr>
        <w:t>ş</w:t>
      </w:r>
      <w:r w:rsidRPr="004A0253">
        <w:rPr>
          <w:rFonts w:ascii="Palatino Linotype" w:hAnsi="Palatino Linotype"/>
        </w:rPr>
        <w:t>kin Olarak</w:t>
      </w:r>
      <w:bookmarkEnd w:id="18"/>
      <w:r w:rsidRPr="004A0253">
        <w:rPr>
          <w:rFonts w:ascii="Palatino Linotype" w:hAnsi="Palatino Linotype"/>
        </w:rPr>
        <w:t>  </w:t>
      </w:r>
    </w:p>
    <w:p w14:paraId="02CC7234"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Bylock bilgileri 6706 sayılı Cezai Konularda Adli İşbirliği Kanunu ve Siber Suçlar Sözleşmesi kapsamında mı elde edilmiştir? </w:t>
      </w:r>
    </w:p>
    <w:p w14:paraId="7845F51A"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 xml:space="preserve">Bylock sunucusu üzerinde arama, kopyalama ve el koyma işleminin yapılabilmesi için, soruşturmayı başlatan C. Başsavcılığı tarafından Litvanya yargı mercileriyle adli işbirliği yapılması için Adalet Bakanlığı </w:t>
      </w:r>
      <w:r w:rsidRPr="006B4754">
        <w:rPr>
          <w:shd w:val="clear" w:color="auto" w:fill="FFFFFF"/>
        </w:rPr>
        <w:t xml:space="preserve">Dış İlişkiler ve Avrupa Birliği </w:t>
      </w:r>
      <w:r w:rsidRPr="006B4754">
        <w:rPr>
          <w:shd w:val="clear" w:color="auto" w:fill="FFFFFF"/>
        </w:rPr>
        <w:lastRenderedPageBreak/>
        <w:t>Genel Müdürlüğü</w:t>
      </w:r>
      <w:r w:rsidRPr="006B4754">
        <w:rPr>
          <w:rFonts w:cs="Segoe UI"/>
          <w:kern w:val="0"/>
        </w:rPr>
        <w:t xml:space="preserve"> (eski Uluslararası Hukuk ve Dış İlişkiler Genel Müdürlüğü) talepte bulunulmuş mudur? </w:t>
      </w:r>
    </w:p>
    <w:p w14:paraId="2ED8D9D7"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Bylock bilgileri 6706 sayılı Kanun kapsamında yapılan adli işbirliği kapsamında elde edildiyse, bu Kanun gereğince yapılacak tüm işlemlerde inisiyatif ve yetki Litvanya yargı mercilerinde olduğuna, başka bir ifadeyle, Bylock sunucusu üzerinde yapılacak arama, kopyalama ve el koyma işlemleri Litvanya makamlarınca gerçekleştirileceğine göre, MİT Bylock bilgilerini hangi sıfatla ve hangi yetkiye dayanarak ele geçirmiştir? </w:t>
      </w:r>
    </w:p>
    <w:p w14:paraId="5029CD2B"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Bylock bilgileri yapılan adli işbirliği sonucu elde edildiyse, bu kapsamda yapılan işlemler nelerdir ve bu işlemlere iddianamede neden hiç yer verilmemiştir? </w:t>
      </w:r>
    </w:p>
    <w:p w14:paraId="6EB0D012"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b/>
          <w:bCs/>
          <w:kern w:val="0"/>
        </w:rPr>
        <w:t>Litvanya Parlamentosu’nun</w:t>
      </w:r>
      <w:r w:rsidRPr="006B4754">
        <w:rPr>
          <w:rFonts w:cs="Segoe UI"/>
          <w:kern w:val="0"/>
        </w:rPr>
        <w:t xml:space="preserve"> resmi bir yazıyla kendilerinden Bylock’un adli yardımlaşma (istinabe) kapsamında istenilmediğini belirtmeleri karşısında Bylock nasıl hukuka uygun elde edilmiş kabul edilecektir?</w:t>
      </w:r>
      <w:r w:rsidRPr="006B4754">
        <w:rPr>
          <w:rStyle w:val="DipnotBavurusu"/>
          <w:rFonts w:cs="Segoe UI"/>
          <w:kern w:val="0"/>
        </w:rPr>
        <w:footnoteReference w:id="10"/>
      </w:r>
    </w:p>
    <w:p w14:paraId="102B407F" w14:textId="77777777" w:rsidR="00757C5D" w:rsidRPr="006B4754" w:rsidRDefault="00757C5D" w:rsidP="00757C5D">
      <w:pPr>
        <w:pStyle w:val="ListeParagraf"/>
        <w:spacing w:line="271" w:lineRule="auto"/>
        <w:ind w:left="567"/>
        <w:textAlignment w:val="baseline"/>
        <w:rPr>
          <w:rFonts w:cs="Segoe UI"/>
          <w:b/>
          <w:bCs/>
          <w:kern w:val="0"/>
        </w:rPr>
      </w:pPr>
    </w:p>
    <w:p w14:paraId="665608A6" w14:textId="3DB877CD" w:rsidR="00757C5D" w:rsidRPr="004A0253" w:rsidRDefault="00757C5D" w:rsidP="004A0253">
      <w:pPr>
        <w:pStyle w:val="Balk1"/>
        <w:ind w:left="0" w:firstLine="567"/>
        <w:rPr>
          <w:rFonts w:ascii="Palatino Linotype" w:hAnsi="Palatino Linotype"/>
        </w:rPr>
      </w:pPr>
      <w:bookmarkStart w:id="19" w:name="_Toc153309441"/>
      <w:r w:rsidRPr="004A0253">
        <w:rPr>
          <w:rFonts w:ascii="Palatino Linotype" w:hAnsi="Palatino Linotype"/>
        </w:rPr>
        <w:t>M</w:t>
      </w:r>
      <w:r w:rsidRPr="004A0253">
        <w:rPr>
          <w:rFonts w:ascii="Palatino Linotype" w:hAnsi="Palatino Linotype" w:cs="Calibri"/>
        </w:rPr>
        <w:t>İ</w:t>
      </w:r>
      <w:r w:rsidRPr="004A0253">
        <w:rPr>
          <w:rFonts w:ascii="Palatino Linotype" w:hAnsi="Palatino Linotype"/>
        </w:rPr>
        <w:t>T</w:t>
      </w:r>
      <w:r w:rsidRPr="004A0253">
        <w:rPr>
          <w:rFonts w:ascii="Palatino Linotype" w:hAnsi="Palatino Linotype" w:cs="Segoe UI Historic"/>
        </w:rPr>
        <w:t>’</w:t>
      </w:r>
      <w:r w:rsidRPr="004A0253">
        <w:rPr>
          <w:rFonts w:ascii="Palatino Linotype" w:hAnsi="Palatino Linotype"/>
        </w:rPr>
        <w:t>in haz</w:t>
      </w:r>
      <w:r w:rsidRPr="004A0253">
        <w:rPr>
          <w:rFonts w:ascii="Palatino Linotype" w:hAnsi="Palatino Linotype" w:cs="Segoe UI Historic"/>
        </w:rPr>
        <w:t>ı</w:t>
      </w:r>
      <w:r w:rsidRPr="004A0253">
        <w:rPr>
          <w:rFonts w:ascii="Palatino Linotype" w:hAnsi="Palatino Linotype"/>
        </w:rPr>
        <w:t>rlad</w:t>
      </w:r>
      <w:r w:rsidRPr="004A0253">
        <w:rPr>
          <w:rFonts w:ascii="Palatino Linotype" w:hAnsi="Palatino Linotype" w:cs="Segoe UI Historic"/>
        </w:rPr>
        <w:t>ı</w:t>
      </w:r>
      <w:r w:rsidRPr="004A0253">
        <w:rPr>
          <w:rFonts w:ascii="Palatino Linotype" w:hAnsi="Palatino Linotype" w:cs="Calibri"/>
        </w:rPr>
        <w:t>ğ</w:t>
      </w:r>
      <w:r w:rsidRPr="004A0253">
        <w:rPr>
          <w:rFonts w:ascii="Palatino Linotype" w:hAnsi="Palatino Linotype" w:cs="Segoe UI Historic"/>
        </w:rPr>
        <w:t>ı</w:t>
      </w:r>
      <w:r w:rsidRPr="004A0253">
        <w:rPr>
          <w:rFonts w:ascii="Palatino Linotype" w:hAnsi="Palatino Linotype"/>
        </w:rPr>
        <w:t xml:space="preserve"> Teknik Raporda Bylock</w:t>
      </w:r>
      <w:r w:rsidRPr="004A0253">
        <w:rPr>
          <w:rFonts w:ascii="Palatino Linotype" w:hAnsi="Palatino Linotype" w:cs="Segoe UI Historic"/>
        </w:rPr>
        <w:t>’</w:t>
      </w:r>
      <w:r w:rsidRPr="004A0253">
        <w:rPr>
          <w:rFonts w:ascii="Palatino Linotype" w:hAnsi="Palatino Linotype"/>
        </w:rPr>
        <w:t>un 215 Bin Kullan</w:t>
      </w:r>
      <w:r w:rsidRPr="004A0253">
        <w:rPr>
          <w:rFonts w:ascii="Palatino Linotype" w:hAnsi="Palatino Linotype" w:cs="Segoe UI Historic"/>
        </w:rPr>
        <w:t>ı</w:t>
      </w:r>
      <w:r w:rsidRPr="004A0253">
        <w:rPr>
          <w:rFonts w:ascii="Palatino Linotype" w:hAnsi="Palatino Linotype"/>
        </w:rPr>
        <w:t>c</w:t>
      </w:r>
      <w:r w:rsidRPr="004A0253">
        <w:rPr>
          <w:rFonts w:ascii="Palatino Linotype" w:hAnsi="Palatino Linotype" w:cs="Segoe UI Historic"/>
        </w:rPr>
        <w:t>ı</w:t>
      </w:r>
      <w:r w:rsidRPr="004A0253">
        <w:rPr>
          <w:rFonts w:ascii="Palatino Linotype" w:hAnsi="Palatino Linotype"/>
        </w:rPr>
        <w:t>s</w:t>
      </w:r>
      <w:r w:rsidRPr="004A0253">
        <w:rPr>
          <w:rFonts w:ascii="Palatino Linotype" w:hAnsi="Palatino Linotype" w:cs="Segoe UI Historic"/>
        </w:rPr>
        <w:t>ı</w:t>
      </w:r>
      <w:r w:rsidRPr="004A0253">
        <w:rPr>
          <w:rFonts w:ascii="Palatino Linotype" w:hAnsi="Palatino Linotype"/>
        </w:rPr>
        <w:t xml:space="preserve"> Oldu</w:t>
      </w:r>
      <w:r w:rsidRPr="004A0253">
        <w:rPr>
          <w:rFonts w:ascii="Palatino Linotype" w:hAnsi="Palatino Linotype" w:cs="Calibri"/>
        </w:rPr>
        <w:t>ğ</w:t>
      </w:r>
      <w:r w:rsidRPr="004A0253">
        <w:rPr>
          <w:rFonts w:ascii="Palatino Linotype" w:hAnsi="Palatino Linotype"/>
        </w:rPr>
        <w:t xml:space="preserve">unun Belirtilmesine </w:t>
      </w:r>
      <w:r w:rsidRPr="004A0253">
        <w:rPr>
          <w:rFonts w:ascii="Palatino Linotype" w:hAnsi="Palatino Linotype" w:cs="Calibri"/>
        </w:rPr>
        <w:t>İ</w:t>
      </w:r>
      <w:r w:rsidRPr="004A0253">
        <w:rPr>
          <w:rFonts w:ascii="Palatino Linotype" w:hAnsi="Palatino Linotype"/>
        </w:rPr>
        <w:t>li</w:t>
      </w:r>
      <w:r w:rsidRPr="004A0253">
        <w:rPr>
          <w:rFonts w:ascii="Palatino Linotype" w:hAnsi="Palatino Linotype" w:cs="Calibri"/>
        </w:rPr>
        <w:t>ş</w:t>
      </w:r>
      <w:r w:rsidRPr="004A0253">
        <w:rPr>
          <w:rFonts w:ascii="Palatino Linotype" w:hAnsi="Palatino Linotype"/>
        </w:rPr>
        <w:t>kin Olarak</w:t>
      </w:r>
      <w:bookmarkEnd w:id="19"/>
      <w:r w:rsidRPr="004A0253">
        <w:rPr>
          <w:rFonts w:ascii="Palatino Linotype" w:hAnsi="Palatino Linotype"/>
        </w:rPr>
        <w:t> </w:t>
      </w:r>
    </w:p>
    <w:p w14:paraId="0D96B135"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Google Play ve App Store mağazalarından toplam 600 bin kişinin indirdiği Bylock’un kullanıcı sayısı nasıl ve hangi gerekçelerle 215 bin olarak açıklanmıştır? </w:t>
      </w:r>
    </w:p>
    <w:p w14:paraId="6918FD1E"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 xml:space="preserve">MİT’in 215 bin Bylock kullanıcısı olduğunu açıklamasından sonra Ankara C. Başsavcısı, 102 bin kişi hakkında Bylock kullandığı için soruşturma bulunduğunu belirtmiş olup, aradaki sayı farkının sebebi nedir? Bylock kullandığı iddia edilen kişiler hangi kritere göre şüpheli veya sanık yapılmaktadır? AİHM Yalçınkaya kararında, başvuranın </w:t>
      </w:r>
      <w:r w:rsidRPr="006B4754">
        <w:rPr>
          <w:rFonts w:cs="Segoe UI"/>
          <w:b/>
          <w:bCs/>
          <w:kern w:val="0"/>
        </w:rPr>
        <w:t>ileri sürdüğü bazı argümanların ulusal mahkemeler tarafından cevapsız bırakıldığını söylemiş ve buna örnek olarak da</w:t>
      </w:r>
      <w:r w:rsidRPr="006B4754">
        <w:rPr>
          <w:rFonts w:cs="Segoe UI"/>
          <w:kern w:val="0"/>
        </w:rPr>
        <w:t xml:space="preserve"> MİT tarafından yayınlanan farklı ByLock kullanıcı listeleri arasındaki tutarsızlığın yanı sıra tespit edilen ve nihayetinde kovuşturulan kullanıcı sayısı ile indirme sayısı arasındaki tutarsızlığı göstermiştir (§ 334).  </w:t>
      </w:r>
    </w:p>
    <w:p w14:paraId="7EB350F2"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5809 sayılı Elektronik Haberleşme Kanununa göre her bir şüphelinin internet trafik bilgisinin ayrı ayrı BTK aracılığıyla erişim sağlayıcılardan istenilmesi gerekirken, MİT 215 bin kişinin trafik bilgilerini toplu olarak hangi yasal gerekçeyle elde etmiştir? </w:t>
      </w:r>
    </w:p>
    <w:p w14:paraId="40354714"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Bylock kullandığı iddiasıyla 102 bin kişi hakkında soruşturma yürütülüyorsa, geriye kalan 113 bin kişinin özel hayat ve haberleşme hakkı kapsamındaki bilgileri hangi gerekçeyle elde tutulmaktadır? </w:t>
      </w:r>
    </w:p>
    <w:p w14:paraId="56F4AB26"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 xml:space="preserve">MİT, Bylock sunucusuna bağlanan IP adreslerinin kimlere ait olduğunu BTK aracılığıyla bir soruşturmaya istinaden mi, yoksa 2937 sayılı Kanun’un 6/1-b maddesindeki </w:t>
      </w:r>
      <w:r w:rsidRPr="006B4754">
        <w:rPr>
          <w:rFonts w:cs="Segoe UI"/>
          <w:i/>
          <w:iCs/>
          <w:kern w:val="0"/>
        </w:rPr>
        <w:t>“istihbari görev”</w:t>
      </w:r>
      <w:r w:rsidRPr="006B4754">
        <w:rPr>
          <w:rFonts w:cs="Segoe UI"/>
          <w:kern w:val="0"/>
        </w:rPr>
        <w:t xml:space="preserve"> kapsamında özel kuruluşlardan ve kamu kurumlarından belge ve bilgi </w:t>
      </w:r>
      <w:r w:rsidRPr="006B4754">
        <w:rPr>
          <w:rFonts w:cs="Segoe UI"/>
          <w:kern w:val="0"/>
        </w:rPr>
        <w:lastRenderedPageBreak/>
        <w:t>isteyebilme yetkisine istinaden mi erişim sağlayıcılara sormuş ve bunlardan gelen isimlere göre Bylock kullanıcı listesini oluşturmuştur? </w:t>
      </w:r>
    </w:p>
    <w:p w14:paraId="0356A554"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 xml:space="preserve">Bu listeler 2937 sayılı Kanun’un 6/1-b maddesindeki yetkiye istinaden hazırlandıysa, AYM kararında da belirtildiği üzere, bu yetkinin sadece </w:t>
      </w:r>
      <w:r w:rsidRPr="006B4754">
        <w:rPr>
          <w:rFonts w:cs="Segoe UI"/>
          <w:i/>
          <w:iCs/>
          <w:kern w:val="0"/>
        </w:rPr>
        <w:t>“istihbari faaliyet”</w:t>
      </w:r>
      <w:r w:rsidRPr="006B4754">
        <w:rPr>
          <w:rFonts w:cs="Segoe UI"/>
          <w:kern w:val="0"/>
        </w:rPr>
        <w:t xml:space="preserve"> kapsamında kullanılması için MİT’e verilmesi ve adli soruşturmayı gerektiren konularda kullanılmasının mümkün olmaması karşısında, MİT’in yetki aşımıyla elde ettiği bilgiler soruşturma ve kovuşturmalarda nasıl delil olarak kullanılmaktadır? </w:t>
      </w:r>
    </w:p>
    <w:p w14:paraId="2E1136CC"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 xml:space="preserve">İddianamelerde yer verilen, güncellendiği belirtilen ve il emniyet müdürlükleri bünyesinde oluşturulup içerisinde 215 bin kişinin internet trafik bilgisinin bulunduğu </w:t>
      </w:r>
      <w:r w:rsidRPr="006B4754">
        <w:rPr>
          <w:rFonts w:cs="Segoe UI"/>
          <w:i/>
          <w:iCs/>
          <w:kern w:val="0"/>
        </w:rPr>
        <w:t>“Bylock sorgu ekranının”</w:t>
      </w:r>
      <w:r w:rsidRPr="006B4754">
        <w:rPr>
          <w:rFonts w:cs="Segoe UI"/>
          <w:kern w:val="0"/>
        </w:rPr>
        <w:t xml:space="preserve"> yasal dayanağı nedir? </w:t>
      </w:r>
    </w:p>
    <w:p w14:paraId="656FFB30"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5809 sayılı Kanunda öngörülen usul takip edilmeden, diğer bir deyişle trafik bilgilerinin BTK aracılığıyla erişim sağlayıcılardan istenilmesi yerine oluşturulan sorgu ekranından temini ve bu şekilde elde edilen bilgilerin delil olarak kullanılması mümkün müdür? </w:t>
      </w:r>
    </w:p>
    <w:p w14:paraId="14043A6E"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CMK ve Suç Eşyası Yönetmeliği gereğince muhafaza altına alınması gereken delilin güncellenmesi ne anlama gelmektedir? Delilde güncelleme yapılmasına ilişkin bir usul kuralı CMK’da var mıdır? Güncelleme adı altında yapılan müdahale sonucu dijital malzemenin veri bütünlüğü bozulacağından bu şekilde elde edilen bilgilerin delil olarak kullanılması mümkün müdür? </w:t>
      </w:r>
    </w:p>
    <w:p w14:paraId="01424736"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5809 sayılı Kanuna dayanarak çıkarılan Yönetmelikler gereğince, erişim sağlayıcıların kişilere ait internet trafik bilgilerini bir yıl (11/6/2016’dan sonra iki yıl) saklama ve bu süre sonunda imha yükümlülükleri bulunmasına rağmen, bu süreyi aşan trafik bilgileri hangi gerekçeyle mahkemeler tarafından istenilebilmekte ve erişim sağlayıcılar bu bilgileri mahkemelere gönderebilmektedir. AYM ve Yargıtay Ceza Genel Kurulu kararları gereğince hukuka aykırı delil kabul edilen bu bilgilerin yargılamada kullanılabilmesi mümkün müdür? </w:t>
      </w:r>
    </w:p>
    <w:p w14:paraId="66B28D66"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NAT yöntemini kullanan erişim sağlayıcıların bir kullanıcıya verdiği IP adresini eş zamanlı olarak çok sayıda kullanıcıya da tahsisi mümkün olduğundan, Bylock sunucusuna bağlandığı iddia edilen tarih ve saatte sanığa tahsis edilen IP’nin başkalarına da verilip verilmediği, IP adresinin lokasyon bilgileri ve bu IP adresini kullanan cihazların tekil ağ cihaz numarası (MAC) gibi bilgiler erişim sağlayıcıdan istenilmeden kişilerin Bylock kullandığı nasıl tespit edilmiştir? </w:t>
      </w:r>
    </w:p>
    <w:p w14:paraId="6AE77764"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kern w:val="0"/>
        </w:rPr>
        <w:t>Erişim sağlayıcılarının iç ve dış port kayıtlarını tutmamaları durumunda eş zamanlı olarak aynı IP numarasını kullanan çok sayıdaki kişinin hangisinin hedef kullanıcı olduğunun tespiti mümkün değilken ve bu konuda herhangi bir araştırma yapılmadan kişiler Bylock kullanıcı listesine nasıl eklenmiştir? </w:t>
      </w:r>
    </w:p>
    <w:p w14:paraId="4CDC2DDD" w14:textId="77777777" w:rsidR="00757C5D" w:rsidRPr="006B4754" w:rsidRDefault="00757C5D" w:rsidP="00757C5D">
      <w:pPr>
        <w:pStyle w:val="ListeParagraf"/>
        <w:numPr>
          <w:ilvl w:val="0"/>
          <w:numId w:val="46"/>
        </w:numPr>
        <w:shd w:val="clear" w:color="auto" w:fill="auto"/>
        <w:tabs>
          <w:tab w:val="clear" w:pos="1134"/>
        </w:tabs>
        <w:spacing w:line="271" w:lineRule="auto"/>
        <w:ind w:left="0" w:firstLine="567"/>
        <w:textAlignment w:val="baseline"/>
        <w:rPr>
          <w:rFonts w:cs="Segoe UI"/>
          <w:b/>
          <w:bCs/>
          <w:kern w:val="0"/>
        </w:rPr>
      </w:pPr>
      <w:r w:rsidRPr="006B4754">
        <w:rPr>
          <w:rFonts w:cs="Segoe UI"/>
          <w:b/>
          <w:bCs/>
          <w:kern w:val="0"/>
        </w:rPr>
        <w:t>Ele geçirilen Bylock sunucusunun; </w:t>
      </w:r>
    </w:p>
    <w:p w14:paraId="35D85EE9" w14:textId="77777777" w:rsidR="00757C5D" w:rsidRPr="006B4754" w:rsidRDefault="00757C5D" w:rsidP="00757C5D">
      <w:pPr>
        <w:spacing w:line="271" w:lineRule="auto"/>
        <w:ind w:firstLine="555"/>
        <w:textAlignment w:val="baseline"/>
        <w:rPr>
          <w:rFonts w:cs="Segoe UI"/>
        </w:rPr>
      </w:pPr>
      <w:r w:rsidRPr="006B4754">
        <w:rPr>
          <w:rFonts w:cs="Segoe UI"/>
          <w:b/>
          <w:bCs/>
        </w:rPr>
        <w:t>a.</w:t>
      </w:r>
      <w:r w:rsidRPr="006B4754">
        <w:rPr>
          <w:rFonts w:cs="Segoe UI"/>
          <w:b/>
          <w:bCs/>
        </w:rPr>
        <w:tab/>
      </w:r>
      <w:r w:rsidRPr="006B4754">
        <w:rPr>
          <w:rFonts w:cs="Segoe UI"/>
        </w:rPr>
        <w:t>Sunucu işletim sistemi ve IP numarası nedir? </w:t>
      </w:r>
    </w:p>
    <w:p w14:paraId="48BDF280" w14:textId="77777777" w:rsidR="00757C5D" w:rsidRPr="006B4754" w:rsidRDefault="00757C5D" w:rsidP="00757C5D">
      <w:pPr>
        <w:spacing w:line="271" w:lineRule="auto"/>
        <w:ind w:firstLine="555"/>
        <w:textAlignment w:val="baseline"/>
        <w:rPr>
          <w:rFonts w:cs="Segoe UI"/>
        </w:rPr>
      </w:pPr>
      <w:r w:rsidRPr="006B4754">
        <w:rPr>
          <w:rFonts w:cs="Segoe UI"/>
          <w:b/>
          <w:bCs/>
        </w:rPr>
        <w:t>b.</w:t>
      </w:r>
      <w:r w:rsidRPr="006B4754">
        <w:rPr>
          <w:rFonts w:cs="Segoe UI"/>
          <w:b/>
          <w:bCs/>
        </w:rPr>
        <w:tab/>
      </w:r>
      <w:r w:rsidRPr="006B4754">
        <w:rPr>
          <w:rFonts w:cs="Segoe UI"/>
        </w:rPr>
        <w:t>Sistem tarihi ve saati doğru mudur? Sistem tarihi ve saati dünya üzerinde diğer zaman sunucularıyla senkronize midir? </w:t>
      </w:r>
    </w:p>
    <w:p w14:paraId="3A0CFAE2" w14:textId="77777777" w:rsidR="00757C5D" w:rsidRPr="006B4754" w:rsidRDefault="00757C5D" w:rsidP="00757C5D">
      <w:pPr>
        <w:spacing w:line="271" w:lineRule="auto"/>
        <w:ind w:firstLine="555"/>
        <w:textAlignment w:val="baseline"/>
        <w:rPr>
          <w:rFonts w:cs="Segoe UI"/>
        </w:rPr>
      </w:pPr>
      <w:r w:rsidRPr="006B4754">
        <w:rPr>
          <w:rFonts w:cs="Segoe UI"/>
          <w:b/>
          <w:bCs/>
        </w:rPr>
        <w:lastRenderedPageBreak/>
        <w:t>c.</w:t>
      </w:r>
      <w:r w:rsidRPr="006B4754">
        <w:rPr>
          <w:rFonts w:cs="Segoe UI"/>
          <w:b/>
          <w:bCs/>
        </w:rPr>
        <w:tab/>
      </w:r>
      <w:r w:rsidRPr="006B4754">
        <w:rPr>
          <w:rFonts w:cs="Segoe UI"/>
          <w:b/>
          <w:bCs/>
        </w:rPr>
        <w:tab/>
      </w:r>
      <w:r w:rsidRPr="006B4754">
        <w:rPr>
          <w:rFonts w:cs="Segoe UI"/>
        </w:rPr>
        <w:t>Sunucunun fiziksel olarak bulunduğu lokasyon adresi nedir? Sunucu sistem saatinin bölgesel zaman dilimi nedir? </w:t>
      </w:r>
    </w:p>
    <w:p w14:paraId="1F017689" w14:textId="77777777" w:rsidR="00757C5D" w:rsidRPr="006B4754" w:rsidRDefault="00757C5D" w:rsidP="00757C5D">
      <w:pPr>
        <w:spacing w:line="271" w:lineRule="auto"/>
        <w:ind w:firstLine="555"/>
        <w:textAlignment w:val="baseline"/>
        <w:rPr>
          <w:rFonts w:cs="Segoe UI"/>
        </w:rPr>
      </w:pPr>
      <w:r w:rsidRPr="006B4754">
        <w:rPr>
          <w:rFonts w:cs="Segoe UI"/>
          <w:b/>
          <w:bCs/>
        </w:rPr>
        <w:t>d.</w:t>
      </w:r>
      <w:r w:rsidRPr="006B4754">
        <w:rPr>
          <w:rFonts w:cs="Segoe UI"/>
          <w:b/>
          <w:bCs/>
        </w:rPr>
        <w:tab/>
      </w:r>
      <w:r w:rsidRPr="006B4754">
        <w:rPr>
          <w:rFonts w:cs="Segoe UI"/>
        </w:rPr>
        <w:t>Sunucunun, verilere dışarıdan müdahaleleri önleyecek güncel, güvenilir güvenlik mekanizmaları var mıdır, varsa nelerdir? </w:t>
      </w:r>
    </w:p>
    <w:p w14:paraId="162D35B9" w14:textId="77777777" w:rsidR="00757C5D" w:rsidRPr="006B4754" w:rsidRDefault="00757C5D" w:rsidP="00757C5D">
      <w:pPr>
        <w:spacing w:line="271" w:lineRule="auto"/>
        <w:ind w:firstLine="555"/>
        <w:textAlignment w:val="baseline"/>
        <w:rPr>
          <w:rFonts w:cs="Segoe UI"/>
        </w:rPr>
      </w:pPr>
      <w:r w:rsidRPr="006B4754">
        <w:rPr>
          <w:rFonts w:cs="Segoe UI"/>
          <w:b/>
          <w:bCs/>
        </w:rPr>
        <w:t>e.</w:t>
      </w:r>
      <w:r w:rsidRPr="006B4754">
        <w:rPr>
          <w:rFonts w:cs="Segoe UI"/>
          <w:b/>
          <w:bCs/>
        </w:rPr>
        <w:tab/>
      </w:r>
      <w:r w:rsidRPr="006B4754">
        <w:rPr>
          <w:rFonts w:cs="Segoe UI"/>
        </w:rPr>
        <w:t>Sunucu üzerinde internette hizmet veren başka servisler ve veri tabanları var mıdır? Varsa bu IP numaraları diğer servisler yerine neden Bylock programıyla ilişkilendirilmektedir? </w:t>
      </w:r>
    </w:p>
    <w:p w14:paraId="5F72A66A" w14:textId="77777777" w:rsidR="00757C5D" w:rsidRPr="006B4754" w:rsidRDefault="00757C5D" w:rsidP="00757C5D">
      <w:pPr>
        <w:spacing w:line="271" w:lineRule="auto"/>
        <w:ind w:firstLine="555"/>
        <w:textAlignment w:val="baseline"/>
        <w:rPr>
          <w:rFonts w:cs="Segoe UI"/>
        </w:rPr>
      </w:pPr>
      <w:r w:rsidRPr="006B4754">
        <w:rPr>
          <w:rFonts w:cs="Segoe UI"/>
          <w:b/>
          <w:bCs/>
        </w:rPr>
        <w:t>f.</w:t>
      </w:r>
      <w:r w:rsidRPr="006B4754">
        <w:rPr>
          <w:rFonts w:cs="Segoe UI"/>
          <w:b/>
          <w:bCs/>
        </w:rPr>
        <w:tab/>
      </w:r>
      <w:r w:rsidRPr="006B4754">
        <w:rPr>
          <w:rFonts w:cs="Segoe UI"/>
          <w:b/>
          <w:bCs/>
        </w:rPr>
        <w:tab/>
      </w:r>
      <w:r w:rsidRPr="006B4754">
        <w:rPr>
          <w:rFonts w:cs="Segoe UI"/>
          <w:i/>
          <w:iCs/>
        </w:rPr>
        <w:t xml:space="preserve">“morbeyin.com” </w:t>
      </w:r>
      <w:r w:rsidRPr="006B4754">
        <w:rPr>
          <w:rFonts w:cs="Segoe UI"/>
        </w:rPr>
        <w:t>yazılım grubu tarafından piyasaya ücretsiz olarak sürülen</w:t>
      </w:r>
      <w:r w:rsidRPr="006B4754">
        <w:rPr>
          <w:rFonts w:cs="Segoe UI"/>
          <w:i/>
          <w:iCs/>
        </w:rPr>
        <w:t xml:space="preserve">; “Best </w:t>
      </w:r>
      <w:proofErr w:type="spellStart"/>
      <w:r w:rsidRPr="006B4754">
        <w:rPr>
          <w:rFonts w:cs="Segoe UI"/>
          <w:i/>
          <w:iCs/>
        </w:rPr>
        <w:t>Free</w:t>
      </w:r>
      <w:proofErr w:type="spellEnd"/>
      <w:r w:rsidRPr="006B4754">
        <w:rPr>
          <w:rFonts w:cs="Segoe UI"/>
          <w:i/>
          <w:iCs/>
        </w:rPr>
        <w:t xml:space="preserve"> Music, </w:t>
      </w:r>
      <w:proofErr w:type="spellStart"/>
      <w:r w:rsidRPr="006B4754">
        <w:rPr>
          <w:rFonts w:cs="Segoe UI"/>
          <w:i/>
          <w:iCs/>
        </w:rPr>
        <w:t>Freezy</w:t>
      </w:r>
      <w:proofErr w:type="spellEnd"/>
      <w:r w:rsidRPr="006B4754">
        <w:rPr>
          <w:rFonts w:cs="Segoe UI"/>
          <w:i/>
          <w:iCs/>
        </w:rPr>
        <w:t xml:space="preserve"> Müzik Bul Dinle, </w:t>
      </w:r>
      <w:proofErr w:type="spellStart"/>
      <w:r w:rsidRPr="006B4754">
        <w:rPr>
          <w:rFonts w:cs="Segoe UI"/>
          <w:i/>
          <w:iCs/>
        </w:rPr>
        <w:t>Freezy</w:t>
      </w:r>
      <w:proofErr w:type="spellEnd"/>
      <w:r w:rsidRPr="006B4754">
        <w:rPr>
          <w:rFonts w:cs="Segoe UI"/>
          <w:i/>
          <w:iCs/>
        </w:rPr>
        <w:t xml:space="preserve">-Play </w:t>
      </w:r>
      <w:proofErr w:type="spellStart"/>
      <w:r w:rsidRPr="006B4754">
        <w:rPr>
          <w:rFonts w:cs="Segoe UI"/>
          <w:i/>
          <w:iCs/>
        </w:rPr>
        <w:t>Free</w:t>
      </w:r>
      <w:proofErr w:type="spellEnd"/>
      <w:r w:rsidRPr="006B4754">
        <w:rPr>
          <w:rFonts w:cs="Segoe UI"/>
          <w:i/>
          <w:iCs/>
        </w:rPr>
        <w:t xml:space="preserve"> Music Online, Mor </w:t>
      </w:r>
      <w:proofErr w:type="spellStart"/>
      <w:r w:rsidRPr="006B4754">
        <w:rPr>
          <w:rFonts w:cs="Segoe UI"/>
          <w:i/>
          <w:iCs/>
        </w:rPr>
        <w:t>German</w:t>
      </w:r>
      <w:proofErr w:type="spellEnd"/>
      <w:r w:rsidRPr="006B4754">
        <w:rPr>
          <w:rFonts w:cs="Segoe UI"/>
          <w:i/>
          <w:iCs/>
        </w:rPr>
        <w:t xml:space="preserve"> English Dictionary, En Ucuz Fiyat, Mor Almanca Türkçe Sözlük, Music </w:t>
      </w:r>
      <w:proofErr w:type="spellStart"/>
      <w:r w:rsidRPr="006B4754">
        <w:rPr>
          <w:rFonts w:cs="Segoe UI"/>
          <w:i/>
          <w:iCs/>
        </w:rPr>
        <w:t>Search</w:t>
      </w:r>
      <w:proofErr w:type="spellEnd"/>
      <w:r w:rsidRPr="006B4754">
        <w:rPr>
          <w:rFonts w:cs="Segoe UI"/>
          <w:i/>
          <w:iCs/>
        </w:rPr>
        <w:t xml:space="preserve"> Beta, Araba2.com” </w:t>
      </w:r>
      <w:r w:rsidRPr="006B4754">
        <w:rPr>
          <w:rFonts w:cs="Segoe UI"/>
        </w:rPr>
        <w:t>isimli uygulamaları kullanan kişilerin doğrudan Bylock’a</w:t>
      </w:r>
      <w:r w:rsidRPr="006B4754">
        <w:rPr>
          <w:rFonts w:cs="Segoe UI"/>
          <w:i/>
          <w:iCs/>
        </w:rPr>
        <w:t xml:space="preserve"> </w:t>
      </w:r>
      <w:r w:rsidRPr="006B4754">
        <w:rPr>
          <w:rFonts w:cs="Segoe UI"/>
        </w:rPr>
        <w:t>yönlendirildiğinin ortaya çıkması ve bilirkişilerce bu nitelikte başka programların da olabileceğinin belirtilmesi karşısında, sanığın da bu ve buna benzer programları kullanmak suretiyle Bylock sunucusuna bağlanıp bağlanmadığı araştırmış mıdır ve bu konuda bilirkişi raporu aldırılmış mıdır? </w:t>
      </w:r>
    </w:p>
    <w:p w14:paraId="4C6710CA" w14:textId="77777777" w:rsidR="00757C5D" w:rsidRPr="006B4754" w:rsidRDefault="00757C5D" w:rsidP="00757C5D">
      <w:pPr>
        <w:spacing w:line="271" w:lineRule="auto"/>
        <w:ind w:firstLine="555"/>
        <w:textAlignment w:val="baseline"/>
        <w:rPr>
          <w:rFonts w:cs="Segoe UI"/>
        </w:rPr>
      </w:pPr>
      <w:r w:rsidRPr="006B4754">
        <w:rPr>
          <w:rFonts w:cs="Segoe UI"/>
          <w:b/>
          <w:bCs/>
        </w:rPr>
        <w:t>77.</w:t>
      </w:r>
      <w:r w:rsidRPr="006B4754">
        <w:rPr>
          <w:rFonts w:cs="Segoe UI"/>
        </w:rPr>
        <w:t xml:space="preserve"> </w:t>
      </w:r>
      <w:r w:rsidRPr="006B4754">
        <w:rPr>
          <w:rFonts w:cs="Segoe UI"/>
        </w:rPr>
        <w:tab/>
        <w:t>Ele geçirilen Bylock verileri;  </w:t>
      </w:r>
    </w:p>
    <w:p w14:paraId="28FBFEE2" w14:textId="77777777" w:rsidR="00757C5D" w:rsidRPr="006B4754" w:rsidRDefault="00757C5D" w:rsidP="00757C5D">
      <w:pPr>
        <w:spacing w:line="271" w:lineRule="auto"/>
        <w:ind w:firstLine="555"/>
        <w:textAlignment w:val="baseline"/>
        <w:rPr>
          <w:rFonts w:cs="Segoe UI"/>
        </w:rPr>
      </w:pPr>
      <w:r w:rsidRPr="006B4754">
        <w:rPr>
          <w:rFonts w:cs="Segoe UI"/>
          <w:b/>
          <w:bCs/>
        </w:rPr>
        <w:t>a.</w:t>
      </w:r>
      <w:r w:rsidRPr="006B4754">
        <w:rPr>
          <w:rFonts w:cs="Segoe UI"/>
          <w:b/>
          <w:bCs/>
        </w:rPr>
        <w:tab/>
      </w:r>
      <w:r w:rsidRPr="006B4754">
        <w:rPr>
          <w:rFonts w:cs="Segoe UI"/>
        </w:rPr>
        <w:t>Hangi servis veya program tarafından üretilmiştir? </w:t>
      </w:r>
    </w:p>
    <w:p w14:paraId="666DF459" w14:textId="77777777" w:rsidR="00757C5D" w:rsidRPr="006B4754" w:rsidRDefault="00757C5D" w:rsidP="00757C5D">
      <w:pPr>
        <w:spacing w:line="271" w:lineRule="auto"/>
        <w:ind w:firstLine="555"/>
        <w:textAlignment w:val="baseline"/>
        <w:rPr>
          <w:rFonts w:cs="Segoe UI"/>
        </w:rPr>
      </w:pPr>
      <w:r w:rsidRPr="006B4754">
        <w:rPr>
          <w:rFonts w:cs="Segoe UI"/>
          <w:b/>
          <w:bCs/>
        </w:rPr>
        <w:t>b.</w:t>
      </w:r>
      <w:r w:rsidRPr="006B4754">
        <w:rPr>
          <w:rFonts w:cs="Segoe UI"/>
        </w:rPr>
        <w:t xml:space="preserve"> </w:t>
      </w:r>
      <w:r w:rsidRPr="006B4754">
        <w:rPr>
          <w:rFonts w:cs="Segoe UI"/>
        </w:rPr>
        <w:tab/>
        <w:t>Veriler içinde IP numarası, tarih, saat, lokasyon bilgisi gibi ne tür bilgiler bulunmaktadır? </w:t>
      </w:r>
    </w:p>
    <w:p w14:paraId="2343E8C7" w14:textId="77777777" w:rsidR="00757C5D" w:rsidRPr="006B4754" w:rsidRDefault="00757C5D" w:rsidP="00757C5D">
      <w:pPr>
        <w:spacing w:line="271" w:lineRule="auto"/>
        <w:ind w:firstLine="555"/>
        <w:textAlignment w:val="baseline"/>
        <w:rPr>
          <w:rFonts w:cs="Segoe UI"/>
        </w:rPr>
      </w:pPr>
      <w:r w:rsidRPr="006B4754">
        <w:rPr>
          <w:rFonts w:cs="Segoe UI"/>
          <w:b/>
          <w:bCs/>
        </w:rPr>
        <w:t>c</w:t>
      </w:r>
      <w:r w:rsidRPr="006B4754">
        <w:rPr>
          <w:rFonts w:cs="Segoe UI"/>
        </w:rPr>
        <w:t>.</w:t>
      </w:r>
      <w:r w:rsidRPr="006B4754">
        <w:rPr>
          <w:rFonts w:cs="Segoe UI"/>
        </w:rPr>
        <w:tab/>
      </w:r>
      <w:r w:rsidRPr="006B4754">
        <w:rPr>
          <w:rFonts w:cs="Segoe UI"/>
        </w:rPr>
        <w:tab/>
        <w:t>Bilgilere ilişkin ham veriler nelerdir? </w:t>
      </w:r>
    </w:p>
    <w:p w14:paraId="7F45EA17" w14:textId="77777777" w:rsidR="00757C5D" w:rsidRPr="006B4754" w:rsidRDefault="00757C5D" w:rsidP="00757C5D">
      <w:pPr>
        <w:spacing w:line="271" w:lineRule="auto"/>
        <w:ind w:firstLine="555"/>
        <w:textAlignment w:val="baseline"/>
        <w:rPr>
          <w:rFonts w:cs="Segoe UI"/>
        </w:rPr>
      </w:pPr>
      <w:r w:rsidRPr="006B4754">
        <w:rPr>
          <w:rFonts w:cs="Segoe UI"/>
          <w:b/>
          <w:bCs/>
        </w:rPr>
        <w:t>d.</w:t>
      </w:r>
      <w:r w:rsidRPr="006B4754">
        <w:rPr>
          <w:rFonts w:cs="Segoe UI"/>
          <w:b/>
          <w:bCs/>
        </w:rPr>
        <w:tab/>
      </w:r>
      <w:r w:rsidRPr="006B4754">
        <w:rPr>
          <w:rFonts w:cs="Segoe UI"/>
        </w:rPr>
        <w:t>Bu veriler ele geçirilmeden önce başkaları tarafından erişilerek müdahale edilip edilmediğine ilişkin bir bilgi var mıdır? </w:t>
      </w:r>
    </w:p>
    <w:p w14:paraId="38325F5B" w14:textId="77777777" w:rsidR="00757C5D" w:rsidRDefault="00757C5D" w:rsidP="00757C5D">
      <w:pPr>
        <w:spacing w:line="271" w:lineRule="auto"/>
        <w:ind w:firstLine="555"/>
        <w:textAlignment w:val="baseline"/>
        <w:rPr>
          <w:rFonts w:cs="Segoe UI"/>
        </w:rPr>
      </w:pPr>
      <w:r w:rsidRPr="006B4754">
        <w:rPr>
          <w:rFonts w:cs="Segoe UI"/>
          <w:b/>
          <w:bCs/>
        </w:rPr>
        <w:t>78.</w:t>
      </w:r>
      <w:r w:rsidRPr="006B4754">
        <w:rPr>
          <w:rFonts w:cs="Segoe UI"/>
        </w:rPr>
        <w:t xml:space="preserve"> </w:t>
      </w:r>
      <w:r w:rsidRPr="006B4754">
        <w:rPr>
          <w:rFonts w:cs="Segoe UI"/>
        </w:rPr>
        <w:tab/>
        <w:t>Apple ve Google Play mağazalarında mevcut olduğu dönemde Bylock indirip kullanmak suç mudur? Suç ise Google ve Apple firmalarına dava açılmış mıdır? Bu programın uygulama mağazalarından kaldırılması için adli makamlarca yasal işlem başlatılmış mıdır? Bylock’un Türkiye’de kullanımının yasaklanmasına ilişkin bir karar verilmiş midir? </w:t>
      </w:r>
    </w:p>
    <w:p w14:paraId="7F062658" w14:textId="2DB09A71" w:rsidR="00DE1BD2" w:rsidRPr="00DE1BD2" w:rsidRDefault="00BA43F1" w:rsidP="00BA43F1">
      <w:pPr>
        <w:pStyle w:val="Balk1"/>
        <w:numPr>
          <w:ilvl w:val="0"/>
          <w:numId w:val="0"/>
        </w:numPr>
        <w:ind w:left="567"/>
        <w:jc w:val="center"/>
        <w:rPr>
          <w:rFonts w:ascii="Palatino Linotype" w:hAnsi="Palatino Linotype"/>
        </w:rPr>
      </w:pPr>
      <w:bookmarkStart w:id="20" w:name="_Toc153309442"/>
      <w:r w:rsidRPr="00DE1BD2">
        <w:rPr>
          <w:rFonts w:ascii="Palatino Linotype" w:hAnsi="Palatino Linotype"/>
        </w:rPr>
        <w:t>SONUÇ</w:t>
      </w:r>
      <w:bookmarkEnd w:id="20"/>
    </w:p>
    <w:p w14:paraId="6A680DC5" w14:textId="0650CD9A" w:rsidR="00DE1BD2" w:rsidRDefault="00DE1BD2" w:rsidP="00757C5D">
      <w:pPr>
        <w:spacing w:line="271" w:lineRule="auto"/>
        <w:ind w:firstLine="555"/>
        <w:textAlignment w:val="baseline"/>
        <w:rPr>
          <w:rFonts w:cs="Segoe UI"/>
        </w:rPr>
      </w:pPr>
      <w:r>
        <w:rPr>
          <w:rFonts w:cs="Segoe UI"/>
        </w:rPr>
        <w:t xml:space="preserve">AİHM’in Yalçınkaya kararında yer verdiği hususlar dikkate alınarak hazırlanan bu çalışmada yer erilen hususlar karşılanmadan ve </w:t>
      </w:r>
      <w:r w:rsidR="008E0037">
        <w:rPr>
          <w:rFonts w:cs="Segoe UI"/>
        </w:rPr>
        <w:t xml:space="preserve">dolayısıyla </w:t>
      </w:r>
      <w:r>
        <w:rPr>
          <w:rFonts w:cs="Segoe UI"/>
        </w:rPr>
        <w:t xml:space="preserve">Bylock’la ilgili tüm şüphe sebepleri giderilmeden delil olarak kullanılabilmesi mümkün değildir. Bylock verilerinin dijital materyal olmaları ve harici müdahaleye </w:t>
      </w:r>
      <w:r w:rsidR="008E0037">
        <w:rPr>
          <w:rFonts w:cs="Segoe UI"/>
        </w:rPr>
        <w:t xml:space="preserve">çok daha fazla </w:t>
      </w:r>
      <w:r>
        <w:rPr>
          <w:rFonts w:cs="Segoe UI"/>
        </w:rPr>
        <w:t xml:space="preserve">açık olmaları nedeniyle var olan şüphe sebeplerinin giderilmesi daha da önem taşımaktadır. </w:t>
      </w:r>
    </w:p>
    <w:p w14:paraId="1D7BD3CF" w14:textId="77777777" w:rsidR="008E0037" w:rsidRDefault="00DE1BD2" w:rsidP="00757C5D">
      <w:pPr>
        <w:spacing w:line="271" w:lineRule="auto"/>
        <w:ind w:firstLine="555"/>
        <w:textAlignment w:val="baseline"/>
        <w:rPr>
          <w:rFonts w:cs="Segoe UI"/>
        </w:rPr>
      </w:pPr>
      <w:r>
        <w:rPr>
          <w:rFonts w:cs="Segoe UI"/>
        </w:rPr>
        <w:t xml:space="preserve">Ancak gelinen nokta itibariyle şüphe sebeplerinin giderilmesi ve hukuka uygun bir delil olarak Bylock verilerinin </w:t>
      </w:r>
      <w:r w:rsidR="008E0037">
        <w:rPr>
          <w:rFonts w:cs="Segoe UI"/>
        </w:rPr>
        <w:t xml:space="preserve">yargılamalarda </w:t>
      </w:r>
      <w:r>
        <w:rPr>
          <w:rFonts w:cs="Segoe UI"/>
        </w:rPr>
        <w:t>kullanılabilmesi mümkün değildir. Zira en başta elde edilme yöntemi CMK’ya aykırı olan Bylock’la ilgili hiçbir süre</w:t>
      </w:r>
      <w:r w:rsidR="008E0037">
        <w:rPr>
          <w:rFonts w:cs="Segoe UI"/>
        </w:rPr>
        <w:t>ç</w:t>
      </w:r>
      <w:r>
        <w:rPr>
          <w:rFonts w:cs="Segoe UI"/>
        </w:rPr>
        <w:t xml:space="preserve"> usulüne uygun y</w:t>
      </w:r>
      <w:r w:rsidR="008E0037">
        <w:rPr>
          <w:rFonts w:cs="Segoe UI"/>
        </w:rPr>
        <w:t>ürütülmemiştir</w:t>
      </w:r>
      <w:r>
        <w:rPr>
          <w:rFonts w:cs="Segoe UI"/>
        </w:rPr>
        <w:t xml:space="preserve">. Örneğin, Bylock sunucusu Litvanya’da bulunmasına rağmen 6706 sayılı </w:t>
      </w:r>
      <w:r>
        <w:rPr>
          <w:rFonts w:cs="Segoe UI"/>
        </w:rPr>
        <w:lastRenderedPageBreak/>
        <w:t xml:space="preserve">Kanun’a dayanarak bu ülke yargı makamlarıyla işbirliği yapılarak değil, MİT’in kaynağını bile açıklayamadığı hackerlik yöntemiyle ele geçirilmiştir. </w:t>
      </w:r>
    </w:p>
    <w:p w14:paraId="55F7FBCA" w14:textId="7518E56B" w:rsidR="00DE1BD2" w:rsidRDefault="00DE1BD2" w:rsidP="00757C5D">
      <w:pPr>
        <w:spacing w:line="271" w:lineRule="auto"/>
        <w:ind w:firstLine="555"/>
        <w:textAlignment w:val="baseline"/>
        <w:rPr>
          <w:rFonts w:cs="Segoe UI"/>
        </w:rPr>
      </w:pPr>
      <w:r>
        <w:rPr>
          <w:rFonts w:cs="Segoe UI"/>
        </w:rPr>
        <w:t>Yine, Bylock verileri 5809 sayılı elektronik Haberleşme Kanunu’na dayanılarak çıkarılan yönetmeliklerde belirlenen 1 yıllık saklama süresinde silinmeyerek hukuka aykırı hale gelmiş</w:t>
      </w:r>
      <w:r w:rsidR="0028787F">
        <w:rPr>
          <w:rFonts w:cs="Segoe UI"/>
        </w:rPr>
        <w:t>tir</w:t>
      </w:r>
      <w:r>
        <w:rPr>
          <w:rFonts w:cs="Segoe UI"/>
        </w:rPr>
        <w:t xml:space="preserve">. Aynı şekilde, sadece casusluk suçları kapsamında MİT’in elindeki bilgi ve belgelerin istenebileceğini ve MİT’in elde ettiği bilgilerin </w:t>
      </w:r>
      <w:r w:rsidR="0028787F">
        <w:rPr>
          <w:rFonts w:cs="Segoe UI"/>
        </w:rPr>
        <w:t>ancak</w:t>
      </w:r>
      <w:r>
        <w:rPr>
          <w:rFonts w:cs="Segoe UI"/>
        </w:rPr>
        <w:t xml:space="preserve"> istihbari amaçla</w:t>
      </w:r>
      <w:r w:rsidR="0028787F">
        <w:rPr>
          <w:rFonts w:cs="Segoe UI"/>
        </w:rPr>
        <w:t>rla</w:t>
      </w:r>
      <w:r>
        <w:rPr>
          <w:rFonts w:cs="Segoe UI"/>
        </w:rPr>
        <w:t xml:space="preserve"> kullanılabileceğini düzenleyen 2937 sayılı MİT Kanununa da aykırı ele geçirilmiştir.</w:t>
      </w:r>
    </w:p>
    <w:p w14:paraId="7F80E837" w14:textId="16761348" w:rsidR="00757C5D" w:rsidRPr="006B4754" w:rsidRDefault="0028787F" w:rsidP="00757C5D">
      <w:pPr>
        <w:spacing w:line="271" w:lineRule="auto"/>
        <w:ind w:firstLine="555"/>
        <w:textAlignment w:val="baseline"/>
      </w:pPr>
      <w:r>
        <w:rPr>
          <w:rFonts w:cs="Segoe UI"/>
        </w:rPr>
        <w:t>Bu nedenlerle, so</w:t>
      </w:r>
      <w:r w:rsidR="00757C5D" w:rsidRPr="006B4754">
        <w:rPr>
          <w:rFonts w:cs="Segoe UI"/>
        </w:rPr>
        <w:t>ruşturma ve kovuşturma makamları ile denetim organlarının verecekleri kararlarda yukarıda belirtilen hususları göz önünde bulundurmaları ve buna göre şüpheli ve sanı</w:t>
      </w:r>
      <w:r>
        <w:rPr>
          <w:rFonts w:cs="Segoe UI"/>
        </w:rPr>
        <w:t>kların</w:t>
      </w:r>
      <w:r w:rsidR="00757C5D" w:rsidRPr="006B4754">
        <w:rPr>
          <w:rFonts w:cs="Segoe UI"/>
        </w:rPr>
        <w:t xml:space="preserve"> durumunu tayin etmeleri gerekir. Aksi halde verilecek kararlar </w:t>
      </w:r>
      <w:r>
        <w:rPr>
          <w:rFonts w:cs="Segoe UI"/>
        </w:rPr>
        <w:t xml:space="preserve">yine </w:t>
      </w:r>
      <w:r w:rsidR="00757C5D" w:rsidRPr="006B4754">
        <w:rPr>
          <w:rFonts w:cs="Segoe UI"/>
        </w:rPr>
        <w:t>adil yargılanma hakkının ihlaline neden olacaktır.</w:t>
      </w:r>
    </w:p>
    <w:p w14:paraId="6945601A" w14:textId="77777777" w:rsidR="00E52E47" w:rsidRPr="006B4754" w:rsidRDefault="00E52E47" w:rsidP="00757C5D">
      <w:pPr>
        <w:spacing w:after="0" w:line="360" w:lineRule="auto"/>
        <w:jc w:val="center"/>
      </w:pPr>
    </w:p>
    <w:sectPr w:rsidR="00E52E47" w:rsidRPr="006B4754" w:rsidSect="00082BBE">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E8EFE" w14:textId="77777777" w:rsidR="00303E04" w:rsidRDefault="00303E04" w:rsidP="00C05A4F">
      <w:r>
        <w:separator/>
      </w:r>
    </w:p>
    <w:p w14:paraId="54C06CC8" w14:textId="77777777" w:rsidR="00303E04" w:rsidRDefault="00303E04"/>
  </w:endnote>
  <w:endnote w:type="continuationSeparator" w:id="0">
    <w:p w14:paraId="033AD4DB" w14:textId="77777777" w:rsidR="00303E04" w:rsidRDefault="00303E04" w:rsidP="00C05A4F">
      <w:r>
        <w:continuationSeparator/>
      </w:r>
    </w:p>
    <w:p w14:paraId="03048FEF" w14:textId="77777777" w:rsidR="00303E04" w:rsidRDefault="00303E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w:panose1 w:val="00000000000000000000"/>
    <w:charset w:val="00"/>
    <w:family w:val="auto"/>
    <w:pitch w:val="variable"/>
    <w:sig w:usb0="A00002FF" w:usb1="7800205A" w:usb2="14600000" w:usb3="00000000" w:csb0="00000193"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Noto Serif">
    <w:panose1 w:val="02020600060500020200"/>
    <w:charset w:val="00"/>
    <w:family w:val="swiss"/>
    <w:pitch w:val="variable"/>
    <w:sig w:usb0="E00002FF"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919832489"/>
      <w:docPartObj>
        <w:docPartGallery w:val="Page Numbers (Bottom of Page)"/>
        <w:docPartUnique/>
      </w:docPartObj>
    </w:sdtPr>
    <w:sdtContent>
      <w:p w14:paraId="74B03002" w14:textId="3AAF10C6" w:rsidR="00BD10C1" w:rsidRDefault="00BD10C1" w:rsidP="0090130B">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37DB5748" w14:textId="77777777" w:rsidR="00BD10C1" w:rsidRDefault="00BD10C1" w:rsidP="00BD10C1">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82180" w14:textId="46E22711" w:rsidR="002C2A40" w:rsidRPr="00ED70B3" w:rsidRDefault="002C2A40" w:rsidP="00BD10C1">
    <w:pPr>
      <w:pStyle w:val="AltBilgi"/>
      <w:ind w:right="360"/>
      <w:jc w:val="center"/>
      <w:rPr>
        <w:sz w:val="20"/>
        <w:szCs w:val="20"/>
      </w:rPr>
    </w:pPr>
  </w:p>
  <w:p w14:paraId="1405580C" w14:textId="77777777" w:rsidR="002C2A40" w:rsidRPr="002C2A40" w:rsidRDefault="002C2A40" w:rsidP="00C05A4F">
    <w:pPr>
      <w:pStyle w:val="AltBilgi"/>
    </w:pPr>
  </w:p>
  <w:p w14:paraId="236246E8" w14:textId="77777777" w:rsidR="006A04BF" w:rsidRDefault="006A04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D2A1A" w14:textId="77777777" w:rsidR="00303E04" w:rsidRDefault="00303E04" w:rsidP="00C05A4F">
      <w:r>
        <w:separator/>
      </w:r>
    </w:p>
    <w:p w14:paraId="0CC512E5" w14:textId="77777777" w:rsidR="00303E04" w:rsidRDefault="00303E04"/>
  </w:footnote>
  <w:footnote w:type="continuationSeparator" w:id="0">
    <w:p w14:paraId="6B95683C" w14:textId="77777777" w:rsidR="00303E04" w:rsidRDefault="00303E04" w:rsidP="00C05A4F">
      <w:r>
        <w:continuationSeparator/>
      </w:r>
    </w:p>
    <w:p w14:paraId="5DCCBD9B" w14:textId="77777777" w:rsidR="00303E04" w:rsidRDefault="00303E04"/>
  </w:footnote>
  <w:footnote w:id="1">
    <w:p w14:paraId="0F599519" w14:textId="77777777" w:rsidR="00757C5D" w:rsidRPr="00872770" w:rsidRDefault="00757C5D" w:rsidP="00757C5D">
      <w:pPr>
        <w:pStyle w:val="DipnotMetni"/>
        <w:ind w:left="567" w:hanging="567"/>
        <w:rPr>
          <w:sz w:val="18"/>
          <w:szCs w:val="18"/>
        </w:rPr>
      </w:pPr>
      <w:r w:rsidRPr="00872770">
        <w:rPr>
          <w:rStyle w:val="DipnotBavurusu"/>
          <w:sz w:val="18"/>
          <w:szCs w:val="18"/>
          <w:vertAlign w:val="baseline"/>
        </w:rPr>
        <w:footnoteRef/>
      </w:r>
      <w:r w:rsidRPr="00872770">
        <w:rPr>
          <w:sz w:val="18"/>
          <w:szCs w:val="18"/>
        </w:rPr>
        <w:t xml:space="preserve">  </w:t>
      </w:r>
      <w:r w:rsidRPr="00872770">
        <w:rPr>
          <w:sz w:val="18"/>
          <w:szCs w:val="18"/>
        </w:rPr>
        <w:tab/>
      </w:r>
      <w:proofErr w:type="spellStart"/>
      <w:r w:rsidRPr="00872770">
        <w:rPr>
          <w:sz w:val="18"/>
          <w:szCs w:val="18"/>
        </w:rPr>
        <w:t>AİHM’in</w:t>
      </w:r>
      <w:proofErr w:type="spellEnd"/>
      <w:r w:rsidRPr="00872770">
        <w:rPr>
          <w:sz w:val="18"/>
          <w:szCs w:val="18"/>
        </w:rPr>
        <w:t xml:space="preserve"> Yüksel Yalçınkaya/Türkiye kararı, 15669/20, 26/9/2023, https://hudoc.echr.coe.int/eng?i=001-228393</w:t>
      </w:r>
    </w:p>
  </w:footnote>
  <w:footnote w:id="2">
    <w:p w14:paraId="7AB99128" w14:textId="77777777" w:rsidR="00757C5D" w:rsidRPr="00872770" w:rsidRDefault="00757C5D" w:rsidP="00757C5D">
      <w:pPr>
        <w:pStyle w:val="DipnotMetni"/>
        <w:ind w:left="567" w:hanging="567"/>
        <w:rPr>
          <w:sz w:val="18"/>
          <w:szCs w:val="18"/>
        </w:rPr>
      </w:pPr>
      <w:r w:rsidRPr="00872770">
        <w:rPr>
          <w:rStyle w:val="DipnotBavurusu"/>
          <w:sz w:val="18"/>
          <w:szCs w:val="18"/>
          <w:vertAlign w:val="baseline"/>
        </w:rPr>
        <w:footnoteRef/>
      </w:r>
      <w:r w:rsidRPr="00872770">
        <w:rPr>
          <w:sz w:val="18"/>
          <w:szCs w:val="18"/>
        </w:rPr>
        <w:t xml:space="preserve"> </w:t>
      </w:r>
      <w:r w:rsidRPr="00872770">
        <w:rPr>
          <w:sz w:val="18"/>
          <w:szCs w:val="18"/>
        </w:rPr>
        <w:tab/>
        <w:t>https://www.dijitalmagdurlar.com/wp-content/uploads/2018/07/Bylock_Uygulama_Teknik_Raporu.pdf</w:t>
      </w:r>
    </w:p>
  </w:footnote>
  <w:footnote w:id="3">
    <w:p w14:paraId="3C02AAC3" w14:textId="77777777" w:rsidR="00757C5D" w:rsidRPr="00872770" w:rsidRDefault="00757C5D" w:rsidP="00757C5D">
      <w:pPr>
        <w:pStyle w:val="DipnotMetni"/>
        <w:ind w:left="567" w:hanging="567"/>
        <w:rPr>
          <w:sz w:val="18"/>
          <w:szCs w:val="18"/>
        </w:rPr>
      </w:pPr>
      <w:r w:rsidRPr="00872770">
        <w:rPr>
          <w:rStyle w:val="DipnotBavurusu"/>
          <w:sz w:val="18"/>
          <w:szCs w:val="18"/>
          <w:vertAlign w:val="baseline"/>
        </w:rPr>
        <w:footnoteRef/>
      </w:r>
      <w:r w:rsidRPr="00872770">
        <w:rPr>
          <w:sz w:val="18"/>
          <w:szCs w:val="18"/>
        </w:rPr>
        <w:t xml:space="preserve"> </w:t>
      </w:r>
      <w:r w:rsidRPr="00872770">
        <w:rPr>
          <w:sz w:val="18"/>
          <w:szCs w:val="18"/>
        </w:rPr>
        <w:tab/>
      </w:r>
      <w:r w:rsidRPr="00872770">
        <w:rPr>
          <w:i/>
          <w:iCs/>
          <w:spacing w:val="-2"/>
          <w:sz w:val="18"/>
          <w:szCs w:val="18"/>
        </w:rPr>
        <w:t xml:space="preserve">“FETÖ’nün yıllardır gizli iletişim için kullandığı şifreli cep telefonu programı olan Bylock’un Server’ının (servis sağlayıcı) Litvanya’nın başkenti Vilnius’ta bulunduğu aylar öncesinde ortaya çıkmıştı. Daha önce bir siber operasyonla gizli ağa ulaşan Türk İstihbaratı şifreyi kırarak kayıtlı yaklaşık 215 bin Bylock kullanıcısından 53 binini ele geçirmeyi başardı. Kayıtların tamamına ulaşılması için geçtiğimiz aylarda özel bir çalışma başlatıldı. Bunun üzerine bilişim ve istihbarat uzmanlarından oluşan bir ekip oluşturuldu. Ekip 5’er kişiden oluşan sızma-alma-kaçırma ve müdahale takımlarından oluşturuldu. Özel bir jetle Litvanya’ya uçan ekip önce Vilnius’ta Bylock kayıtlarının bulunduğu ana “server”e sahip şirketin binasını gözleme aldı. Bir hafta boyunca gerekli çalışmaların yapılmasının ardından yaklaşık iki ay önce bir gece binaya sızma operasyonu gerçekleştirildi. Sessizce server’ın bulunduğu özel korunaklı binaya giren ekip yanlarındaki son teknoloji ekipmanlar sayesinde sekiz kademeli şifreyi kırdı. Server içindeki Bylock kayıtlarına ait tüm bilgileri kısa sürede kopyalayarak olay yerinden uzaklaştı. Operasyon gecesi uçakla Türkiye’ye dönen ekibin 215 bin kullanıcısı bulunan Bylock’taki tüm kayıtları eksiksiz getirdiği anlaşıldı. Bylock ana Server’ının ele geçirilmesiyle kırmızı, mavi ve turuncu Bylock kullanan tüm FETÖ üyeleri belirlemeye başlandı. Tam listede 215 bin 92 kullanıcı, 31 bin 886 grup, 17 milyon 169 bin 632 mesaj, 3 milyon 158 bin 388 e-posta olduğu tespit edildi. Bilişim uzmanları bu isimlerin mesajlarından yaklaşık yüzde 90’ını çözmeyi başardı.” </w:t>
      </w:r>
      <w:r w:rsidRPr="00872770">
        <w:rPr>
          <w:rStyle w:val="DipnotBavurusu"/>
          <w:i/>
          <w:iCs/>
          <w:sz w:val="18"/>
          <w:szCs w:val="18"/>
          <w:vertAlign w:val="baseline"/>
        </w:rPr>
        <w:t>Bylock’un Ana Serverı Ele Geçirildi”,</w:t>
      </w:r>
      <w:r w:rsidRPr="00872770">
        <w:rPr>
          <w:rStyle w:val="DipnotBavurusu"/>
          <w:sz w:val="18"/>
          <w:szCs w:val="18"/>
          <w:vertAlign w:val="baseline"/>
        </w:rPr>
        <w:t xml:space="preserve"> http://www.sabah.com.tr/gundem/2017/01/30/son-dakika-haberi-bylocun-ana-serveri-ele-geçirildi</w:t>
      </w:r>
    </w:p>
  </w:footnote>
  <w:footnote w:id="4">
    <w:p w14:paraId="4D5DBECD" w14:textId="77777777" w:rsidR="00757C5D" w:rsidRPr="00872770" w:rsidRDefault="00757C5D" w:rsidP="00757C5D">
      <w:pPr>
        <w:pStyle w:val="DipnotMetni"/>
        <w:ind w:left="567" w:hanging="567"/>
        <w:rPr>
          <w:sz w:val="18"/>
          <w:szCs w:val="18"/>
        </w:rPr>
      </w:pPr>
      <w:r w:rsidRPr="00872770">
        <w:rPr>
          <w:rStyle w:val="DipnotBavurusu"/>
          <w:sz w:val="18"/>
          <w:szCs w:val="18"/>
          <w:vertAlign w:val="baseline"/>
        </w:rPr>
        <w:footnoteRef/>
      </w:r>
      <w:r w:rsidRPr="00872770">
        <w:rPr>
          <w:sz w:val="18"/>
          <w:szCs w:val="18"/>
        </w:rPr>
        <w:t xml:space="preserve">  </w:t>
      </w:r>
      <w:r w:rsidRPr="00872770">
        <w:rPr>
          <w:sz w:val="18"/>
          <w:szCs w:val="18"/>
        </w:rPr>
        <w:tab/>
        <w:t>https://www.mit.gov.tr/basin60.html</w:t>
      </w:r>
    </w:p>
  </w:footnote>
  <w:footnote w:id="5">
    <w:p w14:paraId="206D8EA6" w14:textId="77777777" w:rsidR="00757C5D" w:rsidRPr="00872770" w:rsidRDefault="00757C5D" w:rsidP="00757C5D">
      <w:pPr>
        <w:pStyle w:val="DipnotMetni"/>
        <w:ind w:left="567" w:hanging="567"/>
        <w:rPr>
          <w:sz w:val="18"/>
          <w:szCs w:val="18"/>
        </w:rPr>
      </w:pPr>
      <w:r w:rsidRPr="00872770">
        <w:rPr>
          <w:rStyle w:val="DipnotBavurusu"/>
          <w:sz w:val="18"/>
          <w:szCs w:val="18"/>
          <w:vertAlign w:val="baseline"/>
        </w:rPr>
        <w:footnoteRef/>
      </w:r>
      <w:r w:rsidRPr="00872770">
        <w:rPr>
          <w:sz w:val="18"/>
          <w:szCs w:val="18"/>
        </w:rPr>
        <w:t xml:space="preserve"> </w:t>
      </w:r>
      <w:r w:rsidRPr="00872770">
        <w:rPr>
          <w:sz w:val="18"/>
          <w:szCs w:val="18"/>
        </w:rPr>
        <w:tab/>
      </w:r>
      <w:r w:rsidRPr="00872770">
        <w:rPr>
          <w:rFonts w:cs="Noto Serif"/>
          <w:i/>
          <w:iCs/>
          <w:sz w:val="18"/>
          <w:szCs w:val="18"/>
        </w:rPr>
        <w:t>“M</w:t>
      </w:r>
      <w:r w:rsidRPr="00872770">
        <w:rPr>
          <w:rFonts w:cs="Cambria"/>
          <w:i/>
          <w:iCs/>
          <w:sz w:val="18"/>
          <w:szCs w:val="18"/>
        </w:rPr>
        <w:t>İ</w:t>
      </w:r>
      <w:r w:rsidRPr="00872770">
        <w:rPr>
          <w:rFonts w:cs="Noto Serif"/>
          <w:i/>
          <w:iCs/>
          <w:sz w:val="18"/>
          <w:szCs w:val="18"/>
        </w:rPr>
        <w:t>T'in yasal yetkisi çerçevesinde temin etti</w:t>
      </w:r>
      <w:r w:rsidRPr="00872770">
        <w:rPr>
          <w:rFonts w:cs="Cambria"/>
          <w:i/>
          <w:iCs/>
          <w:sz w:val="18"/>
          <w:szCs w:val="18"/>
        </w:rPr>
        <w:t>ğ</w:t>
      </w:r>
      <w:r w:rsidRPr="00872770">
        <w:rPr>
          <w:rFonts w:cs="Noto Serif"/>
          <w:i/>
          <w:iCs/>
          <w:sz w:val="18"/>
          <w:szCs w:val="18"/>
        </w:rPr>
        <w:t>i ByLock veri taban</w:t>
      </w:r>
      <w:r w:rsidRPr="00872770">
        <w:rPr>
          <w:rFonts w:cs="Cambria"/>
          <w:i/>
          <w:iCs/>
          <w:sz w:val="18"/>
          <w:szCs w:val="18"/>
        </w:rPr>
        <w:t>ı</w:t>
      </w:r>
      <w:r w:rsidRPr="00872770">
        <w:rPr>
          <w:rFonts w:cs="Noto Serif"/>
          <w:i/>
          <w:iCs/>
          <w:sz w:val="18"/>
          <w:szCs w:val="18"/>
        </w:rPr>
        <w:t xml:space="preserve"> üzerinde CMK'nun 134. maddesi gere</w:t>
      </w:r>
      <w:r w:rsidRPr="00872770">
        <w:rPr>
          <w:rFonts w:cs="Cambria"/>
          <w:i/>
          <w:iCs/>
          <w:sz w:val="18"/>
          <w:szCs w:val="18"/>
        </w:rPr>
        <w:t>ğ</w:t>
      </w:r>
      <w:r w:rsidRPr="00872770">
        <w:rPr>
          <w:rFonts w:cs="Noto Serif"/>
          <w:i/>
          <w:iCs/>
          <w:sz w:val="18"/>
          <w:szCs w:val="18"/>
        </w:rPr>
        <w:t xml:space="preserve">ince </w:t>
      </w:r>
      <w:r w:rsidRPr="00872770">
        <w:rPr>
          <w:rFonts w:cs="Noto Serif"/>
          <w:b/>
          <w:bCs/>
          <w:i/>
          <w:iCs/>
          <w:sz w:val="18"/>
          <w:szCs w:val="18"/>
          <w:u w:val="single"/>
        </w:rPr>
        <w:t>geçmi</w:t>
      </w:r>
      <w:r w:rsidRPr="00872770">
        <w:rPr>
          <w:rFonts w:cs="Cambria"/>
          <w:b/>
          <w:bCs/>
          <w:i/>
          <w:iCs/>
          <w:sz w:val="18"/>
          <w:szCs w:val="18"/>
          <w:u w:val="single"/>
        </w:rPr>
        <w:t>ş</w:t>
      </w:r>
      <w:r w:rsidRPr="00872770">
        <w:rPr>
          <w:rFonts w:cs="Noto Serif"/>
          <w:b/>
          <w:bCs/>
          <w:i/>
          <w:iCs/>
          <w:sz w:val="18"/>
          <w:szCs w:val="18"/>
          <w:u w:val="single"/>
        </w:rPr>
        <w:t xml:space="preserve">e dönük olarak uygulanan arama tedbirinin; </w:t>
      </w:r>
      <w:r w:rsidRPr="00872770">
        <w:rPr>
          <w:rFonts w:cs="Noto Serif"/>
          <w:i/>
          <w:iCs/>
          <w:sz w:val="18"/>
          <w:szCs w:val="18"/>
        </w:rPr>
        <w:t>“demokratik bir ülkede gereklilik” ve “orant</w:t>
      </w:r>
      <w:r w:rsidRPr="00872770">
        <w:rPr>
          <w:rFonts w:cs="Cambria"/>
          <w:i/>
          <w:iCs/>
          <w:sz w:val="18"/>
          <w:szCs w:val="18"/>
        </w:rPr>
        <w:t>ı</w:t>
      </w:r>
      <w:r w:rsidRPr="00872770">
        <w:rPr>
          <w:rFonts w:cs="Noto Serif"/>
          <w:i/>
          <w:iCs/>
          <w:sz w:val="18"/>
          <w:szCs w:val="18"/>
        </w:rPr>
        <w:t>l</w:t>
      </w:r>
      <w:r w:rsidRPr="00872770">
        <w:rPr>
          <w:rFonts w:cs="Cambria"/>
          <w:i/>
          <w:iCs/>
          <w:sz w:val="18"/>
          <w:szCs w:val="18"/>
        </w:rPr>
        <w:t>ı</w:t>
      </w:r>
      <w:r w:rsidRPr="00872770">
        <w:rPr>
          <w:rFonts w:cs="Noto Serif"/>
          <w:i/>
          <w:iCs/>
          <w:sz w:val="18"/>
          <w:szCs w:val="18"/>
        </w:rPr>
        <w:t>l</w:t>
      </w:r>
      <w:r w:rsidRPr="00872770">
        <w:rPr>
          <w:rFonts w:cs="Cambria"/>
          <w:i/>
          <w:iCs/>
          <w:sz w:val="18"/>
          <w:szCs w:val="18"/>
        </w:rPr>
        <w:t>ı</w:t>
      </w:r>
      <w:r w:rsidRPr="00872770">
        <w:rPr>
          <w:rFonts w:cs="Noto Serif"/>
          <w:i/>
          <w:iCs/>
          <w:sz w:val="18"/>
          <w:szCs w:val="18"/>
        </w:rPr>
        <w:t>k” ilkelerine uygun oldu</w:t>
      </w:r>
      <w:r w:rsidRPr="00872770">
        <w:rPr>
          <w:rFonts w:cs="Cambria"/>
          <w:i/>
          <w:iCs/>
          <w:sz w:val="18"/>
          <w:szCs w:val="18"/>
        </w:rPr>
        <w:t>ğ</w:t>
      </w:r>
      <w:r w:rsidRPr="00872770">
        <w:rPr>
          <w:rFonts w:cs="Noto Serif"/>
          <w:i/>
          <w:iCs/>
          <w:sz w:val="18"/>
          <w:szCs w:val="18"/>
        </w:rPr>
        <w:t>u ku</w:t>
      </w:r>
      <w:r w:rsidRPr="00872770">
        <w:rPr>
          <w:rFonts w:cs="Cambria"/>
          <w:i/>
          <w:iCs/>
          <w:sz w:val="18"/>
          <w:szCs w:val="18"/>
        </w:rPr>
        <w:t>ş</w:t>
      </w:r>
      <w:r w:rsidRPr="00872770">
        <w:rPr>
          <w:rFonts w:cs="Noto Serif"/>
          <w:i/>
          <w:iCs/>
          <w:sz w:val="18"/>
          <w:szCs w:val="18"/>
        </w:rPr>
        <w:t>kusuzdur”</w:t>
      </w:r>
      <w:r w:rsidRPr="00872770">
        <w:rPr>
          <w:rFonts w:cs="Noto Serif"/>
          <w:sz w:val="18"/>
          <w:szCs w:val="18"/>
        </w:rPr>
        <w:t xml:space="preserve"> Yarg</w:t>
      </w:r>
      <w:r w:rsidRPr="00872770">
        <w:rPr>
          <w:rFonts w:cs="Cambria"/>
          <w:sz w:val="18"/>
          <w:szCs w:val="18"/>
        </w:rPr>
        <w:t>ı</w:t>
      </w:r>
      <w:r w:rsidRPr="00872770">
        <w:rPr>
          <w:rFonts w:cs="Noto Serif"/>
          <w:sz w:val="18"/>
          <w:szCs w:val="18"/>
        </w:rPr>
        <w:t>tay Ceza Genel Kurulunun 26/9/2017 T., 2017/16.MD-956 E., 2017/370 K. say</w:t>
      </w:r>
      <w:r w:rsidRPr="00872770">
        <w:rPr>
          <w:rFonts w:cs="Cambria"/>
          <w:sz w:val="18"/>
          <w:szCs w:val="18"/>
        </w:rPr>
        <w:t>ı</w:t>
      </w:r>
      <w:r w:rsidRPr="00872770">
        <w:rPr>
          <w:rFonts w:cs="Noto Serif"/>
          <w:sz w:val="18"/>
          <w:szCs w:val="18"/>
        </w:rPr>
        <w:t>l</w:t>
      </w:r>
      <w:r w:rsidRPr="00872770">
        <w:rPr>
          <w:rFonts w:cs="Cambria"/>
          <w:sz w:val="18"/>
          <w:szCs w:val="18"/>
        </w:rPr>
        <w:t>ı</w:t>
      </w:r>
      <w:r w:rsidRPr="00872770">
        <w:rPr>
          <w:rFonts w:cs="Noto Serif"/>
          <w:sz w:val="18"/>
          <w:szCs w:val="18"/>
        </w:rPr>
        <w:t xml:space="preserve"> Karar</w:t>
      </w:r>
      <w:r w:rsidRPr="00872770">
        <w:rPr>
          <w:rFonts w:cs="Cambria"/>
          <w:sz w:val="18"/>
          <w:szCs w:val="18"/>
        </w:rPr>
        <w:t>ı</w:t>
      </w:r>
      <w:r w:rsidRPr="00872770">
        <w:rPr>
          <w:rFonts w:cs="Noto Serif"/>
          <w:sz w:val="18"/>
          <w:szCs w:val="18"/>
        </w:rPr>
        <w:t>.</w:t>
      </w:r>
    </w:p>
  </w:footnote>
  <w:footnote w:id="6">
    <w:p w14:paraId="2606376B" w14:textId="77777777" w:rsidR="00757C5D" w:rsidRPr="00872770" w:rsidRDefault="00757C5D" w:rsidP="00757C5D">
      <w:pPr>
        <w:pStyle w:val="DipnotMetni"/>
        <w:ind w:left="567" w:hanging="567"/>
        <w:rPr>
          <w:sz w:val="18"/>
          <w:szCs w:val="18"/>
        </w:rPr>
      </w:pPr>
      <w:r w:rsidRPr="00872770">
        <w:rPr>
          <w:rStyle w:val="DipnotBavurusu"/>
          <w:sz w:val="18"/>
          <w:szCs w:val="18"/>
          <w:vertAlign w:val="baseline"/>
        </w:rPr>
        <w:footnoteRef/>
      </w:r>
      <w:r w:rsidRPr="00872770">
        <w:rPr>
          <w:sz w:val="18"/>
          <w:szCs w:val="18"/>
        </w:rPr>
        <w:t xml:space="preserve"> </w:t>
      </w:r>
      <w:r w:rsidRPr="00872770">
        <w:rPr>
          <w:sz w:val="18"/>
          <w:szCs w:val="18"/>
        </w:rPr>
        <w:tab/>
      </w:r>
      <w:r w:rsidRPr="00872770">
        <w:rPr>
          <w:rStyle w:val="DipnotBavurusu"/>
          <w:i/>
          <w:iCs/>
          <w:sz w:val="18"/>
          <w:szCs w:val="18"/>
          <w:vertAlign w:val="baseline"/>
        </w:rPr>
        <w:t xml:space="preserve">“… Sayılı iletişimin tespiti kararının, 5397 sayılı Yasanın 2. maddesi ile 2803 sayılı Yasaya eklenen Ek 5. madde uyarınca verilen (ve 2937 sayılı Yasanın 6. maddesi uyarınca verilen) önleme dilemesi kararı niteliğinde olması karşısında, bu şekilde ulaşılan bulgular, … ceza yargılamasında delil olarak kullanılamayacağından ve bu bulgulara dayalı hüküm kurulamayacağından, önleme amaçlı iletişimin denetlenmesi sonucunda ulaşılan bulgular dışındaki somut deliller değerlendirilerek sanığın hukuksal durumunun tayin ve takdiri gerekmektedir.” </w:t>
      </w:r>
      <w:r w:rsidRPr="00872770">
        <w:rPr>
          <w:sz w:val="18"/>
          <w:szCs w:val="18"/>
        </w:rPr>
        <w:t xml:space="preserve">Yargıtay </w:t>
      </w:r>
      <w:r w:rsidRPr="00872770">
        <w:rPr>
          <w:rStyle w:val="DipnotBavurusu"/>
          <w:sz w:val="18"/>
          <w:szCs w:val="18"/>
          <w:vertAlign w:val="baseline"/>
        </w:rPr>
        <w:t>Ceza Genel Kurulunun 21.10.2014 T., 2012/1283 E.,  2014/430 K. sayılı karar</w:t>
      </w:r>
      <w:r w:rsidRPr="00872770">
        <w:rPr>
          <w:sz w:val="18"/>
          <w:szCs w:val="18"/>
        </w:rPr>
        <w:t xml:space="preserve">ı; Yargıtay </w:t>
      </w:r>
      <w:r w:rsidRPr="00872770">
        <w:rPr>
          <w:rStyle w:val="DipnotBavurusu"/>
          <w:sz w:val="18"/>
          <w:szCs w:val="18"/>
          <w:vertAlign w:val="baseline"/>
        </w:rPr>
        <w:t>Ceza Genel Kurulunun 17/05/2011 T., 2011/9-83 E., 2011/95 K. sayılı kararı</w:t>
      </w:r>
    </w:p>
  </w:footnote>
  <w:footnote w:id="7">
    <w:p w14:paraId="5788D7CA" w14:textId="77777777" w:rsidR="00757C5D" w:rsidRPr="00872770" w:rsidRDefault="00757C5D" w:rsidP="00757C5D">
      <w:pPr>
        <w:pStyle w:val="DipnotMetni"/>
        <w:ind w:left="567" w:hanging="567"/>
        <w:rPr>
          <w:sz w:val="18"/>
          <w:szCs w:val="18"/>
        </w:rPr>
      </w:pPr>
      <w:r w:rsidRPr="00872770">
        <w:rPr>
          <w:rStyle w:val="DipnotBavurusu"/>
          <w:sz w:val="18"/>
          <w:szCs w:val="18"/>
          <w:vertAlign w:val="baseline"/>
        </w:rPr>
        <w:footnoteRef/>
      </w:r>
      <w:r w:rsidRPr="00872770">
        <w:rPr>
          <w:sz w:val="18"/>
          <w:szCs w:val="18"/>
        </w:rPr>
        <w:t xml:space="preserve"> </w:t>
      </w:r>
      <w:r w:rsidRPr="00872770">
        <w:rPr>
          <w:sz w:val="18"/>
          <w:szCs w:val="18"/>
        </w:rPr>
        <w:tab/>
        <w:t>Bilirkişi raporu için bkz. https://www.drgokhangunes.com/wp-content/uploads/2021/09/ANKARA-CBS-BILIRKISI-RAPORU.pdf</w:t>
      </w:r>
    </w:p>
  </w:footnote>
  <w:footnote w:id="8">
    <w:p w14:paraId="37CB4B02" w14:textId="77777777" w:rsidR="00757C5D" w:rsidRPr="00872770" w:rsidRDefault="00757C5D" w:rsidP="00757C5D">
      <w:pPr>
        <w:pStyle w:val="DipnotMetni"/>
        <w:ind w:left="567" w:hanging="567"/>
        <w:rPr>
          <w:sz w:val="18"/>
          <w:szCs w:val="18"/>
        </w:rPr>
      </w:pPr>
      <w:r w:rsidRPr="00872770">
        <w:rPr>
          <w:rStyle w:val="DipnotBavurusu"/>
          <w:sz w:val="18"/>
          <w:szCs w:val="18"/>
          <w:vertAlign w:val="baseline"/>
        </w:rPr>
        <w:footnoteRef/>
      </w:r>
      <w:r w:rsidRPr="00872770">
        <w:rPr>
          <w:sz w:val="18"/>
          <w:szCs w:val="18"/>
        </w:rPr>
        <w:t xml:space="preserve"> </w:t>
      </w:r>
      <w:r w:rsidRPr="00872770">
        <w:rPr>
          <w:sz w:val="18"/>
          <w:szCs w:val="18"/>
        </w:rPr>
        <w:tab/>
        <w:t>Uzman görüşü için bkz. https://www.drgokhangunes.com/wp-content/uploads/2021/09/Bylock-Munhasir-mi-TR.pdf</w:t>
      </w:r>
    </w:p>
  </w:footnote>
  <w:footnote w:id="9">
    <w:p w14:paraId="0D09516A" w14:textId="77777777" w:rsidR="00757C5D" w:rsidRPr="00872770" w:rsidRDefault="00757C5D" w:rsidP="00757C5D">
      <w:pPr>
        <w:pStyle w:val="DipnotMetni"/>
        <w:ind w:left="567" w:hanging="567"/>
        <w:rPr>
          <w:sz w:val="18"/>
          <w:szCs w:val="18"/>
        </w:rPr>
      </w:pPr>
      <w:r w:rsidRPr="00872770">
        <w:rPr>
          <w:rStyle w:val="DipnotBavurusu"/>
          <w:sz w:val="18"/>
          <w:szCs w:val="18"/>
          <w:vertAlign w:val="baseline"/>
        </w:rPr>
        <w:footnoteRef/>
      </w:r>
      <w:r w:rsidRPr="00872770">
        <w:rPr>
          <w:sz w:val="18"/>
          <w:szCs w:val="18"/>
        </w:rPr>
        <w:t xml:space="preserve"> </w:t>
      </w:r>
      <w:r w:rsidRPr="00872770">
        <w:rPr>
          <w:sz w:val="18"/>
          <w:szCs w:val="18"/>
        </w:rPr>
        <w:tab/>
      </w:r>
      <w:r w:rsidRPr="00872770">
        <w:rPr>
          <w:i/>
          <w:iCs/>
          <w:sz w:val="18"/>
          <w:szCs w:val="18"/>
          <w:shd w:val="clear" w:color="auto" w:fill="FFFFFF"/>
        </w:rPr>
        <w:t>“Sanık ...’in kullandığını kabul ettiği 168979 ID numaralı ...’ta sadece diğer sanık ...’ın ekli olması ve yazışma içeriklerinin örgütsel nitelikte olmadığının anlaşılmasına rağmen hatalı değerlendirmeyle sanığın, örgüt talimatı ile bu ağa dahil olunduğunun ve gizliliği sağlamak için haberleşme amacıyla kullanıldığının kabul edilerek yazılı şekilde mahkumiyetine karar verilmesi, kanuna aykırı, sanık müdafiinin temyiz itirazları bu nedenlerle yerinde görülmüş olduğundan hükmün bu sebepten dolayı CMK'nın 302/2. maddesi uyarınca BOZULMASINA…”</w:t>
      </w:r>
      <w:r w:rsidRPr="00872770">
        <w:rPr>
          <w:sz w:val="18"/>
          <w:szCs w:val="18"/>
          <w:shd w:val="clear" w:color="auto" w:fill="FFFFFF"/>
        </w:rPr>
        <w:t xml:space="preserve"> Yargıtay 16. Ceza Dairesinin 25/6/2020 T., 2019/11650 E., 2020/3039 K. sayılı kararı.</w:t>
      </w:r>
    </w:p>
  </w:footnote>
  <w:footnote w:id="10">
    <w:p w14:paraId="39850023" w14:textId="77777777" w:rsidR="00757C5D" w:rsidRPr="00872770" w:rsidRDefault="00757C5D" w:rsidP="00757C5D">
      <w:pPr>
        <w:pStyle w:val="DipnotMetni"/>
        <w:ind w:left="567" w:hanging="567"/>
        <w:rPr>
          <w:sz w:val="18"/>
          <w:szCs w:val="18"/>
        </w:rPr>
      </w:pPr>
      <w:r w:rsidRPr="00872770">
        <w:rPr>
          <w:rStyle w:val="DipnotBavurusu"/>
          <w:sz w:val="18"/>
          <w:szCs w:val="18"/>
          <w:vertAlign w:val="baseline"/>
        </w:rPr>
        <w:footnoteRef/>
      </w:r>
      <w:r w:rsidRPr="00872770">
        <w:rPr>
          <w:sz w:val="18"/>
          <w:szCs w:val="18"/>
        </w:rPr>
        <w:t xml:space="preserve">  </w:t>
      </w:r>
      <w:r w:rsidRPr="00872770">
        <w:rPr>
          <w:sz w:val="18"/>
          <w:szCs w:val="18"/>
        </w:rPr>
        <w:tab/>
        <w:t>https://twitter.com/drgokhangunes/status/1504153716236161030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25A"/>
    <w:multiLevelType w:val="hybridMultilevel"/>
    <w:tmpl w:val="6A90AA66"/>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15:restartNumberingAfterBreak="0">
    <w:nsid w:val="02FE7D87"/>
    <w:multiLevelType w:val="hybridMultilevel"/>
    <w:tmpl w:val="0EF07A1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0B237542"/>
    <w:multiLevelType w:val="hybridMultilevel"/>
    <w:tmpl w:val="1B90EB64"/>
    <w:lvl w:ilvl="0" w:tplc="39A49950">
      <w:start w:val="1"/>
      <w:numFmt w:val="low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15:restartNumberingAfterBreak="0">
    <w:nsid w:val="0F630C33"/>
    <w:multiLevelType w:val="multilevel"/>
    <w:tmpl w:val="48C085E8"/>
    <w:lvl w:ilvl="0">
      <w:start w:val="1"/>
      <w:numFmt w:val="bullet"/>
      <w:lvlText w:val=""/>
      <w:lvlJc w:val="left"/>
      <w:pPr>
        <w:tabs>
          <w:tab w:val="num" w:pos="1070"/>
        </w:tabs>
        <w:ind w:left="1070" w:hanging="360"/>
      </w:pPr>
      <w:rPr>
        <w:rFonts w:ascii="Symbol" w:hAnsi="Symbol" w:hint="default"/>
        <w:sz w:val="20"/>
      </w:rPr>
    </w:lvl>
    <w:lvl w:ilvl="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4" w15:restartNumberingAfterBreak="0">
    <w:nsid w:val="13512BB3"/>
    <w:multiLevelType w:val="hybridMultilevel"/>
    <w:tmpl w:val="3274196A"/>
    <w:lvl w:ilvl="0" w:tplc="296A1EBA">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 w15:restartNumberingAfterBreak="0">
    <w:nsid w:val="14FC3ADD"/>
    <w:multiLevelType w:val="hybridMultilevel"/>
    <w:tmpl w:val="0B1C7AE8"/>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15:restartNumberingAfterBreak="0">
    <w:nsid w:val="187A251B"/>
    <w:multiLevelType w:val="hybridMultilevel"/>
    <w:tmpl w:val="799850F8"/>
    <w:lvl w:ilvl="0" w:tplc="5596C23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15:restartNumberingAfterBreak="0">
    <w:nsid w:val="1CC90C0B"/>
    <w:multiLevelType w:val="hybridMultilevel"/>
    <w:tmpl w:val="77185D72"/>
    <w:lvl w:ilvl="0" w:tplc="041F000B">
      <w:start w:val="1"/>
      <w:numFmt w:val="bullet"/>
      <w:lvlText w:val=""/>
      <w:lvlJc w:val="left"/>
      <w:pPr>
        <w:ind w:left="163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15:restartNumberingAfterBreak="0">
    <w:nsid w:val="1CFB7CE0"/>
    <w:multiLevelType w:val="hybridMultilevel"/>
    <w:tmpl w:val="ED58FF48"/>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9" w15:restartNumberingAfterBreak="0">
    <w:nsid w:val="1D6A2F0C"/>
    <w:multiLevelType w:val="hybridMultilevel"/>
    <w:tmpl w:val="73AC1624"/>
    <w:lvl w:ilvl="0" w:tplc="73F042DC">
      <w:start w:val="1"/>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0" w15:restartNumberingAfterBreak="0">
    <w:nsid w:val="26065BF8"/>
    <w:multiLevelType w:val="hybridMultilevel"/>
    <w:tmpl w:val="E1505D14"/>
    <w:lvl w:ilvl="0" w:tplc="CC207102">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982271F"/>
    <w:multiLevelType w:val="hybridMultilevel"/>
    <w:tmpl w:val="F9E6B254"/>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2" w15:restartNumberingAfterBreak="0">
    <w:nsid w:val="2AC86BBD"/>
    <w:multiLevelType w:val="hybridMultilevel"/>
    <w:tmpl w:val="464AF15E"/>
    <w:lvl w:ilvl="0" w:tplc="46C8C81C">
      <w:start w:val="1"/>
      <w:numFmt w:val="lowerLetter"/>
      <w:lvlText w:val="%1)"/>
      <w:lvlJc w:val="left"/>
      <w:pPr>
        <w:ind w:left="720" w:hanging="360"/>
      </w:pPr>
    </w:lvl>
    <w:lvl w:ilvl="1" w:tplc="67DCBD0A" w:tentative="1">
      <w:start w:val="1"/>
      <w:numFmt w:val="lowerLetter"/>
      <w:lvlText w:val="%2."/>
      <w:lvlJc w:val="left"/>
      <w:pPr>
        <w:ind w:left="1440" w:hanging="360"/>
      </w:pPr>
    </w:lvl>
    <w:lvl w:ilvl="2" w:tplc="B86C80FC" w:tentative="1">
      <w:start w:val="1"/>
      <w:numFmt w:val="lowerRoman"/>
      <w:lvlText w:val="%3."/>
      <w:lvlJc w:val="right"/>
      <w:pPr>
        <w:ind w:left="2160" w:hanging="180"/>
      </w:pPr>
    </w:lvl>
    <w:lvl w:ilvl="3" w:tplc="BFD285AC" w:tentative="1">
      <w:start w:val="1"/>
      <w:numFmt w:val="decimal"/>
      <w:lvlText w:val="%4."/>
      <w:lvlJc w:val="left"/>
      <w:pPr>
        <w:ind w:left="2880" w:hanging="360"/>
      </w:pPr>
    </w:lvl>
    <w:lvl w:ilvl="4" w:tplc="A2820714" w:tentative="1">
      <w:start w:val="1"/>
      <w:numFmt w:val="lowerLetter"/>
      <w:lvlText w:val="%5."/>
      <w:lvlJc w:val="left"/>
      <w:pPr>
        <w:ind w:left="3600" w:hanging="360"/>
      </w:pPr>
    </w:lvl>
    <w:lvl w:ilvl="5" w:tplc="0DD87254" w:tentative="1">
      <w:start w:val="1"/>
      <w:numFmt w:val="lowerRoman"/>
      <w:lvlText w:val="%6."/>
      <w:lvlJc w:val="right"/>
      <w:pPr>
        <w:ind w:left="4320" w:hanging="180"/>
      </w:pPr>
    </w:lvl>
    <w:lvl w:ilvl="6" w:tplc="63E83746" w:tentative="1">
      <w:start w:val="1"/>
      <w:numFmt w:val="decimal"/>
      <w:lvlText w:val="%7."/>
      <w:lvlJc w:val="left"/>
      <w:pPr>
        <w:ind w:left="5040" w:hanging="360"/>
      </w:pPr>
    </w:lvl>
    <w:lvl w:ilvl="7" w:tplc="E3E69A46" w:tentative="1">
      <w:start w:val="1"/>
      <w:numFmt w:val="lowerLetter"/>
      <w:lvlText w:val="%8."/>
      <w:lvlJc w:val="left"/>
      <w:pPr>
        <w:ind w:left="5760" w:hanging="360"/>
      </w:pPr>
    </w:lvl>
    <w:lvl w:ilvl="8" w:tplc="DAB022CE" w:tentative="1">
      <w:start w:val="1"/>
      <w:numFmt w:val="lowerRoman"/>
      <w:lvlText w:val="%9."/>
      <w:lvlJc w:val="right"/>
      <w:pPr>
        <w:ind w:left="6480" w:hanging="180"/>
      </w:pPr>
    </w:lvl>
  </w:abstractNum>
  <w:abstractNum w:abstractNumId="13" w15:restartNumberingAfterBreak="0">
    <w:nsid w:val="2D8210E1"/>
    <w:multiLevelType w:val="hybridMultilevel"/>
    <w:tmpl w:val="39F260E4"/>
    <w:lvl w:ilvl="0" w:tplc="EA069276">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30C65BE9"/>
    <w:multiLevelType w:val="hybridMultilevel"/>
    <w:tmpl w:val="2FD46136"/>
    <w:lvl w:ilvl="0" w:tplc="ED9E624A">
      <w:start w:val="1"/>
      <w:numFmt w:val="bullet"/>
      <w:lvlText w:val=""/>
      <w:lvlJc w:val="left"/>
      <w:pPr>
        <w:ind w:left="1004" w:hanging="360"/>
      </w:pPr>
      <w:rPr>
        <w:rFonts w:ascii="Wingdings" w:hAnsi="Wingdings" w:hint="default"/>
        <w:b/>
        <w:bCs/>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5" w15:restartNumberingAfterBreak="0">
    <w:nsid w:val="361A3786"/>
    <w:multiLevelType w:val="hybridMultilevel"/>
    <w:tmpl w:val="05CCD0DE"/>
    <w:lvl w:ilvl="0" w:tplc="FFFAB854">
      <w:start w:val="8"/>
      <w:numFmt w:val="low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BA97FA7"/>
    <w:multiLevelType w:val="hybridMultilevel"/>
    <w:tmpl w:val="C85CF09E"/>
    <w:lvl w:ilvl="0" w:tplc="415245DE">
      <w:start w:val="1"/>
      <w:numFmt w:val="upperLetter"/>
      <w:lvlText w:val="%1."/>
      <w:lvlJc w:val="left"/>
      <w:pPr>
        <w:ind w:left="1047" w:hanging="48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7" w15:restartNumberingAfterBreak="0">
    <w:nsid w:val="3DA82818"/>
    <w:multiLevelType w:val="hybridMultilevel"/>
    <w:tmpl w:val="407EA12C"/>
    <w:lvl w:ilvl="0" w:tplc="A0FA4158">
      <w:start w:val="1"/>
      <w:numFmt w:val="upperLetter"/>
      <w:pStyle w:val="Balk1"/>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8" w15:restartNumberingAfterBreak="0">
    <w:nsid w:val="40B0569C"/>
    <w:multiLevelType w:val="hybridMultilevel"/>
    <w:tmpl w:val="53B473F2"/>
    <w:lvl w:ilvl="0" w:tplc="A1DA9C36">
      <w:start w:val="1"/>
      <w:numFmt w:val="decimal"/>
      <w:lvlText w:val="%1."/>
      <w:lvlJc w:val="left"/>
      <w:pPr>
        <w:ind w:left="1275" w:hanging="360"/>
      </w:pPr>
      <w:rPr>
        <w:rFonts w:hint="default"/>
        <w:b/>
        <w:bCs/>
        <w:color w:val="000000" w:themeColor="text1"/>
      </w:rPr>
    </w:lvl>
    <w:lvl w:ilvl="1" w:tplc="041F0019" w:tentative="1">
      <w:start w:val="1"/>
      <w:numFmt w:val="lowerLetter"/>
      <w:lvlText w:val="%2."/>
      <w:lvlJc w:val="left"/>
      <w:pPr>
        <w:ind w:left="1995" w:hanging="360"/>
      </w:pPr>
    </w:lvl>
    <w:lvl w:ilvl="2" w:tplc="041F001B" w:tentative="1">
      <w:start w:val="1"/>
      <w:numFmt w:val="lowerRoman"/>
      <w:lvlText w:val="%3."/>
      <w:lvlJc w:val="right"/>
      <w:pPr>
        <w:ind w:left="2715" w:hanging="180"/>
      </w:pPr>
    </w:lvl>
    <w:lvl w:ilvl="3" w:tplc="041F000F" w:tentative="1">
      <w:start w:val="1"/>
      <w:numFmt w:val="decimal"/>
      <w:lvlText w:val="%4."/>
      <w:lvlJc w:val="left"/>
      <w:pPr>
        <w:ind w:left="3435" w:hanging="360"/>
      </w:pPr>
    </w:lvl>
    <w:lvl w:ilvl="4" w:tplc="041F0019" w:tentative="1">
      <w:start w:val="1"/>
      <w:numFmt w:val="lowerLetter"/>
      <w:lvlText w:val="%5."/>
      <w:lvlJc w:val="left"/>
      <w:pPr>
        <w:ind w:left="4155" w:hanging="360"/>
      </w:pPr>
    </w:lvl>
    <w:lvl w:ilvl="5" w:tplc="041F001B" w:tentative="1">
      <w:start w:val="1"/>
      <w:numFmt w:val="lowerRoman"/>
      <w:lvlText w:val="%6."/>
      <w:lvlJc w:val="right"/>
      <w:pPr>
        <w:ind w:left="4875" w:hanging="180"/>
      </w:pPr>
    </w:lvl>
    <w:lvl w:ilvl="6" w:tplc="041F000F" w:tentative="1">
      <w:start w:val="1"/>
      <w:numFmt w:val="decimal"/>
      <w:lvlText w:val="%7."/>
      <w:lvlJc w:val="left"/>
      <w:pPr>
        <w:ind w:left="5595" w:hanging="360"/>
      </w:pPr>
    </w:lvl>
    <w:lvl w:ilvl="7" w:tplc="041F0019" w:tentative="1">
      <w:start w:val="1"/>
      <w:numFmt w:val="lowerLetter"/>
      <w:lvlText w:val="%8."/>
      <w:lvlJc w:val="left"/>
      <w:pPr>
        <w:ind w:left="6315" w:hanging="360"/>
      </w:pPr>
    </w:lvl>
    <w:lvl w:ilvl="8" w:tplc="041F001B" w:tentative="1">
      <w:start w:val="1"/>
      <w:numFmt w:val="lowerRoman"/>
      <w:lvlText w:val="%9."/>
      <w:lvlJc w:val="right"/>
      <w:pPr>
        <w:ind w:left="7035" w:hanging="180"/>
      </w:pPr>
    </w:lvl>
  </w:abstractNum>
  <w:abstractNum w:abstractNumId="19" w15:restartNumberingAfterBreak="0">
    <w:nsid w:val="41255D02"/>
    <w:multiLevelType w:val="hybridMultilevel"/>
    <w:tmpl w:val="68E0D1D4"/>
    <w:lvl w:ilvl="0" w:tplc="5B16E92E">
      <w:start w:val="1"/>
      <w:numFmt w:val="decimal"/>
      <w:lvlText w:val="%1."/>
      <w:lvlJc w:val="left"/>
      <w:pPr>
        <w:ind w:left="1069" w:hanging="360"/>
      </w:pPr>
      <w:rPr>
        <w:rFonts w:hint="default"/>
        <w:b/>
        <w:bCs/>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41AC1547"/>
    <w:multiLevelType w:val="hybridMultilevel"/>
    <w:tmpl w:val="8654D242"/>
    <w:lvl w:ilvl="0" w:tplc="D7D0CCB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22250CB"/>
    <w:multiLevelType w:val="hybridMultilevel"/>
    <w:tmpl w:val="EDB01A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2590068"/>
    <w:multiLevelType w:val="hybridMultilevel"/>
    <w:tmpl w:val="62EEAC9E"/>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3" w15:restartNumberingAfterBreak="0">
    <w:nsid w:val="4FD035AB"/>
    <w:multiLevelType w:val="hybridMultilevel"/>
    <w:tmpl w:val="1B28120C"/>
    <w:lvl w:ilvl="0" w:tplc="C65E960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4" w15:restartNumberingAfterBreak="0">
    <w:nsid w:val="51A32341"/>
    <w:multiLevelType w:val="hybridMultilevel"/>
    <w:tmpl w:val="B81C77E8"/>
    <w:lvl w:ilvl="0" w:tplc="07FA6C9A">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5" w15:restartNumberingAfterBreak="0">
    <w:nsid w:val="54660561"/>
    <w:multiLevelType w:val="hybridMultilevel"/>
    <w:tmpl w:val="50EA7F0C"/>
    <w:lvl w:ilvl="0" w:tplc="88C6941C">
      <w:start w:val="1"/>
      <w:numFmt w:val="lowerRoman"/>
      <w:pStyle w:val="Balk4"/>
      <w:lvlText w:val="%1."/>
      <w:lvlJc w:val="left"/>
      <w:pPr>
        <w:ind w:left="1340" w:hanging="360"/>
      </w:pPr>
      <w:rPr>
        <w:rFonts w:hint="default"/>
      </w:rPr>
    </w:lvl>
    <w:lvl w:ilvl="1" w:tplc="041F0019" w:tentative="1">
      <w:start w:val="1"/>
      <w:numFmt w:val="lowerLetter"/>
      <w:lvlText w:val="%2."/>
      <w:lvlJc w:val="left"/>
      <w:pPr>
        <w:ind w:left="2060" w:hanging="360"/>
      </w:pPr>
    </w:lvl>
    <w:lvl w:ilvl="2" w:tplc="041F001B" w:tentative="1">
      <w:start w:val="1"/>
      <w:numFmt w:val="lowerRoman"/>
      <w:lvlText w:val="%3."/>
      <w:lvlJc w:val="right"/>
      <w:pPr>
        <w:ind w:left="2780" w:hanging="180"/>
      </w:pPr>
    </w:lvl>
    <w:lvl w:ilvl="3" w:tplc="041F000F" w:tentative="1">
      <w:start w:val="1"/>
      <w:numFmt w:val="decimal"/>
      <w:lvlText w:val="%4."/>
      <w:lvlJc w:val="left"/>
      <w:pPr>
        <w:ind w:left="3500" w:hanging="360"/>
      </w:pPr>
    </w:lvl>
    <w:lvl w:ilvl="4" w:tplc="041F0019" w:tentative="1">
      <w:start w:val="1"/>
      <w:numFmt w:val="lowerLetter"/>
      <w:lvlText w:val="%5."/>
      <w:lvlJc w:val="left"/>
      <w:pPr>
        <w:ind w:left="4220" w:hanging="360"/>
      </w:pPr>
    </w:lvl>
    <w:lvl w:ilvl="5" w:tplc="041F001B" w:tentative="1">
      <w:start w:val="1"/>
      <w:numFmt w:val="lowerRoman"/>
      <w:lvlText w:val="%6."/>
      <w:lvlJc w:val="right"/>
      <w:pPr>
        <w:ind w:left="4940" w:hanging="180"/>
      </w:pPr>
    </w:lvl>
    <w:lvl w:ilvl="6" w:tplc="041F000F" w:tentative="1">
      <w:start w:val="1"/>
      <w:numFmt w:val="decimal"/>
      <w:lvlText w:val="%7."/>
      <w:lvlJc w:val="left"/>
      <w:pPr>
        <w:ind w:left="5660" w:hanging="360"/>
      </w:pPr>
    </w:lvl>
    <w:lvl w:ilvl="7" w:tplc="041F0019" w:tentative="1">
      <w:start w:val="1"/>
      <w:numFmt w:val="lowerLetter"/>
      <w:lvlText w:val="%8."/>
      <w:lvlJc w:val="left"/>
      <w:pPr>
        <w:ind w:left="6380" w:hanging="360"/>
      </w:pPr>
    </w:lvl>
    <w:lvl w:ilvl="8" w:tplc="041F001B" w:tentative="1">
      <w:start w:val="1"/>
      <w:numFmt w:val="lowerRoman"/>
      <w:lvlText w:val="%9."/>
      <w:lvlJc w:val="right"/>
      <w:pPr>
        <w:ind w:left="7100" w:hanging="180"/>
      </w:pPr>
    </w:lvl>
  </w:abstractNum>
  <w:abstractNum w:abstractNumId="26" w15:restartNumberingAfterBreak="0">
    <w:nsid w:val="547A168C"/>
    <w:multiLevelType w:val="hybridMultilevel"/>
    <w:tmpl w:val="4B8C937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8D51A07"/>
    <w:multiLevelType w:val="hybridMultilevel"/>
    <w:tmpl w:val="B0089704"/>
    <w:lvl w:ilvl="0" w:tplc="057A6838">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8" w15:restartNumberingAfterBreak="0">
    <w:nsid w:val="5CC127F9"/>
    <w:multiLevelType w:val="hybridMultilevel"/>
    <w:tmpl w:val="AC12E01E"/>
    <w:lvl w:ilvl="0" w:tplc="89A4BA54">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9" w15:restartNumberingAfterBreak="0">
    <w:nsid w:val="5DD32889"/>
    <w:multiLevelType w:val="hybridMultilevel"/>
    <w:tmpl w:val="B6FA2A32"/>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0" w15:restartNumberingAfterBreak="0">
    <w:nsid w:val="5FE34F03"/>
    <w:multiLevelType w:val="hybridMultilevel"/>
    <w:tmpl w:val="BA76B302"/>
    <w:lvl w:ilvl="0" w:tplc="DF3EF9F0">
      <w:start w:val="1"/>
      <w:numFmt w:val="lowerLetter"/>
      <w:pStyle w:val="Balk3"/>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1" w15:restartNumberingAfterBreak="0">
    <w:nsid w:val="6EE47E93"/>
    <w:multiLevelType w:val="hybridMultilevel"/>
    <w:tmpl w:val="228CDC44"/>
    <w:lvl w:ilvl="0" w:tplc="B4EE7B8C">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2" w15:restartNumberingAfterBreak="0">
    <w:nsid w:val="760449A0"/>
    <w:multiLevelType w:val="hybridMultilevel"/>
    <w:tmpl w:val="8B1ACBC6"/>
    <w:lvl w:ilvl="0" w:tplc="041F000B">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33" w15:restartNumberingAfterBreak="0">
    <w:nsid w:val="78884F2A"/>
    <w:multiLevelType w:val="hybridMultilevel"/>
    <w:tmpl w:val="B7C80154"/>
    <w:lvl w:ilvl="0" w:tplc="A9BAF3DA">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16cid:durableId="1980912908">
    <w:abstractNumId w:val="20"/>
  </w:num>
  <w:num w:numId="2" w16cid:durableId="1272275250">
    <w:abstractNumId w:val="5"/>
  </w:num>
  <w:num w:numId="3" w16cid:durableId="1818187101">
    <w:abstractNumId w:val="29"/>
  </w:num>
  <w:num w:numId="4" w16cid:durableId="285308293">
    <w:abstractNumId w:val="11"/>
  </w:num>
  <w:num w:numId="5" w16cid:durableId="941256672">
    <w:abstractNumId w:val="7"/>
  </w:num>
  <w:num w:numId="6" w16cid:durableId="1939167746">
    <w:abstractNumId w:val="0"/>
  </w:num>
  <w:num w:numId="7" w16cid:durableId="1904829197">
    <w:abstractNumId w:val="3"/>
  </w:num>
  <w:num w:numId="8" w16cid:durableId="942109212">
    <w:abstractNumId w:val="1"/>
  </w:num>
  <w:num w:numId="9" w16cid:durableId="1116633203">
    <w:abstractNumId w:val="16"/>
  </w:num>
  <w:num w:numId="10" w16cid:durableId="467356398">
    <w:abstractNumId w:val="31"/>
  </w:num>
  <w:num w:numId="11" w16cid:durableId="2070228020">
    <w:abstractNumId w:val="24"/>
  </w:num>
  <w:num w:numId="12" w16cid:durableId="1597472752">
    <w:abstractNumId w:val="23"/>
  </w:num>
  <w:num w:numId="13" w16cid:durableId="1959871925">
    <w:abstractNumId w:val="30"/>
  </w:num>
  <w:num w:numId="14" w16cid:durableId="704063366">
    <w:abstractNumId w:val="30"/>
    <w:lvlOverride w:ilvl="0">
      <w:startOverride w:val="1"/>
    </w:lvlOverride>
  </w:num>
  <w:num w:numId="15" w16cid:durableId="2008554181">
    <w:abstractNumId w:val="30"/>
    <w:lvlOverride w:ilvl="0">
      <w:startOverride w:val="1"/>
    </w:lvlOverride>
  </w:num>
  <w:num w:numId="16" w16cid:durableId="1595825562">
    <w:abstractNumId w:val="30"/>
    <w:lvlOverride w:ilvl="0">
      <w:startOverride w:val="1"/>
    </w:lvlOverride>
  </w:num>
  <w:num w:numId="17" w16cid:durableId="1649162237">
    <w:abstractNumId w:val="30"/>
    <w:lvlOverride w:ilvl="0">
      <w:startOverride w:val="1"/>
    </w:lvlOverride>
  </w:num>
  <w:num w:numId="18" w16cid:durableId="172380973">
    <w:abstractNumId w:val="30"/>
    <w:lvlOverride w:ilvl="0">
      <w:startOverride w:val="1"/>
    </w:lvlOverride>
  </w:num>
  <w:num w:numId="19" w16cid:durableId="1947075659">
    <w:abstractNumId w:val="30"/>
    <w:lvlOverride w:ilvl="0">
      <w:startOverride w:val="1"/>
    </w:lvlOverride>
  </w:num>
  <w:num w:numId="20" w16cid:durableId="867566849">
    <w:abstractNumId w:val="2"/>
  </w:num>
  <w:num w:numId="21" w16cid:durableId="1820266061">
    <w:abstractNumId w:val="30"/>
    <w:lvlOverride w:ilvl="0">
      <w:startOverride w:val="1"/>
    </w:lvlOverride>
  </w:num>
  <w:num w:numId="22" w16cid:durableId="1367682869">
    <w:abstractNumId w:val="30"/>
    <w:lvlOverride w:ilvl="0">
      <w:startOverride w:val="1"/>
    </w:lvlOverride>
  </w:num>
  <w:num w:numId="23" w16cid:durableId="396517171">
    <w:abstractNumId w:val="15"/>
  </w:num>
  <w:num w:numId="24" w16cid:durableId="207451648">
    <w:abstractNumId w:val="12"/>
  </w:num>
  <w:num w:numId="25" w16cid:durableId="1852140874">
    <w:abstractNumId w:val="32"/>
  </w:num>
  <w:num w:numId="26" w16cid:durableId="24060853">
    <w:abstractNumId w:val="8"/>
  </w:num>
  <w:num w:numId="27" w16cid:durableId="428159944">
    <w:abstractNumId w:val="22"/>
  </w:num>
  <w:num w:numId="28" w16cid:durableId="1229534449">
    <w:abstractNumId w:val="14"/>
  </w:num>
  <w:num w:numId="29" w16cid:durableId="958031388">
    <w:abstractNumId w:val="27"/>
  </w:num>
  <w:num w:numId="30" w16cid:durableId="700711117">
    <w:abstractNumId w:val="33"/>
  </w:num>
  <w:num w:numId="31" w16cid:durableId="787314950">
    <w:abstractNumId w:val="9"/>
  </w:num>
  <w:num w:numId="32" w16cid:durableId="198667585">
    <w:abstractNumId w:val="4"/>
  </w:num>
  <w:num w:numId="33" w16cid:durableId="1814784837">
    <w:abstractNumId w:val="21"/>
  </w:num>
  <w:num w:numId="34" w16cid:durableId="1320889827">
    <w:abstractNumId w:val="26"/>
  </w:num>
  <w:num w:numId="35" w16cid:durableId="1560752253">
    <w:abstractNumId w:val="10"/>
  </w:num>
  <w:num w:numId="36" w16cid:durableId="1160075307">
    <w:abstractNumId w:val="6"/>
  </w:num>
  <w:num w:numId="37" w16cid:durableId="1258097489">
    <w:abstractNumId w:val="28"/>
  </w:num>
  <w:num w:numId="38" w16cid:durableId="792483353">
    <w:abstractNumId w:val="17"/>
  </w:num>
  <w:num w:numId="39" w16cid:durableId="885139062">
    <w:abstractNumId w:val="17"/>
  </w:num>
  <w:num w:numId="40" w16cid:durableId="1424179082">
    <w:abstractNumId w:val="25"/>
  </w:num>
  <w:num w:numId="41" w16cid:durableId="1428574793">
    <w:abstractNumId w:val="30"/>
    <w:lvlOverride w:ilvl="0">
      <w:startOverride w:val="1"/>
    </w:lvlOverride>
  </w:num>
  <w:num w:numId="42" w16cid:durableId="1557545439">
    <w:abstractNumId w:val="30"/>
    <w:lvlOverride w:ilvl="0">
      <w:startOverride w:val="1"/>
    </w:lvlOverride>
  </w:num>
  <w:num w:numId="43" w16cid:durableId="159582633">
    <w:abstractNumId w:val="30"/>
    <w:lvlOverride w:ilvl="0">
      <w:startOverride w:val="1"/>
    </w:lvlOverride>
  </w:num>
  <w:num w:numId="44" w16cid:durableId="2034648301">
    <w:abstractNumId w:val="19"/>
  </w:num>
  <w:num w:numId="45" w16cid:durableId="2012098417">
    <w:abstractNumId w:val="30"/>
  </w:num>
  <w:num w:numId="46" w16cid:durableId="2061053891">
    <w:abstractNumId w:val="18"/>
  </w:num>
  <w:num w:numId="47" w16cid:durableId="142047960">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1C0"/>
    <w:rsid w:val="00011C35"/>
    <w:rsid w:val="000120DD"/>
    <w:rsid w:val="00012CDC"/>
    <w:rsid w:val="00027E3F"/>
    <w:rsid w:val="0003583D"/>
    <w:rsid w:val="00041E11"/>
    <w:rsid w:val="00046C44"/>
    <w:rsid w:val="0004797D"/>
    <w:rsid w:val="00052794"/>
    <w:rsid w:val="0005419C"/>
    <w:rsid w:val="000548E1"/>
    <w:rsid w:val="000740EC"/>
    <w:rsid w:val="0007687A"/>
    <w:rsid w:val="000828D1"/>
    <w:rsid w:val="000833E2"/>
    <w:rsid w:val="00093099"/>
    <w:rsid w:val="00094299"/>
    <w:rsid w:val="000967E9"/>
    <w:rsid w:val="000B26A1"/>
    <w:rsid w:val="000B5413"/>
    <w:rsid w:val="000C14D3"/>
    <w:rsid w:val="000C32C1"/>
    <w:rsid w:val="000D23AE"/>
    <w:rsid w:val="000D5910"/>
    <w:rsid w:val="000E3E38"/>
    <w:rsid w:val="000E4431"/>
    <w:rsid w:val="000F0EFB"/>
    <w:rsid w:val="000F3003"/>
    <w:rsid w:val="00103360"/>
    <w:rsid w:val="001043FB"/>
    <w:rsid w:val="001175E1"/>
    <w:rsid w:val="0012390F"/>
    <w:rsid w:val="00136478"/>
    <w:rsid w:val="00140A07"/>
    <w:rsid w:val="001478B9"/>
    <w:rsid w:val="00152903"/>
    <w:rsid w:val="00156308"/>
    <w:rsid w:val="00162628"/>
    <w:rsid w:val="00167E05"/>
    <w:rsid w:val="00172F3A"/>
    <w:rsid w:val="00180AE4"/>
    <w:rsid w:val="0018292C"/>
    <w:rsid w:val="00192009"/>
    <w:rsid w:val="001A4080"/>
    <w:rsid w:val="001B208E"/>
    <w:rsid w:val="001B3D41"/>
    <w:rsid w:val="001B6E95"/>
    <w:rsid w:val="001B7148"/>
    <w:rsid w:val="001B7C25"/>
    <w:rsid w:val="001C007C"/>
    <w:rsid w:val="001C583C"/>
    <w:rsid w:val="001C6A38"/>
    <w:rsid w:val="001C7171"/>
    <w:rsid w:val="001D73F2"/>
    <w:rsid w:val="001E086F"/>
    <w:rsid w:val="001E09BE"/>
    <w:rsid w:val="001E1535"/>
    <w:rsid w:val="001E1C5E"/>
    <w:rsid w:val="001E585B"/>
    <w:rsid w:val="001E7EA2"/>
    <w:rsid w:val="001F17EE"/>
    <w:rsid w:val="001F3188"/>
    <w:rsid w:val="001F4C88"/>
    <w:rsid w:val="00202F61"/>
    <w:rsid w:val="00207770"/>
    <w:rsid w:val="0021110F"/>
    <w:rsid w:val="0021112B"/>
    <w:rsid w:val="002119F1"/>
    <w:rsid w:val="00211B8F"/>
    <w:rsid w:val="0021557D"/>
    <w:rsid w:val="002178E4"/>
    <w:rsid w:val="00220E6E"/>
    <w:rsid w:val="00230F2E"/>
    <w:rsid w:val="0024631E"/>
    <w:rsid w:val="002517DF"/>
    <w:rsid w:val="00271C45"/>
    <w:rsid w:val="0028061F"/>
    <w:rsid w:val="002827D6"/>
    <w:rsid w:val="002872D5"/>
    <w:rsid w:val="0028787F"/>
    <w:rsid w:val="0029202E"/>
    <w:rsid w:val="00293624"/>
    <w:rsid w:val="002A5417"/>
    <w:rsid w:val="002A7272"/>
    <w:rsid w:val="002B20E6"/>
    <w:rsid w:val="002C2A40"/>
    <w:rsid w:val="002C4800"/>
    <w:rsid w:val="002C7B2E"/>
    <w:rsid w:val="002D266C"/>
    <w:rsid w:val="002D2D97"/>
    <w:rsid w:val="002D57B2"/>
    <w:rsid w:val="002D58F8"/>
    <w:rsid w:val="002E1A47"/>
    <w:rsid w:val="002E5F74"/>
    <w:rsid w:val="002F518C"/>
    <w:rsid w:val="00303E04"/>
    <w:rsid w:val="00305945"/>
    <w:rsid w:val="00307A9B"/>
    <w:rsid w:val="003130DE"/>
    <w:rsid w:val="003151FD"/>
    <w:rsid w:val="00331EFB"/>
    <w:rsid w:val="00343CCB"/>
    <w:rsid w:val="0035290E"/>
    <w:rsid w:val="0035575B"/>
    <w:rsid w:val="0036705D"/>
    <w:rsid w:val="0037127A"/>
    <w:rsid w:val="00371567"/>
    <w:rsid w:val="00381A35"/>
    <w:rsid w:val="003858C0"/>
    <w:rsid w:val="003900C2"/>
    <w:rsid w:val="003931E7"/>
    <w:rsid w:val="003A4711"/>
    <w:rsid w:val="003B40EE"/>
    <w:rsid w:val="003B44F3"/>
    <w:rsid w:val="003C11CB"/>
    <w:rsid w:val="003C4D8E"/>
    <w:rsid w:val="003D6957"/>
    <w:rsid w:val="003E2B08"/>
    <w:rsid w:val="003E7C30"/>
    <w:rsid w:val="003F141D"/>
    <w:rsid w:val="003F279A"/>
    <w:rsid w:val="003F7632"/>
    <w:rsid w:val="004014C2"/>
    <w:rsid w:val="00406E05"/>
    <w:rsid w:val="00410034"/>
    <w:rsid w:val="00412A5A"/>
    <w:rsid w:val="00420A7B"/>
    <w:rsid w:val="00432EF6"/>
    <w:rsid w:val="00435DB7"/>
    <w:rsid w:val="00436EEC"/>
    <w:rsid w:val="00437276"/>
    <w:rsid w:val="004378BF"/>
    <w:rsid w:val="004424EC"/>
    <w:rsid w:val="00442D63"/>
    <w:rsid w:val="0044328A"/>
    <w:rsid w:val="004467DD"/>
    <w:rsid w:val="00447420"/>
    <w:rsid w:val="004515F0"/>
    <w:rsid w:val="00452FE0"/>
    <w:rsid w:val="0045752F"/>
    <w:rsid w:val="004612A5"/>
    <w:rsid w:val="004621A2"/>
    <w:rsid w:val="0047147A"/>
    <w:rsid w:val="004716CB"/>
    <w:rsid w:val="00472D97"/>
    <w:rsid w:val="00473CF3"/>
    <w:rsid w:val="004749A9"/>
    <w:rsid w:val="004838B7"/>
    <w:rsid w:val="004838D2"/>
    <w:rsid w:val="0048449B"/>
    <w:rsid w:val="00490625"/>
    <w:rsid w:val="00491ECF"/>
    <w:rsid w:val="0049547B"/>
    <w:rsid w:val="004A0253"/>
    <w:rsid w:val="004A327D"/>
    <w:rsid w:val="004C3337"/>
    <w:rsid w:val="004C3977"/>
    <w:rsid w:val="004C4C34"/>
    <w:rsid w:val="004D60B0"/>
    <w:rsid w:val="004F4739"/>
    <w:rsid w:val="004F6577"/>
    <w:rsid w:val="004F6A72"/>
    <w:rsid w:val="004F7C26"/>
    <w:rsid w:val="005224A3"/>
    <w:rsid w:val="00522CC4"/>
    <w:rsid w:val="005300DD"/>
    <w:rsid w:val="00532ECF"/>
    <w:rsid w:val="00534A1C"/>
    <w:rsid w:val="00537E01"/>
    <w:rsid w:val="00537ED2"/>
    <w:rsid w:val="00547438"/>
    <w:rsid w:val="005533A4"/>
    <w:rsid w:val="005538F8"/>
    <w:rsid w:val="005566ED"/>
    <w:rsid w:val="00556EED"/>
    <w:rsid w:val="00557E40"/>
    <w:rsid w:val="005671C0"/>
    <w:rsid w:val="00576A71"/>
    <w:rsid w:val="005800CD"/>
    <w:rsid w:val="005860F9"/>
    <w:rsid w:val="0059541E"/>
    <w:rsid w:val="005A0E4F"/>
    <w:rsid w:val="005B1A6B"/>
    <w:rsid w:val="005B33D3"/>
    <w:rsid w:val="005B6522"/>
    <w:rsid w:val="005C2AB5"/>
    <w:rsid w:val="005C2FC5"/>
    <w:rsid w:val="005C5B85"/>
    <w:rsid w:val="005D0185"/>
    <w:rsid w:val="005D018F"/>
    <w:rsid w:val="005D7413"/>
    <w:rsid w:val="005E06E1"/>
    <w:rsid w:val="005E133B"/>
    <w:rsid w:val="005E315C"/>
    <w:rsid w:val="005E6A85"/>
    <w:rsid w:val="005F25C6"/>
    <w:rsid w:val="005F4C64"/>
    <w:rsid w:val="005F7B28"/>
    <w:rsid w:val="006070DB"/>
    <w:rsid w:val="006111FB"/>
    <w:rsid w:val="0061648E"/>
    <w:rsid w:val="00617081"/>
    <w:rsid w:val="006227BE"/>
    <w:rsid w:val="00632013"/>
    <w:rsid w:val="006364DC"/>
    <w:rsid w:val="00636A05"/>
    <w:rsid w:val="00641E36"/>
    <w:rsid w:val="00646577"/>
    <w:rsid w:val="0065371E"/>
    <w:rsid w:val="00653A26"/>
    <w:rsid w:val="0065557D"/>
    <w:rsid w:val="00655E6D"/>
    <w:rsid w:val="00656802"/>
    <w:rsid w:val="00667148"/>
    <w:rsid w:val="0067080C"/>
    <w:rsid w:val="0067294C"/>
    <w:rsid w:val="00673BD5"/>
    <w:rsid w:val="00690FAB"/>
    <w:rsid w:val="00695618"/>
    <w:rsid w:val="006A04BF"/>
    <w:rsid w:val="006B0E31"/>
    <w:rsid w:val="006B4754"/>
    <w:rsid w:val="006B7529"/>
    <w:rsid w:val="006C29B7"/>
    <w:rsid w:val="006D3F75"/>
    <w:rsid w:val="006D6151"/>
    <w:rsid w:val="006F76CE"/>
    <w:rsid w:val="0071055D"/>
    <w:rsid w:val="00712201"/>
    <w:rsid w:val="0071359A"/>
    <w:rsid w:val="00727CD7"/>
    <w:rsid w:val="00730BAC"/>
    <w:rsid w:val="00730C0A"/>
    <w:rsid w:val="00733EA9"/>
    <w:rsid w:val="00736FCD"/>
    <w:rsid w:val="00742351"/>
    <w:rsid w:val="00744ECC"/>
    <w:rsid w:val="0074767B"/>
    <w:rsid w:val="00751CBD"/>
    <w:rsid w:val="00755064"/>
    <w:rsid w:val="00756AE1"/>
    <w:rsid w:val="00756F20"/>
    <w:rsid w:val="00757C5D"/>
    <w:rsid w:val="00764AF6"/>
    <w:rsid w:val="007668FF"/>
    <w:rsid w:val="007736FA"/>
    <w:rsid w:val="00775384"/>
    <w:rsid w:val="0078054C"/>
    <w:rsid w:val="0078170D"/>
    <w:rsid w:val="007A350D"/>
    <w:rsid w:val="007A3ADA"/>
    <w:rsid w:val="007B0FBB"/>
    <w:rsid w:val="007B1436"/>
    <w:rsid w:val="007B213E"/>
    <w:rsid w:val="007E0A39"/>
    <w:rsid w:val="007E13D9"/>
    <w:rsid w:val="007E54FC"/>
    <w:rsid w:val="007E7177"/>
    <w:rsid w:val="007E7293"/>
    <w:rsid w:val="007F2CFD"/>
    <w:rsid w:val="00800733"/>
    <w:rsid w:val="008030B0"/>
    <w:rsid w:val="008151DE"/>
    <w:rsid w:val="00824B11"/>
    <w:rsid w:val="0082732C"/>
    <w:rsid w:val="0083293C"/>
    <w:rsid w:val="00833DD9"/>
    <w:rsid w:val="0084161D"/>
    <w:rsid w:val="00846DF2"/>
    <w:rsid w:val="00850312"/>
    <w:rsid w:val="008537A1"/>
    <w:rsid w:val="00874162"/>
    <w:rsid w:val="0088420A"/>
    <w:rsid w:val="008928D3"/>
    <w:rsid w:val="00892CBF"/>
    <w:rsid w:val="00897F76"/>
    <w:rsid w:val="008A1B7C"/>
    <w:rsid w:val="008A53B7"/>
    <w:rsid w:val="008A7EB8"/>
    <w:rsid w:val="008C2B9C"/>
    <w:rsid w:val="008C5DBE"/>
    <w:rsid w:val="008C6D93"/>
    <w:rsid w:val="008C714A"/>
    <w:rsid w:val="008D0A13"/>
    <w:rsid w:val="008D6119"/>
    <w:rsid w:val="008D7EB2"/>
    <w:rsid w:val="008E0037"/>
    <w:rsid w:val="008E07AA"/>
    <w:rsid w:val="008E3CD6"/>
    <w:rsid w:val="008E5C36"/>
    <w:rsid w:val="008E7813"/>
    <w:rsid w:val="008F1E87"/>
    <w:rsid w:val="0090130B"/>
    <w:rsid w:val="00924A2D"/>
    <w:rsid w:val="00930FF0"/>
    <w:rsid w:val="00931E47"/>
    <w:rsid w:val="00943001"/>
    <w:rsid w:val="00951027"/>
    <w:rsid w:val="0095609F"/>
    <w:rsid w:val="0096192A"/>
    <w:rsid w:val="00966B30"/>
    <w:rsid w:val="00976675"/>
    <w:rsid w:val="009B11FE"/>
    <w:rsid w:val="009B2888"/>
    <w:rsid w:val="009C487D"/>
    <w:rsid w:val="009C609D"/>
    <w:rsid w:val="009D1C4B"/>
    <w:rsid w:val="009D7EBE"/>
    <w:rsid w:val="009E3D31"/>
    <w:rsid w:val="009E59E2"/>
    <w:rsid w:val="009E7BDA"/>
    <w:rsid w:val="009F4644"/>
    <w:rsid w:val="00A22C8A"/>
    <w:rsid w:val="00A24A94"/>
    <w:rsid w:val="00A26C1A"/>
    <w:rsid w:val="00A27A98"/>
    <w:rsid w:val="00A30088"/>
    <w:rsid w:val="00A44675"/>
    <w:rsid w:val="00A46D9E"/>
    <w:rsid w:val="00A53D89"/>
    <w:rsid w:val="00A5435A"/>
    <w:rsid w:val="00A86110"/>
    <w:rsid w:val="00A91455"/>
    <w:rsid w:val="00A959C4"/>
    <w:rsid w:val="00AB31E0"/>
    <w:rsid w:val="00AD13D7"/>
    <w:rsid w:val="00B07C51"/>
    <w:rsid w:val="00B20F9D"/>
    <w:rsid w:val="00B32001"/>
    <w:rsid w:val="00B36A01"/>
    <w:rsid w:val="00B36E19"/>
    <w:rsid w:val="00B37BD4"/>
    <w:rsid w:val="00B41130"/>
    <w:rsid w:val="00B41B1E"/>
    <w:rsid w:val="00B4346D"/>
    <w:rsid w:val="00B4697E"/>
    <w:rsid w:val="00B61C63"/>
    <w:rsid w:val="00B746BD"/>
    <w:rsid w:val="00B76F02"/>
    <w:rsid w:val="00B76F0E"/>
    <w:rsid w:val="00B82809"/>
    <w:rsid w:val="00B82CA4"/>
    <w:rsid w:val="00B85D60"/>
    <w:rsid w:val="00B979C1"/>
    <w:rsid w:val="00B97E61"/>
    <w:rsid w:val="00BA162B"/>
    <w:rsid w:val="00BA43F1"/>
    <w:rsid w:val="00BC2100"/>
    <w:rsid w:val="00BC4CAA"/>
    <w:rsid w:val="00BC50B7"/>
    <w:rsid w:val="00BC5834"/>
    <w:rsid w:val="00BD05A8"/>
    <w:rsid w:val="00BD10C1"/>
    <w:rsid w:val="00BD12FD"/>
    <w:rsid w:val="00BD2189"/>
    <w:rsid w:val="00BD7420"/>
    <w:rsid w:val="00BE41C2"/>
    <w:rsid w:val="00BE5330"/>
    <w:rsid w:val="00BF19B5"/>
    <w:rsid w:val="00BF4D74"/>
    <w:rsid w:val="00C059B2"/>
    <w:rsid w:val="00C05A4F"/>
    <w:rsid w:val="00C07F84"/>
    <w:rsid w:val="00C11ED7"/>
    <w:rsid w:val="00C129F2"/>
    <w:rsid w:val="00C12DE5"/>
    <w:rsid w:val="00C140DD"/>
    <w:rsid w:val="00C200BE"/>
    <w:rsid w:val="00C53033"/>
    <w:rsid w:val="00C543D3"/>
    <w:rsid w:val="00C62D08"/>
    <w:rsid w:val="00C638F6"/>
    <w:rsid w:val="00C66804"/>
    <w:rsid w:val="00C72D38"/>
    <w:rsid w:val="00C73868"/>
    <w:rsid w:val="00C77BC8"/>
    <w:rsid w:val="00C84331"/>
    <w:rsid w:val="00C86113"/>
    <w:rsid w:val="00CA1B82"/>
    <w:rsid w:val="00CB0A78"/>
    <w:rsid w:val="00CB6247"/>
    <w:rsid w:val="00CC3082"/>
    <w:rsid w:val="00CC3721"/>
    <w:rsid w:val="00CC4090"/>
    <w:rsid w:val="00CC4E11"/>
    <w:rsid w:val="00CC5E49"/>
    <w:rsid w:val="00CD49D6"/>
    <w:rsid w:val="00CD552A"/>
    <w:rsid w:val="00D011C1"/>
    <w:rsid w:val="00D03018"/>
    <w:rsid w:val="00D04939"/>
    <w:rsid w:val="00D12355"/>
    <w:rsid w:val="00D21099"/>
    <w:rsid w:val="00D2329D"/>
    <w:rsid w:val="00D32AFC"/>
    <w:rsid w:val="00D41926"/>
    <w:rsid w:val="00D4599F"/>
    <w:rsid w:val="00D702D7"/>
    <w:rsid w:val="00D70E49"/>
    <w:rsid w:val="00D728FF"/>
    <w:rsid w:val="00D73FFB"/>
    <w:rsid w:val="00D81F79"/>
    <w:rsid w:val="00D83680"/>
    <w:rsid w:val="00D843CF"/>
    <w:rsid w:val="00D9554C"/>
    <w:rsid w:val="00DA20F7"/>
    <w:rsid w:val="00DB0A1B"/>
    <w:rsid w:val="00DB1A20"/>
    <w:rsid w:val="00DB5FBD"/>
    <w:rsid w:val="00DB739A"/>
    <w:rsid w:val="00DB7896"/>
    <w:rsid w:val="00DD460C"/>
    <w:rsid w:val="00DE1BD2"/>
    <w:rsid w:val="00DF253F"/>
    <w:rsid w:val="00E00A18"/>
    <w:rsid w:val="00E05A5A"/>
    <w:rsid w:val="00E143BA"/>
    <w:rsid w:val="00E246F5"/>
    <w:rsid w:val="00E34EDE"/>
    <w:rsid w:val="00E40F94"/>
    <w:rsid w:val="00E43C63"/>
    <w:rsid w:val="00E4566D"/>
    <w:rsid w:val="00E52E47"/>
    <w:rsid w:val="00E551A3"/>
    <w:rsid w:val="00E603B7"/>
    <w:rsid w:val="00E60A22"/>
    <w:rsid w:val="00E635BF"/>
    <w:rsid w:val="00E65E48"/>
    <w:rsid w:val="00E74311"/>
    <w:rsid w:val="00E75494"/>
    <w:rsid w:val="00E85F7D"/>
    <w:rsid w:val="00E86FE2"/>
    <w:rsid w:val="00E91CEB"/>
    <w:rsid w:val="00E93561"/>
    <w:rsid w:val="00EA39E2"/>
    <w:rsid w:val="00EA3BEA"/>
    <w:rsid w:val="00EA4B5A"/>
    <w:rsid w:val="00EA4C8F"/>
    <w:rsid w:val="00EB07BC"/>
    <w:rsid w:val="00EB1A5B"/>
    <w:rsid w:val="00EC4D5A"/>
    <w:rsid w:val="00EC5C00"/>
    <w:rsid w:val="00ED181A"/>
    <w:rsid w:val="00ED70B3"/>
    <w:rsid w:val="00ED7D88"/>
    <w:rsid w:val="00EE0BC4"/>
    <w:rsid w:val="00EE51AC"/>
    <w:rsid w:val="00F00494"/>
    <w:rsid w:val="00F00AC0"/>
    <w:rsid w:val="00F11B13"/>
    <w:rsid w:val="00F1725A"/>
    <w:rsid w:val="00F17D8C"/>
    <w:rsid w:val="00F20C07"/>
    <w:rsid w:val="00F24FF5"/>
    <w:rsid w:val="00F274B0"/>
    <w:rsid w:val="00F44D36"/>
    <w:rsid w:val="00F4536C"/>
    <w:rsid w:val="00F508C9"/>
    <w:rsid w:val="00F85018"/>
    <w:rsid w:val="00F961C4"/>
    <w:rsid w:val="00FA0756"/>
    <w:rsid w:val="00FA16DF"/>
    <w:rsid w:val="00FA2709"/>
    <w:rsid w:val="00FB264A"/>
    <w:rsid w:val="00FB3E05"/>
    <w:rsid w:val="00FB4077"/>
    <w:rsid w:val="00FC254E"/>
    <w:rsid w:val="00FC39AA"/>
    <w:rsid w:val="00FC533E"/>
    <w:rsid w:val="00FC6C75"/>
    <w:rsid w:val="00FD40D2"/>
    <w:rsid w:val="00FD59E9"/>
    <w:rsid w:val="00FE1357"/>
    <w:rsid w:val="00FE4E09"/>
    <w:rsid w:val="00FE545C"/>
    <w:rsid w:val="00FE5EF1"/>
    <w:rsid w:val="00FE6A66"/>
    <w:rsid w:val="00FF28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DE952"/>
  <w15:docId w15:val="{2F2EE307-4993-407E-A225-3AF6B33E6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A4F"/>
    <w:pPr>
      <w:shd w:val="clear" w:color="auto" w:fill="FFFFFF"/>
      <w:tabs>
        <w:tab w:val="left" w:pos="1134"/>
      </w:tabs>
      <w:ind w:firstLine="567"/>
      <w:jc w:val="both"/>
    </w:pPr>
    <w:rPr>
      <w:rFonts w:ascii="Palatino Linotype" w:eastAsia="Times New Roman" w:hAnsi="Palatino Linotype" w:cs="Times New Roman"/>
      <w:lang w:eastAsia="tr-TR"/>
    </w:rPr>
  </w:style>
  <w:style w:type="paragraph" w:styleId="Balk1">
    <w:name w:val="heading 1"/>
    <w:basedOn w:val="Normal"/>
    <w:next w:val="Normal"/>
    <w:link w:val="Balk1Char"/>
    <w:uiPriority w:val="9"/>
    <w:qFormat/>
    <w:rsid w:val="004D60B0"/>
    <w:pPr>
      <w:keepNext/>
      <w:keepLines/>
      <w:numPr>
        <w:numId w:val="38"/>
      </w:numPr>
      <w:tabs>
        <w:tab w:val="clear" w:pos="1134"/>
        <w:tab w:val="left" w:pos="709"/>
      </w:tabs>
      <w:spacing w:before="240" w:after="0" w:line="360" w:lineRule="auto"/>
      <w:ind w:left="993" w:hanging="284"/>
      <w:outlineLvl w:val="0"/>
    </w:pPr>
    <w:rPr>
      <w:rFonts w:ascii="Palatino" w:eastAsiaTheme="majorEastAsia" w:hAnsi="Palatino" w:cstheme="majorBidi"/>
      <w:b/>
      <w:bCs/>
      <w:color w:val="000000" w:themeColor="text1"/>
      <w:kern w:val="2"/>
    </w:rPr>
  </w:style>
  <w:style w:type="paragraph" w:styleId="Balk2">
    <w:name w:val="heading 2"/>
    <w:basedOn w:val="Normal"/>
    <w:next w:val="Normal"/>
    <w:link w:val="Balk2Char"/>
    <w:uiPriority w:val="9"/>
    <w:unhideWhenUsed/>
    <w:qFormat/>
    <w:rsid w:val="004D60B0"/>
    <w:pPr>
      <w:keepNext/>
      <w:keepLines/>
      <w:tabs>
        <w:tab w:val="clear" w:pos="1134"/>
        <w:tab w:val="left" w:pos="709"/>
      </w:tabs>
      <w:spacing w:before="40" w:after="0" w:line="360" w:lineRule="auto"/>
      <w:ind w:left="851" w:hanging="142"/>
      <w:outlineLvl w:val="1"/>
    </w:pPr>
    <w:rPr>
      <w:rFonts w:ascii="Palatino" w:eastAsiaTheme="majorEastAsia" w:hAnsi="Palatino" w:cstheme="majorBidi"/>
      <w:b/>
      <w:bCs/>
      <w:color w:val="000000" w:themeColor="text1"/>
    </w:rPr>
  </w:style>
  <w:style w:type="paragraph" w:styleId="Balk3">
    <w:name w:val="heading 3"/>
    <w:basedOn w:val="Normal"/>
    <w:next w:val="Normal"/>
    <w:link w:val="Balk3Char"/>
    <w:uiPriority w:val="9"/>
    <w:unhideWhenUsed/>
    <w:qFormat/>
    <w:rsid w:val="0065557D"/>
    <w:pPr>
      <w:keepNext/>
      <w:keepLines/>
      <w:numPr>
        <w:numId w:val="13"/>
      </w:numPr>
      <w:tabs>
        <w:tab w:val="clear" w:pos="1134"/>
        <w:tab w:val="left" w:pos="709"/>
      </w:tabs>
      <w:spacing w:before="200" w:after="0" w:line="360" w:lineRule="auto"/>
      <w:ind w:hanging="218"/>
      <w:outlineLvl w:val="2"/>
    </w:pPr>
    <w:rPr>
      <w:rFonts w:ascii="Palatino" w:eastAsiaTheme="majorEastAsia" w:hAnsi="Palatino" w:cstheme="majorBidi"/>
      <w:b/>
      <w:bCs/>
      <w:color w:val="000000" w:themeColor="text1"/>
      <w:shd w:val="clear" w:color="auto" w:fill="FFFFFF"/>
    </w:rPr>
  </w:style>
  <w:style w:type="paragraph" w:styleId="Balk4">
    <w:name w:val="heading 4"/>
    <w:basedOn w:val="Normal"/>
    <w:next w:val="Normal"/>
    <w:link w:val="Balk4Char"/>
    <w:uiPriority w:val="9"/>
    <w:unhideWhenUsed/>
    <w:qFormat/>
    <w:rsid w:val="001E09BE"/>
    <w:pPr>
      <w:keepNext/>
      <w:keepLines/>
      <w:numPr>
        <w:numId w:val="40"/>
      </w:numPr>
      <w:tabs>
        <w:tab w:val="clear" w:pos="1134"/>
        <w:tab w:val="left" w:pos="851"/>
      </w:tabs>
      <w:spacing w:before="40" w:after="0" w:line="360" w:lineRule="auto"/>
      <w:ind w:left="851" w:hanging="284"/>
      <w:outlineLvl w:val="3"/>
    </w:pPr>
    <w:rPr>
      <w:rFonts w:ascii="Palatino" w:eastAsiaTheme="majorEastAsia" w:hAnsi="Palatino" w:cstheme="majorBidi"/>
      <w:b/>
      <w:bCs/>
      <w:i/>
      <w:iCs/>
      <w:color w:val="000000" w:themeColor="text1"/>
    </w:rPr>
  </w:style>
  <w:style w:type="paragraph" w:styleId="Balk5">
    <w:name w:val="heading 5"/>
    <w:basedOn w:val="Normal"/>
    <w:next w:val="Normal"/>
    <w:link w:val="Balk5Char"/>
    <w:uiPriority w:val="9"/>
    <w:unhideWhenUsed/>
    <w:qFormat/>
    <w:rsid w:val="00E52E47"/>
    <w:pPr>
      <w:shd w:val="clear" w:color="auto" w:fill="auto"/>
      <w:tabs>
        <w:tab w:val="clear" w:pos="1134"/>
      </w:tabs>
      <w:spacing w:before="200" w:after="120" w:line="240" w:lineRule="auto"/>
      <w:ind w:firstLine="0"/>
      <w:jc w:val="left"/>
      <w:outlineLvl w:val="4"/>
    </w:pPr>
    <w:rPr>
      <w:rFonts w:ascii="Times New Roman" w:hAnsi="Times New Roman"/>
      <w:b/>
      <w:color w:val="808080"/>
      <w:lang w:val="tr" w:eastAsia="fr-CH"/>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aliases w:val="Dipnot Metni Char Char Char Char,Dipnot Metni Char Char Char"/>
    <w:basedOn w:val="Normal"/>
    <w:link w:val="DipnotMetniChar"/>
    <w:uiPriority w:val="99"/>
    <w:unhideWhenUsed/>
    <w:rsid w:val="005C2AB5"/>
    <w:pPr>
      <w:spacing w:after="0" w:line="240" w:lineRule="auto"/>
    </w:pPr>
    <w:rPr>
      <w:sz w:val="20"/>
      <w:szCs w:val="20"/>
    </w:rPr>
  </w:style>
  <w:style w:type="character" w:customStyle="1" w:styleId="DipnotMetniChar">
    <w:name w:val="Dipnot Metni Char"/>
    <w:aliases w:val="Dipnot Metni Char Char Char Char Char,Dipnot Metni Char Char Char Char1"/>
    <w:basedOn w:val="VarsaylanParagrafYazTipi"/>
    <w:link w:val="DipnotMetni"/>
    <w:uiPriority w:val="99"/>
    <w:rsid w:val="005C2AB5"/>
    <w:rPr>
      <w:sz w:val="20"/>
      <w:szCs w:val="20"/>
    </w:rPr>
  </w:style>
  <w:style w:type="character" w:styleId="DipnotBavurusu">
    <w:name w:val="footnote reference"/>
    <w:aliases w:val="4_G,Footnotes refss,Appel note de bas de p.,Footnote text,ftref"/>
    <w:basedOn w:val="VarsaylanParagrafYazTipi"/>
    <w:uiPriority w:val="99"/>
    <w:unhideWhenUsed/>
    <w:qFormat/>
    <w:rsid w:val="005C2AB5"/>
    <w:rPr>
      <w:vertAlign w:val="superscript"/>
    </w:rPr>
  </w:style>
  <w:style w:type="character" w:customStyle="1" w:styleId="sbb9ee52a">
    <w:name w:val="sbb9ee52a"/>
    <w:basedOn w:val="VarsaylanParagrafYazTipi"/>
    <w:rsid w:val="005C2AB5"/>
  </w:style>
  <w:style w:type="character" w:styleId="Gl">
    <w:name w:val="Strong"/>
    <w:basedOn w:val="VarsaylanParagrafYazTipi"/>
    <w:uiPriority w:val="22"/>
    <w:qFormat/>
    <w:rsid w:val="00632013"/>
    <w:rPr>
      <w:b/>
      <w:bCs/>
    </w:rPr>
  </w:style>
  <w:style w:type="paragraph" w:styleId="NormalWeb">
    <w:name w:val="Normal (Web)"/>
    <w:basedOn w:val="Normal"/>
    <w:uiPriority w:val="99"/>
    <w:unhideWhenUsed/>
    <w:rsid w:val="00B746BD"/>
    <w:pPr>
      <w:spacing w:before="100" w:beforeAutospacing="1" w:after="100" w:afterAutospacing="1" w:line="240" w:lineRule="auto"/>
    </w:pPr>
    <w:rPr>
      <w:rFonts w:ascii="Times New Roman" w:hAnsi="Times New Roman"/>
      <w:sz w:val="24"/>
      <w:szCs w:val="24"/>
    </w:rPr>
  </w:style>
  <w:style w:type="paragraph" w:styleId="ListeParagraf">
    <w:name w:val="List Paragraph"/>
    <w:basedOn w:val="Normal"/>
    <w:uiPriority w:val="34"/>
    <w:qFormat/>
    <w:rsid w:val="00B746BD"/>
    <w:pPr>
      <w:ind w:left="720"/>
      <w:contextualSpacing/>
    </w:pPr>
    <w:rPr>
      <w:kern w:val="2"/>
    </w:rPr>
  </w:style>
  <w:style w:type="paragraph" w:customStyle="1" w:styleId="DIPSON">
    <w:name w:val="DIP SON"/>
    <w:basedOn w:val="Normal"/>
    <w:uiPriority w:val="99"/>
    <w:rsid w:val="00CC4E11"/>
    <w:pPr>
      <w:keepLines/>
      <w:autoSpaceDE w:val="0"/>
      <w:autoSpaceDN w:val="0"/>
      <w:adjustRightInd w:val="0"/>
      <w:spacing w:after="0" w:line="288" w:lineRule="auto"/>
      <w:ind w:left="283" w:hanging="283"/>
      <w:textAlignment w:val="center"/>
    </w:pPr>
    <w:rPr>
      <w:rFonts w:cs="Palatino Linotype"/>
      <w:color w:val="000000"/>
      <w:sz w:val="16"/>
      <w:szCs w:val="16"/>
    </w:rPr>
  </w:style>
  <w:style w:type="character" w:customStyle="1" w:styleId="Balk3Char">
    <w:name w:val="Başlık 3 Char"/>
    <w:basedOn w:val="VarsaylanParagrafYazTipi"/>
    <w:link w:val="Balk3"/>
    <w:uiPriority w:val="9"/>
    <w:rsid w:val="0065557D"/>
    <w:rPr>
      <w:rFonts w:ascii="Palatino" w:eastAsiaTheme="majorEastAsia" w:hAnsi="Palatino" w:cstheme="majorBidi"/>
      <w:b/>
      <w:bCs/>
      <w:color w:val="000000" w:themeColor="text1"/>
      <w:shd w:val="clear" w:color="auto" w:fill="FFFFFF"/>
      <w:lang w:eastAsia="tr-TR"/>
    </w:rPr>
  </w:style>
  <w:style w:type="character" w:customStyle="1" w:styleId="Balk4Char">
    <w:name w:val="Başlık 4 Char"/>
    <w:basedOn w:val="VarsaylanParagrafYazTipi"/>
    <w:link w:val="Balk4"/>
    <w:uiPriority w:val="9"/>
    <w:rsid w:val="001E09BE"/>
    <w:rPr>
      <w:rFonts w:ascii="Palatino" w:eastAsiaTheme="majorEastAsia" w:hAnsi="Palatino" w:cstheme="majorBidi"/>
      <w:b/>
      <w:bCs/>
      <w:i/>
      <w:iCs/>
      <w:color w:val="000000" w:themeColor="text1"/>
      <w:shd w:val="clear" w:color="auto" w:fill="FFFFFF"/>
      <w:lang w:eastAsia="tr-TR"/>
    </w:rPr>
  </w:style>
  <w:style w:type="character" w:styleId="Kpr">
    <w:name w:val="Hyperlink"/>
    <w:basedOn w:val="VarsaylanParagrafYazTipi"/>
    <w:uiPriority w:val="99"/>
    <w:unhideWhenUsed/>
    <w:rsid w:val="003900C2"/>
    <w:rPr>
      <w:color w:val="0563C1" w:themeColor="hyperlink"/>
      <w:u w:val="single"/>
    </w:rPr>
  </w:style>
  <w:style w:type="character" w:customStyle="1" w:styleId="r-b88u0q">
    <w:name w:val="r-b88u0q"/>
    <w:basedOn w:val="VarsaylanParagrafYazTipi"/>
    <w:rsid w:val="003E7C30"/>
  </w:style>
  <w:style w:type="character" w:customStyle="1" w:styleId="r-36ujnk">
    <w:name w:val="r-36ujnk"/>
    <w:basedOn w:val="VarsaylanParagrafYazTipi"/>
    <w:rsid w:val="003E7C30"/>
  </w:style>
  <w:style w:type="paragraph" w:styleId="stBilgi">
    <w:name w:val="header"/>
    <w:basedOn w:val="Normal"/>
    <w:link w:val="stBilgiChar"/>
    <w:uiPriority w:val="99"/>
    <w:unhideWhenUsed/>
    <w:rsid w:val="002C2A4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C2A40"/>
  </w:style>
  <w:style w:type="paragraph" w:styleId="AltBilgi">
    <w:name w:val="footer"/>
    <w:basedOn w:val="Normal"/>
    <w:link w:val="AltBilgiChar"/>
    <w:uiPriority w:val="99"/>
    <w:unhideWhenUsed/>
    <w:rsid w:val="002C2A4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C2A40"/>
  </w:style>
  <w:style w:type="character" w:customStyle="1" w:styleId="Balk2Char">
    <w:name w:val="Başlık 2 Char"/>
    <w:basedOn w:val="VarsaylanParagrafYazTipi"/>
    <w:link w:val="Balk2"/>
    <w:uiPriority w:val="9"/>
    <w:rsid w:val="004D60B0"/>
    <w:rPr>
      <w:rFonts w:ascii="Palatino" w:eastAsiaTheme="majorEastAsia" w:hAnsi="Palatino" w:cstheme="majorBidi"/>
      <w:b/>
      <w:bCs/>
      <w:color w:val="000000" w:themeColor="text1"/>
      <w:shd w:val="clear" w:color="auto" w:fill="FFFFFF"/>
      <w:lang w:eastAsia="tr-TR"/>
    </w:rPr>
  </w:style>
  <w:style w:type="character" w:customStyle="1" w:styleId="Balk1Char">
    <w:name w:val="Başlık 1 Char"/>
    <w:basedOn w:val="VarsaylanParagrafYazTipi"/>
    <w:link w:val="Balk1"/>
    <w:uiPriority w:val="9"/>
    <w:rsid w:val="004D60B0"/>
    <w:rPr>
      <w:rFonts w:ascii="Palatino" w:eastAsiaTheme="majorEastAsia" w:hAnsi="Palatino" w:cstheme="majorBidi"/>
      <w:b/>
      <w:bCs/>
      <w:color w:val="000000" w:themeColor="text1"/>
      <w:kern w:val="2"/>
      <w:shd w:val="clear" w:color="auto" w:fill="FFFFFF"/>
      <w:lang w:eastAsia="tr-TR"/>
    </w:rPr>
  </w:style>
  <w:style w:type="character" w:styleId="Vurgu">
    <w:name w:val="Emphasis"/>
    <w:basedOn w:val="VarsaylanParagrafYazTipi"/>
    <w:uiPriority w:val="20"/>
    <w:qFormat/>
    <w:rsid w:val="00BD12FD"/>
    <w:rPr>
      <w:i/>
      <w:iCs/>
    </w:rPr>
  </w:style>
  <w:style w:type="character" w:styleId="zmlenmeyenBahsetme">
    <w:name w:val="Unresolved Mention"/>
    <w:basedOn w:val="VarsaylanParagrafYazTipi"/>
    <w:uiPriority w:val="99"/>
    <w:semiHidden/>
    <w:unhideWhenUsed/>
    <w:rsid w:val="00F11B13"/>
    <w:rPr>
      <w:color w:val="605E5C"/>
      <w:shd w:val="clear" w:color="auto" w:fill="E1DFDD"/>
    </w:rPr>
  </w:style>
  <w:style w:type="paragraph" w:customStyle="1" w:styleId="bbc-hhl7in">
    <w:name w:val="bbc-hhl7in"/>
    <w:basedOn w:val="Normal"/>
    <w:rsid w:val="00192009"/>
    <w:pPr>
      <w:spacing w:before="100" w:beforeAutospacing="1" w:after="100" w:afterAutospacing="1" w:line="240" w:lineRule="auto"/>
    </w:pPr>
    <w:rPr>
      <w:rFonts w:ascii="Times New Roman" w:hAnsi="Times New Roman"/>
      <w:sz w:val="24"/>
      <w:szCs w:val="24"/>
    </w:rPr>
  </w:style>
  <w:style w:type="character" w:styleId="HafifVurgulama">
    <w:name w:val="Subtle Emphasis"/>
    <w:basedOn w:val="VarsaylanParagrafYazTipi"/>
    <w:uiPriority w:val="19"/>
    <w:qFormat/>
    <w:rsid w:val="00371567"/>
    <w:rPr>
      <w:i/>
      <w:iCs/>
      <w:color w:val="808080" w:themeColor="text1" w:themeTint="7F"/>
    </w:rPr>
  </w:style>
  <w:style w:type="character" w:customStyle="1" w:styleId="DipnotKarakterleri">
    <w:name w:val="Dipnot Karakterleri"/>
    <w:rsid w:val="001E1535"/>
  </w:style>
  <w:style w:type="character" w:customStyle="1" w:styleId="DipnotBavurusu1">
    <w:name w:val="Dipnot Başvurusu1"/>
    <w:rsid w:val="001E1535"/>
    <w:rPr>
      <w:vertAlign w:val="superscript"/>
    </w:rPr>
  </w:style>
  <w:style w:type="character" w:customStyle="1" w:styleId="spelle">
    <w:name w:val="spelle"/>
    <w:basedOn w:val="VarsaylanParagrafYazTipi"/>
    <w:rsid w:val="0078170D"/>
  </w:style>
  <w:style w:type="table" w:styleId="TabloKlavuzu">
    <w:name w:val="Table Grid"/>
    <w:basedOn w:val="NormalTablo"/>
    <w:uiPriority w:val="39"/>
    <w:rsid w:val="00976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976675"/>
    <w:pPr>
      <w:spacing w:after="0" w:line="240" w:lineRule="auto"/>
    </w:pPr>
  </w:style>
  <w:style w:type="character" w:styleId="zlenenKpr">
    <w:name w:val="FollowedHyperlink"/>
    <w:basedOn w:val="VarsaylanParagrafYazTipi"/>
    <w:uiPriority w:val="99"/>
    <w:semiHidden/>
    <w:unhideWhenUsed/>
    <w:rsid w:val="00924A2D"/>
    <w:rPr>
      <w:color w:val="954F72" w:themeColor="followedHyperlink"/>
      <w:u w:val="single"/>
    </w:rPr>
  </w:style>
  <w:style w:type="character" w:styleId="SayfaNumaras">
    <w:name w:val="page number"/>
    <w:basedOn w:val="VarsaylanParagrafYazTipi"/>
    <w:uiPriority w:val="99"/>
    <w:semiHidden/>
    <w:unhideWhenUsed/>
    <w:rsid w:val="00924A2D"/>
  </w:style>
  <w:style w:type="character" w:customStyle="1" w:styleId="zmlenmeyenBahsetme1">
    <w:name w:val="Çözümlenmeyen Bahsetme1"/>
    <w:basedOn w:val="VarsaylanParagrafYazTipi"/>
    <w:uiPriority w:val="99"/>
    <w:semiHidden/>
    <w:unhideWhenUsed/>
    <w:rsid w:val="00924A2D"/>
    <w:rPr>
      <w:color w:val="605E5C"/>
      <w:shd w:val="clear" w:color="auto" w:fill="E1DFDD"/>
    </w:rPr>
  </w:style>
  <w:style w:type="character" w:customStyle="1" w:styleId="AralkYokChar">
    <w:name w:val="Aralık Yok Char"/>
    <w:basedOn w:val="VarsaylanParagrafYazTipi"/>
    <w:link w:val="AralkYok"/>
    <w:uiPriority w:val="1"/>
    <w:rsid w:val="00FC6C75"/>
  </w:style>
  <w:style w:type="paragraph" w:styleId="T3">
    <w:name w:val="toc 3"/>
    <w:basedOn w:val="Normal"/>
    <w:next w:val="Normal"/>
    <w:autoRedefine/>
    <w:uiPriority w:val="39"/>
    <w:unhideWhenUsed/>
    <w:rsid w:val="00BA162B"/>
    <w:pPr>
      <w:tabs>
        <w:tab w:val="clear" w:pos="1134"/>
      </w:tabs>
      <w:spacing w:after="0"/>
      <w:ind w:left="440"/>
      <w:jc w:val="left"/>
    </w:pPr>
    <w:rPr>
      <w:rFonts w:asciiTheme="minorHAnsi" w:hAnsiTheme="minorHAnsi" w:cstheme="minorHAnsi"/>
      <w:sz w:val="20"/>
      <w:szCs w:val="20"/>
    </w:rPr>
  </w:style>
  <w:style w:type="paragraph" w:styleId="TBal">
    <w:name w:val="TOC Heading"/>
    <w:basedOn w:val="Balk1"/>
    <w:next w:val="Normal"/>
    <w:uiPriority w:val="39"/>
    <w:unhideWhenUsed/>
    <w:qFormat/>
    <w:rsid w:val="00C05A4F"/>
    <w:pPr>
      <w:spacing w:before="480" w:line="276" w:lineRule="auto"/>
      <w:ind w:left="0"/>
      <w:jc w:val="left"/>
      <w:outlineLvl w:val="9"/>
    </w:pPr>
    <w:rPr>
      <w:rFonts w:asciiTheme="majorHAnsi" w:hAnsiTheme="majorHAnsi"/>
      <w:color w:val="2E74B5" w:themeColor="accent1" w:themeShade="BF"/>
      <w:kern w:val="0"/>
      <w:sz w:val="28"/>
      <w:szCs w:val="28"/>
    </w:rPr>
  </w:style>
  <w:style w:type="paragraph" w:styleId="T2">
    <w:name w:val="toc 2"/>
    <w:basedOn w:val="Normal"/>
    <w:next w:val="Normal"/>
    <w:autoRedefine/>
    <w:uiPriority w:val="39"/>
    <w:unhideWhenUsed/>
    <w:rsid w:val="00136478"/>
    <w:pPr>
      <w:tabs>
        <w:tab w:val="clear" w:pos="1134"/>
      </w:tabs>
      <w:spacing w:before="120" w:after="0"/>
      <w:ind w:left="220"/>
      <w:jc w:val="left"/>
    </w:pPr>
    <w:rPr>
      <w:rFonts w:asciiTheme="minorHAnsi" w:hAnsiTheme="minorHAnsi" w:cstheme="minorHAnsi"/>
      <w:b/>
      <w:bCs/>
    </w:rPr>
  </w:style>
  <w:style w:type="paragraph" w:styleId="T1">
    <w:name w:val="toc 1"/>
    <w:basedOn w:val="Normal"/>
    <w:next w:val="Normal"/>
    <w:autoRedefine/>
    <w:uiPriority w:val="39"/>
    <w:unhideWhenUsed/>
    <w:rsid w:val="00BA162B"/>
    <w:pPr>
      <w:tabs>
        <w:tab w:val="clear" w:pos="1134"/>
      </w:tabs>
      <w:spacing w:before="120" w:after="0"/>
      <w:jc w:val="left"/>
    </w:pPr>
    <w:rPr>
      <w:rFonts w:asciiTheme="minorHAnsi" w:hAnsiTheme="minorHAnsi" w:cstheme="minorHAnsi"/>
      <w:b/>
      <w:bCs/>
      <w:i/>
      <w:iCs/>
      <w:sz w:val="24"/>
      <w:szCs w:val="24"/>
    </w:rPr>
  </w:style>
  <w:style w:type="paragraph" w:styleId="T4">
    <w:name w:val="toc 4"/>
    <w:basedOn w:val="Normal"/>
    <w:next w:val="Normal"/>
    <w:autoRedefine/>
    <w:uiPriority w:val="39"/>
    <w:unhideWhenUsed/>
    <w:rsid w:val="00733EA9"/>
    <w:pPr>
      <w:tabs>
        <w:tab w:val="clear" w:pos="1134"/>
      </w:tabs>
      <w:spacing w:after="0"/>
      <w:ind w:left="660"/>
      <w:jc w:val="left"/>
    </w:pPr>
    <w:rPr>
      <w:rFonts w:asciiTheme="minorHAnsi" w:hAnsiTheme="minorHAnsi" w:cstheme="minorHAnsi"/>
      <w:sz w:val="20"/>
      <w:szCs w:val="20"/>
    </w:rPr>
  </w:style>
  <w:style w:type="paragraph" w:styleId="T5">
    <w:name w:val="toc 5"/>
    <w:basedOn w:val="Normal"/>
    <w:next w:val="Normal"/>
    <w:autoRedefine/>
    <w:uiPriority w:val="39"/>
    <w:unhideWhenUsed/>
    <w:rsid w:val="00C05A4F"/>
    <w:pPr>
      <w:tabs>
        <w:tab w:val="clear" w:pos="1134"/>
      </w:tabs>
      <w:spacing w:after="0"/>
      <w:ind w:left="880"/>
      <w:jc w:val="left"/>
    </w:pPr>
    <w:rPr>
      <w:rFonts w:asciiTheme="minorHAnsi" w:hAnsiTheme="minorHAnsi" w:cstheme="minorHAnsi"/>
      <w:sz w:val="20"/>
      <w:szCs w:val="20"/>
    </w:rPr>
  </w:style>
  <w:style w:type="paragraph" w:styleId="T6">
    <w:name w:val="toc 6"/>
    <w:basedOn w:val="Normal"/>
    <w:next w:val="Normal"/>
    <w:autoRedefine/>
    <w:uiPriority w:val="39"/>
    <w:unhideWhenUsed/>
    <w:rsid w:val="00C05A4F"/>
    <w:pPr>
      <w:tabs>
        <w:tab w:val="clear" w:pos="1134"/>
      </w:tabs>
      <w:spacing w:after="0"/>
      <w:ind w:left="1100"/>
      <w:jc w:val="left"/>
    </w:pPr>
    <w:rPr>
      <w:rFonts w:asciiTheme="minorHAnsi" w:hAnsiTheme="minorHAnsi" w:cstheme="minorHAnsi"/>
      <w:sz w:val="20"/>
      <w:szCs w:val="20"/>
    </w:rPr>
  </w:style>
  <w:style w:type="paragraph" w:styleId="T7">
    <w:name w:val="toc 7"/>
    <w:basedOn w:val="Normal"/>
    <w:next w:val="Normal"/>
    <w:autoRedefine/>
    <w:uiPriority w:val="39"/>
    <w:unhideWhenUsed/>
    <w:rsid w:val="00C05A4F"/>
    <w:pPr>
      <w:tabs>
        <w:tab w:val="clear" w:pos="1134"/>
      </w:tabs>
      <w:spacing w:after="0"/>
      <w:ind w:left="1320"/>
      <w:jc w:val="left"/>
    </w:pPr>
    <w:rPr>
      <w:rFonts w:asciiTheme="minorHAnsi" w:hAnsiTheme="minorHAnsi" w:cstheme="minorHAnsi"/>
      <w:sz w:val="20"/>
      <w:szCs w:val="20"/>
    </w:rPr>
  </w:style>
  <w:style w:type="paragraph" w:styleId="T8">
    <w:name w:val="toc 8"/>
    <w:basedOn w:val="Normal"/>
    <w:next w:val="Normal"/>
    <w:autoRedefine/>
    <w:uiPriority w:val="39"/>
    <w:unhideWhenUsed/>
    <w:rsid w:val="00C05A4F"/>
    <w:pPr>
      <w:tabs>
        <w:tab w:val="clear" w:pos="1134"/>
      </w:tabs>
      <w:spacing w:after="0"/>
      <w:ind w:left="1540"/>
      <w:jc w:val="left"/>
    </w:pPr>
    <w:rPr>
      <w:rFonts w:asciiTheme="minorHAnsi" w:hAnsiTheme="minorHAnsi" w:cstheme="minorHAnsi"/>
      <w:sz w:val="20"/>
      <w:szCs w:val="20"/>
    </w:rPr>
  </w:style>
  <w:style w:type="paragraph" w:styleId="T9">
    <w:name w:val="toc 9"/>
    <w:basedOn w:val="Normal"/>
    <w:next w:val="Normal"/>
    <w:autoRedefine/>
    <w:uiPriority w:val="39"/>
    <w:unhideWhenUsed/>
    <w:rsid w:val="00C05A4F"/>
    <w:pPr>
      <w:tabs>
        <w:tab w:val="clear" w:pos="1134"/>
      </w:tabs>
      <w:spacing w:after="0"/>
      <w:ind w:left="1760"/>
      <w:jc w:val="left"/>
    </w:pPr>
    <w:rPr>
      <w:rFonts w:asciiTheme="minorHAnsi" w:hAnsiTheme="minorHAnsi" w:cstheme="minorHAnsi"/>
      <w:sz w:val="20"/>
      <w:szCs w:val="20"/>
    </w:rPr>
  </w:style>
  <w:style w:type="character" w:customStyle="1" w:styleId="Balk5Char">
    <w:name w:val="Başlık 5 Char"/>
    <w:basedOn w:val="VarsaylanParagrafYazTipi"/>
    <w:link w:val="Balk5"/>
    <w:uiPriority w:val="9"/>
    <w:rsid w:val="00E52E47"/>
    <w:rPr>
      <w:rFonts w:ascii="Times New Roman" w:eastAsia="Times New Roman" w:hAnsi="Times New Roman" w:cs="Times New Roman"/>
      <w:b/>
      <w:color w:val="808080"/>
      <w:lang w:val="tr" w:eastAsia="fr-CH"/>
    </w:rPr>
  </w:style>
  <w:style w:type="paragraph" w:customStyle="1" w:styleId="JuPara">
    <w:name w:val="Ju_Para"/>
    <w:aliases w:val="ECHR_Para,_Para"/>
    <w:basedOn w:val="Normal"/>
    <w:link w:val="JuParaChar"/>
    <w:uiPriority w:val="4"/>
    <w:qFormat/>
    <w:rsid w:val="00E52E47"/>
    <w:pPr>
      <w:shd w:val="clear" w:color="auto" w:fill="auto"/>
      <w:tabs>
        <w:tab w:val="clear" w:pos="1134"/>
      </w:tabs>
      <w:spacing w:after="0" w:line="360" w:lineRule="auto"/>
      <w:ind w:firstLine="284"/>
    </w:pPr>
    <w:rPr>
      <w:rFonts w:asciiTheme="minorHAnsi" w:eastAsiaTheme="minorHAnsi" w:hAnsiTheme="minorHAnsi" w:cstheme="minorBidi"/>
      <w:sz w:val="24"/>
      <w:szCs w:val="24"/>
      <w:lang w:val="en-GB" w:eastAsia="en-US"/>
      <w14:ligatures w14:val="standardContextual"/>
    </w:rPr>
  </w:style>
  <w:style w:type="character" w:customStyle="1" w:styleId="JuParaChar">
    <w:name w:val="Ju_Para Char"/>
    <w:aliases w:val="ECHR_Para Char,_Para Char"/>
    <w:link w:val="JuPara"/>
    <w:uiPriority w:val="4"/>
    <w:qFormat/>
    <w:rsid w:val="00E52E47"/>
    <w:rPr>
      <w:sz w:val="24"/>
      <w:szCs w:val="24"/>
      <w:lang w:val="en-GB"/>
      <w14:ligatures w14:val="standardContextual"/>
    </w:rPr>
  </w:style>
  <w:style w:type="paragraph" w:styleId="BalonMetni">
    <w:name w:val="Balloon Text"/>
    <w:basedOn w:val="Normal"/>
    <w:link w:val="BalonMetniChar"/>
    <w:uiPriority w:val="98"/>
    <w:semiHidden/>
    <w:rsid w:val="00E52E47"/>
    <w:pPr>
      <w:shd w:val="clear" w:color="auto" w:fill="auto"/>
      <w:tabs>
        <w:tab w:val="clear" w:pos="1134"/>
      </w:tabs>
      <w:spacing w:after="0" w:line="360" w:lineRule="auto"/>
      <w:ind w:firstLine="0"/>
      <w:jc w:val="left"/>
    </w:pPr>
    <w:rPr>
      <w:rFonts w:ascii="Tahoma" w:eastAsiaTheme="minorHAnsi" w:hAnsi="Tahoma" w:cs="Tahoma"/>
      <w:sz w:val="16"/>
      <w:szCs w:val="16"/>
      <w:lang w:val="en-GB" w:eastAsia="en-US"/>
      <w14:ligatures w14:val="standardContextual"/>
    </w:rPr>
  </w:style>
  <w:style w:type="character" w:customStyle="1" w:styleId="BalonMetniChar">
    <w:name w:val="Balon Metni Char"/>
    <w:basedOn w:val="VarsaylanParagrafYazTipi"/>
    <w:link w:val="BalonMetni"/>
    <w:uiPriority w:val="98"/>
    <w:semiHidden/>
    <w:rsid w:val="00E52E47"/>
    <w:rPr>
      <w:rFonts w:ascii="Tahoma" w:hAnsi="Tahoma" w:cs="Tahoma"/>
      <w:sz w:val="16"/>
      <w:szCs w:val="16"/>
      <w:lang w:val="en-GB"/>
      <w14:ligatures w14:val="standardContextual"/>
    </w:rPr>
  </w:style>
  <w:style w:type="paragraph" w:customStyle="1" w:styleId="JuQuot">
    <w:name w:val="Ju_Quot"/>
    <w:aliases w:val="_Quote"/>
    <w:basedOn w:val="Normal"/>
    <w:link w:val="JuQuotChar"/>
    <w:uiPriority w:val="20"/>
    <w:qFormat/>
    <w:rsid w:val="00E52E47"/>
    <w:pPr>
      <w:shd w:val="clear" w:color="auto" w:fill="auto"/>
      <w:tabs>
        <w:tab w:val="clear" w:pos="1134"/>
      </w:tabs>
      <w:spacing w:before="120" w:after="120" w:line="360" w:lineRule="auto"/>
      <w:ind w:left="425" w:firstLine="142"/>
    </w:pPr>
    <w:rPr>
      <w:rFonts w:asciiTheme="minorHAnsi" w:eastAsiaTheme="minorHAnsi" w:hAnsiTheme="minorHAnsi" w:cstheme="minorBidi"/>
      <w:sz w:val="20"/>
      <w:szCs w:val="24"/>
      <w:lang w:val="en-GB" w:eastAsia="en-US"/>
      <w14:ligatures w14:val="standardContextual"/>
    </w:rPr>
  </w:style>
  <w:style w:type="character" w:customStyle="1" w:styleId="JuQuotChar">
    <w:name w:val="Ju_Quot Char"/>
    <w:basedOn w:val="VarsaylanParagrafYazTipi"/>
    <w:link w:val="JuQuot"/>
    <w:uiPriority w:val="20"/>
    <w:rsid w:val="00E52E47"/>
    <w:rPr>
      <w:sz w:val="20"/>
      <w:szCs w:val="24"/>
      <w:lang w:val="en-GB"/>
      <w14:ligatures w14:val="standardContextual"/>
    </w:rPr>
  </w:style>
  <w:style w:type="paragraph" w:styleId="Dzeltme">
    <w:name w:val="Revision"/>
    <w:hidden/>
    <w:uiPriority w:val="99"/>
    <w:semiHidden/>
    <w:rsid w:val="00E52E47"/>
    <w:pPr>
      <w:spacing w:after="0" w:line="240" w:lineRule="auto"/>
    </w:pPr>
    <w:rPr>
      <w:kern w:val="2"/>
      <w14:ligatures w14:val="standardContextual"/>
    </w:rPr>
  </w:style>
  <w:style w:type="paragraph" w:customStyle="1" w:styleId="Default">
    <w:name w:val="Default"/>
    <w:rsid w:val="00E52E47"/>
    <w:pPr>
      <w:autoSpaceDE w:val="0"/>
      <w:autoSpaceDN w:val="0"/>
      <w:adjustRightInd w:val="0"/>
      <w:spacing w:after="0" w:line="240" w:lineRule="auto"/>
    </w:pPr>
    <w:rPr>
      <w:rFonts w:ascii="Times New Roman" w:eastAsia="SimSun" w:hAnsi="Times New Roman" w:cs="Times New Roman"/>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26493">
      <w:bodyDiv w:val="1"/>
      <w:marLeft w:val="0"/>
      <w:marRight w:val="0"/>
      <w:marTop w:val="0"/>
      <w:marBottom w:val="0"/>
      <w:divBdr>
        <w:top w:val="none" w:sz="0" w:space="0" w:color="auto"/>
        <w:left w:val="none" w:sz="0" w:space="0" w:color="auto"/>
        <w:bottom w:val="none" w:sz="0" w:space="0" w:color="auto"/>
        <w:right w:val="none" w:sz="0" w:space="0" w:color="auto"/>
      </w:divBdr>
    </w:div>
    <w:div w:id="208536966">
      <w:bodyDiv w:val="1"/>
      <w:marLeft w:val="0"/>
      <w:marRight w:val="0"/>
      <w:marTop w:val="0"/>
      <w:marBottom w:val="0"/>
      <w:divBdr>
        <w:top w:val="none" w:sz="0" w:space="0" w:color="auto"/>
        <w:left w:val="none" w:sz="0" w:space="0" w:color="auto"/>
        <w:bottom w:val="none" w:sz="0" w:space="0" w:color="auto"/>
        <w:right w:val="none" w:sz="0" w:space="0" w:color="auto"/>
      </w:divBdr>
    </w:div>
    <w:div w:id="237633949">
      <w:bodyDiv w:val="1"/>
      <w:marLeft w:val="0"/>
      <w:marRight w:val="0"/>
      <w:marTop w:val="0"/>
      <w:marBottom w:val="0"/>
      <w:divBdr>
        <w:top w:val="none" w:sz="0" w:space="0" w:color="auto"/>
        <w:left w:val="none" w:sz="0" w:space="0" w:color="auto"/>
        <w:bottom w:val="none" w:sz="0" w:space="0" w:color="auto"/>
        <w:right w:val="none" w:sz="0" w:space="0" w:color="auto"/>
      </w:divBdr>
    </w:div>
    <w:div w:id="265188910">
      <w:bodyDiv w:val="1"/>
      <w:marLeft w:val="0"/>
      <w:marRight w:val="0"/>
      <w:marTop w:val="0"/>
      <w:marBottom w:val="0"/>
      <w:divBdr>
        <w:top w:val="none" w:sz="0" w:space="0" w:color="auto"/>
        <w:left w:val="none" w:sz="0" w:space="0" w:color="auto"/>
        <w:bottom w:val="none" w:sz="0" w:space="0" w:color="auto"/>
        <w:right w:val="none" w:sz="0" w:space="0" w:color="auto"/>
      </w:divBdr>
      <w:divsChild>
        <w:div w:id="574512188">
          <w:marLeft w:val="0"/>
          <w:marRight w:val="0"/>
          <w:marTop w:val="0"/>
          <w:marBottom w:val="0"/>
          <w:divBdr>
            <w:top w:val="none" w:sz="0" w:space="0" w:color="auto"/>
            <w:left w:val="none" w:sz="0" w:space="0" w:color="auto"/>
            <w:bottom w:val="none" w:sz="0" w:space="0" w:color="auto"/>
            <w:right w:val="none" w:sz="0" w:space="0" w:color="auto"/>
          </w:divBdr>
        </w:div>
        <w:div w:id="717826265">
          <w:marLeft w:val="0"/>
          <w:marRight w:val="0"/>
          <w:marTop w:val="0"/>
          <w:marBottom w:val="0"/>
          <w:divBdr>
            <w:top w:val="none" w:sz="0" w:space="0" w:color="auto"/>
            <w:left w:val="none" w:sz="0" w:space="0" w:color="auto"/>
            <w:bottom w:val="none" w:sz="0" w:space="0" w:color="auto"/>
            <w:right w:val="none" w:sz="0" w:space="0" w:color="auto"/>
          </w:divBdr>
        </w:div>
      </w:divsChild>
    </w:div>
    <w:div w:id="466243916">
      <w:bodyDiv w:val="1"/>
      <w:marLeft w:val="0"/>
      <w:marRight w:val="0"/>
      <w:marTop w:val="0"/>
      <w:marBottom w:val="0"/>
      <w:divBdr>
        <w:top w:val="none" w:sz="0" w:space="0" w:color="auto"/>
        <w:left w:val="none" w:sz="0" w:space="0" w:color="auto"/>
        <w:bottom w:val="none" w:sz="0" w:space="0" w:color="auto"/>
        <w:right w:val="none" w:sz="0" w:space="0" w:color="auto"/>
      </w:divBdr>
    </w:div>
    <w:div w:id="567149264">
      <w:bodyDiv w:val="1"/>
      <w:marLeft w:val="0"/>
      <w:marRight w:val="0"/>
      <w:marTop w:val="0"/>
      <w:marBottom w:val="0"/>
      <w:divBdr>
        <w:top w:val="none" w:sz="0" w:space="0" w:color="auto"/>
        <w:left w:val="none" w:sz="0" w:space="0" w:color="auto"/>
        <w:bottom w:val="none" w:sz="0" w:space="0" w:color="auto"/>
        <w:right w:val="none" w:sz="0" w:space="0" w:color="auto"/>
      </w:divBdr>
    </w:div>
    <w:div w:id="1334988385">
      <w:bodyDiv w:val="1"/>
      <w:marLeft w:val="0"/>
      <w:marRight w:val="0"/>
      <w:marTop w:val="0"/>
      <w:marBottom w:val="0"/>
      <w:divBdr>
        <w:top w:val="none" w:sz="0" w:space="0" w:color="auto"/>
        <w:left w:val="none" w:sz="0" w:space="0" w:color="auto"/>
        <w:bottom w:val="none" w:sz="0" w:space="0" w:color="auto"/>
        <w:right w:val="none" w:sz="0" w:space="0" w:color="auto"/>
      </w:divBdr>
      <w:divsChild>
        <w:div w:id="647131927">
          <w:marLeft w:val="0"/>
          <w:marRight w:val="0"/>
          <w:marTop w:val="0"/>
          <w:marBottom w:val="0"/>
          <w:divBdr>
            <w:top w:val="none" w:sz="0" w:space="0" w:color="auto"/>
            <w:left w:val="none" w:sz="0" w:space="0" w:color="auto"/>
            <w:bottom w:val="none" w:sz="0" w:space="0" w:color="auto"/>
            <w:right w:val="none" w:sz="0" w:space="0" w:color="auto"/>
          </w:divBdr>
        </w:div>
        <w:div w:id="796097719">
          <w:marLeft w:val="0"/>
          <w:marRight w:val="0"/>
          <w:marTop w:val="0"/>
          <w:marBottom w:val="0"/>
          <w:divBdr>
            <w:top w:val="none" w:sz="0" w:space="0" w:color="auto"/>
            <w:left w:val="none" w:sz="0" w:space="0" w:color="auto"/>
            <w:bottom w:val="none" w:sz="0" w:space="0" w:color="auto"/>
            <w:right w:val="none" w:sz="0" w:space="0" w:color="auto"/>
          </w:divBdr>
        </w:div>
        <w:div w:id="1668745565">
          <w:marLeft w:val="0"/>
          <w:marRight w:val="0"/>
          <w:marTop w:val="0"/>
          <w:marBottom w:val="0"/>
          <w:divBdr>
            <w:top w:val="none" w:sz="0" w:space="0" w:color="auto"/>
            <w:left w:val="none" w:sz="0" w:space="0" w:color="auto"/>
            <w:bottom w:val="none" w:sz="0" w:space="0" w:color="auto"/>
            <w:right w:val="none" w:sz="0" w:space="0" w:color="auto"/>
          </w:divBdr>
        </w:div>
      </w:divsChild>
    </w:div>
    <w:div w:id="1432552272">
      <w:bodyDiv w:val="1"/>
      <w:marLeft w:val="0"/>
      <w:marRight w:val="0"/>
      <w:marTop w:val="0"/>
      <w:marBottom w:val="0"/>
      <w:divBdr>
        <w:top w:val="none" w:sz="0" w:space="0" w:color="auto"/>
        <w:left w:val="none" w:sz="0" w:space="0" w:color="auto"/>
        <w:bottom w:val="none" w:sz="0" w:space="0" w:color="auto"/>
        <w:right w:val="none" w:sz="0" w:space="0" w:color="auto"/>
      </w:divBdr>
    </w:div>
    <w:div w:id="1456823989">
      <w:bodyDiv w:val="1"/>
      <w:marLeft w:val="0"/>
      <w:marRight w:val="0"/>
      <w:marTop w:val="0"/>
      <w:marBottom w:val="0"/>
      <w:divBdr>
        <w:top w:val="none" w:sz="0" w:space="0" w:color="auto"/>
        <w:left w:val="none" w:sz="0" w:space="0" w:color="auto"/>
        <w:bottom w:val="none" w:sz="0" w:space="0" w:color="auto"/>
        <w:right w:val="none" w:sz="0" w:space="0" w:color="auto"/>
      </w:divBdr>
    </w:div>
    <w:div w:id="1581522698">
      <w:bodyDiv w:val="1"/>
      <w:marLeft w:val="0"/>
      <w:marRight w:val="0"/>
      <w:marTop w:val="0"/>
      <w:marBottom w:val="0"/>
      <w:divBdr>
        <w:top w:val="none" w:sz="0" w:space="0" w:color="auto"/>
        <w:left w:val="none" w:sz="0" w:space="0" w:color="auto"/>
        <w:bottom w:val="none" w:sz="0" w:space="0" w:color="auto"/>
        <w:right w:val="none" w:sz="0" w:space="0" w:color="auto"/>
      </w:divBdr>
    </w:div>
    <w:div w:id="1720322600">
      <w:bodyDiv w:val="1"/>
      <w:marLeft w:val="0"/>
      <w:marRight w:val="0"/>
      <w:marTop w:val="0"/>
      <w:marBottom w:val="0"/>
      <w:divBdr>
        <w:top w:val="none" w:sz="0" w:space="0" w:color="auto"/>
        <w:left w:val="none" w:sz="0" w:space="0" w:color="auto"/>
        <w:bottom w:val="none" w:sz="0" w:space="0" w:color="auto"/>
        <w:right w:val="none" w:sz="0" w:space="0" w:color="auto"/>
      </w:divBdr>
    </w:div>
    <w:div w:id="1740444705">
      <w:bodyDiv w:val="1"/>
      <w:marLeft w:val="0"/>
      <w:marRight w:val="0"/>
      <w:marTop w:val="0"/>
      <w:marBottom w:val="0"/>
      <w:divBdr>
        <w:top w:val="none" w:sz="0" w:space="0" w:color="auto"/>
        <w:left w:val="none" w:sz="0" w:space="0" w:color="auto"/>
        <w:bottom w:val="none" w:sz="0" w:space="0" w:color="auto"/>
        <w:right w:val="none" w:sz="0" w:space="0" w:color="auto"/>
      </w:divBdr>
      <w:divsChild>
        <w:div w:id="808280120">
          <w:marLeft w:val="0"/>
          <w:marRight w:val="0"/>
          <w:marTop w:val="0"/>
          <w:marBottom w:val="0"/>
          <w:divBdr>
            <w:top w:val="none" w:sz="0" w:space="0" w:color="auto"/>
            <w:left w:val="none" w:sz="0" w:space="0" w:color="auto"/>
            <w:bottom w:val="none" w:sz="0" w:space="0" w:color="auto"/>
            <w:right w:val="none" w:sz="0" w:space="0" w:color="auto"/>
          </w:divBdr>
        </w:div>
        <w:div w:id="1387606526">
          <w:marLeft w:val="0"/>
          <w:marRight w:val="0"/>
          <w:marTop w:val="0"/>
          <w:marBottom w:val="0"/>
          <w:divBdr>
            <w:top w:val="none" w:sz="0" w:space="0" w:color="auto"/>
            <w:left w:val="none" w:sz="0" w:space="0" w:color="auto"/>
            <w:bottom w:val="none" w:sz="0" w:space="0" w:color="auto"/>
            <w:right w:val="none" w:sz="0" w:space="0" w:color="auto"/>
          </w:divBdr>
        </w:div>
        <w:div w:id="1477261255">
          <w:marLeft w:val="0"/>
          <w:marRight w:val="0"/>
          <w:marTop w:val="0"/>
          <w:marBottom w:val="0"/>
          <w:divBdr>
            <w:top w:val="none" w:sz="0" w:space="0" w:color="auto"/>
            <w:left w:val="none" w:sz="0" w:space="0" w:color="auto"/>
            <w:bottom w:val="none" w:sz="0" w:space="0" w:color="auto"/>
            <w:right w:val="none" w:sz="0" w:space="0" w:color="auto"/>
          </w:divBdr>
        </w:div>
        <w:div w:id="1895773843">
          <w:marLeft w:val="0"/>
          <w:marRight w:val="0"/>
          <w:marTop w:val="0"/>
          <w:marBottom w:val="0"/>
          <w:divBdr>
            <w:top w:val="none" w:sz="0" w:space="0" w:color="auto"/>
            <w:left w:val="none" w:sz="0" w:space="0" w:color="auto"/>
            <w:bottom w:val="none" w:sz="0" w:space="0" w:color="auto"/>
            <w:right w:val="none" w:sz="0" w:space="0" w:color="auto"/>
          </w:divBdr>
        </w:div>
      </w:divsChild>
    </w:div>
    <w:div w:id="2012757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BD6E5-1A85-4DB2-8F2F-9743A4E17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6397</Words>
  <Characters>36466</Characters>
  <Application>Microsoft Office Word</Application>
  <DocSecurity>0</DocSecurity>
  <Lines>303</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TC</cp:lastModifiedBy>
  <cp:revision>2</cp:revision>
  <cp:lastPrinted>2023-11-27T18:19:00Z</cp:lastPrinted>
  <dcterms:created xsi:type="dcterms:W3CDTF">2023-12-12T20:40:00Z</dcterms:created>
  <dcterms:modified xsi:type="dcterms:W3CDTF">2023-12-12T20:40:00Z</dcterms:modified>
</cp:coreProperties>
</file>