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9640864"/>
        <w:docPartObj>
          <w:docPartGallery w:val="Cover Pages"/>
          <w:docPartUnique/>
        </w:docPartObj>
      </w:sdtPr>
      <w:sdtContent>
        <w:sdt>
          <w:sdtPr>
            <w:id w:val="272834218"/>
            <w:docPartObj>
              <w:docPartGallery w:val="Cover Pages"/>
              <w:docPartUnique/>
            </w:docPartObj>
          </w:sdtPr>
          <w:sdtContent>
            <w:p w14:paraId="5313E02F" w14:textId="77A97480" w:rsidR="00C05A4F" w:rsidRPr="00733EA9" w:rsidRDefault="00653A26" w:rsidP="001B7148">
              <w:pPr>
                <w:spacing w:after="120" w:line="271" w:lineRule="auto"/>
                <w:ind w:firstLine="709"/>
              </w:pPr>
              <w:r>
                <w:rPr>
                  <w:noProof/>
                </w:rPr>
                <mc:AlternateContent>
                  <mc:Choice Requires="wpg">
                    <w:drawing>
                      <wp:anchor distT="0" distB="0" distL="114300" distR="114300" simplePos="0" relativeHeight="251669504" behindDoc="0" locked="0" layoutInCell="1" allowOverlap="1" wp14:anchorId="72E80FFA" wp14:editId="3EECEEE6">
                        <wp:simplePos x="0" y="0"/>
                        <wp:positionH relativeFrom="page">
                          <wp:posOffset>-457200</wp:posOffset>
                        </wp:positionH>
                        <wp:positionV relativeFrom="page">
                          <wp:posOffset>707571</wp:posOffset>
                        </wp:positionV>
                        <wp:extent cx="6921585" cy="7352173"/>
                        <wp:effectExtent l="0" t="0" r="0" b="1270"/>
                        <wp:wrapNone/>
                        <wp:docPr id="1536460579" name="Grup 11" descr="Başlık: Başlık ve alt başlık, kırpma işareti grafiğiy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85" cy="7352173"/>
                                  <a:chOff x="-11368" y="1775"/>
                                  <a:chExt cx="69208" cy="36067"/>
                                </a:xfrm>
                              </wpg:grpSpPr>
                              <wpg:grpSp>
                                <wpg:cNvPr id="1701312470" name="Grup 6"/>
                                <wpg:cNvGrpSpPr>
                                  <a:grpSpLocks/>
                                </wpg:cNvGrpSpPr>
                                <wpg:grpSpPr bwMode="auto">
                                  <a:xfrm>
                                    <a:off x="-11368" y="1775"/>
                                    <a:ext cx="35641" cy="30777"/>
                                    <a:chOff x="-11368" y="1775"/>
                                    <a:chExt cx="35640" cy="30776"/>
                                  </a:xfrm>
                                </wpg:grpSpPr>
                                <wps:wsp>
                                  <wps:cNvPr id="1118084049" name="Serbest Form 3"/>
                                  <wps:cNvSpPr>
                                    <a:spLocks/>
                                  </wps:cNvSpPr>
                                  <wps:spPr bwMode="auto">
                                    <a:xfrm>
                                      <a:off x="2020" y="2736"/>
                                      <a:ext cx="22252" cy="18956"/>
                                    </a:xfrm>
                                    <a:custGeom>
                                      <a:avLst/>
                                      <a:gdLst>
                                        <a:gd name="T0" fmla="*/ 266700 w 1344"/>
                                        <a:gd name="T1" fmla="*/ 2867025 h 1806"/>
                                        <a:gd name="T2" fmla="*/ 0 w 1344"/>
                                        <a:gd name="T3" fmla="*/ 2867025 h 1806"/>
                                        <a:gd name="T4" fmla="*/ 0 w 1344"/>
                                        <a:gd name="T5" fmla="*/ 0 h 1806"/>
                                        <a:gd name="T6" fmla="*/ 2133600 w 1344"/>
                                        <a:gd name="T7" fmla="*/ 0 h 1806"/>
                                        <a:gd name="T8" fmla="*/ 2133600 w 1344"/>
                                        <a:gd name="T9" fmla="*/ 261938 h 1806"/>
                                        <a:gd name="T10" fmla="*/ 266700 w 1344"/>
                                        <a:gd name="T11" fmla="*/ 261938 h 1806"/>
                                        <a:gd name="T12" fmla="*/ 266700 w 1344"/>
                                        <a:gd name="T13" fmla="*/ 2867025 h 18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09960" name="Dikdörtgen 5"/>
                                  <wps:cNvSpPr>
                                    <a:spLocks noChangeArrowheads="1"/>
                                  </wps:cNvSpPr>
                                  <wps:spPr bwMode="auto">
                                    <a:xfrm>
                                      <a:off x="-11368" y="1775"/>
                                      <a:ext cx="20698" cy="3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7310503" name="Metin Kutusu 9"/>
                                <wps:cNvSpPr txBox="1">
                                  <a:spLocks noChangeArrowheads="1"/>
                                </wps:cNvSpPr>
                                <wps:spPr bwMode="auto">
                                  <a:xfrm>
                                    <a:off x="3016" y="9999"/>
                                    <a:ext cx="54824" cy="2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89DBB0" w14:textId="77777777" w:rsidR="0021110F" w:rsidRDefault="0021110F" w:rsidP="00C05A4F">
                                      <w:pPr>
                                        <w:pStyle w:val="AralkYok"/>
                                        <w:jc w:val="center"/>
                                        <w:rPr>
                                          <w:sz w:val="32"/>
                                          <w:szCs w:val="32"/>
                                        </w:rPr>
                                      </w:pPr>
                                      <w:bookmarkStart w:id="0" w:name="OLE_LINK3"/>
                                      <w:bookmarkStart w:id="1" w:name="OLE_LINK4"/>
                                    </w:p>
                                    <w:p w14:paraId="35B19394" w14:textId="77777777" w:rsidR="0021110F" w:rsidRDefault="0021110F" w:rsidP="00C05A4F">
                                      <w:pPr>
                                        <w:pStyle w:val="AralkYok"/>
                                        <w:jc w:val="center"/>
                                        <w:rPr>
                                          <w:sz w:val="32"/>
                                          <w:szCs w:val="32"/>
                                        </w:rPr>
                                      </w:pPr>
                                    </w:p>
                                    <w:p w14:paraId="19BB37E5" w14:textId="77777777" w:rsidR="0021110F" w:rsidRDefault="0021110F" w:rsidP="00C05A4F">
                                      <w:pPr>
                                        <w:pStyle w:val="AralkYok"/>
                                        <w:jc w:val="center"/>
                                        <w:rPr>
                                          <w:sz w:val="32"/>
                                          <w:szCs w:val="32"/>
                                        </w:rPr>
                                      </w:pPr>
                                    </w:p>
                                    <w:p w14:paraId="6DECEC71" w14:textId="77777777" w:rsidR="0021110F" w:rsidRDefault="0021110F" w:rsidP="00C05A4F">
                                      <w:pPr>
                                        <w:pStyle w:val="AralkYok"/>
                                        <w:jc w:val="center"/>
                                        <w:rPr>
                                          <w:sz w:val="32"/>
                                          <w:szCs w:val="32"/>
                                        </w:rPr>
                                      </w:pPr>
                                    </w:p>
                                    <w:p w14:paraId="30A99147" w14:textId="77777777" w:rsidR="0021110F" w:rsidRDefault="0021110F" w:rsidP="00C05A4F">
                                      <w:pPr>
                                        <w:pStyle w:val="AralkYok"/>
                                        <w:jc w:val="center"/>
                                        <w:rPr>
                                          <w:sz w:val="32"/>
                                          <w:szCs w:val="32"/>
                                        </w:rPr>
                                      </w:pPr>
                                    </w:p>
                                    <w:p w14:paraId="046B2F04" w14:textId="77777777" w:rsidR="0021110F" w:rsidRDefault="0021110F" w:rsidP="00C05A4F">
                                      <w:pPr>
                                        <w:pStyle w:val="AralkYok"/>
                                        <w:jc w:val="center"/>
                                        <w:rPr>
                                          <w:sz w:val="32"/>
                                          <w:szCs w:val="32"/>
                                        </w:rPr>
                                      </w:pPr>
                                    </w:p>
                                    <w:p w14:paraId="15A062AF" w14:textId="77777777" w:rsidR="0021110F" w:rsidRDefault="0021110F" w:rsidP="00C05A4F">
                                      <w:pPr>
                                        <w:pStyle w:val="AralkYok"/>
                                        <w:jc w:val="center"/>
                                        <w:rPr>
                                          <w:sz w:val="32"/>
                                          <w:szCs w:val="32"/>
                                        </w:rPr>
                                      </w:pPr>
                                    </w:p>
                                    <w:p w14:paraId="42B2F7DB" w14:textId="77777777" w:rsidR="0021110F" w:rsidRDefault="0021110F" w:rsidP="00C05A4F">
                                      <w:pPr>
                                        <w:pStyle w:val="AralkYok"/>
                                        <w:jc w:val="center"/>
                                        <w:rPr>
                                          <w:sz w:val="32"/>
                                          <w:szCs w:val="32"/>
                                        </w:rPr>
                                      </w:pPr>
                                    </w:p>
                                    <w:p w14:paraId="0C780BC3" w14:textId="77777777" w:rsidR="0021110F" w:rsidRDefault="0021110F" w:rsidP="00C05A4F">
                                      <w:pPr>
                                        <w:pStyle w:val="AralkYok"/>
                                        <w:jc w:val="center"/>
                                        <w:rPr>
                                          <w:sz w:val="32"/>
                                          <w:szCs w:val="32"/>
                                        </w:rPr>
                                      </w:pPr>
                                    </w:p>
                                    <w:p w14:paraId="2088BF43" w14:textId="5EC065E4" w:rsidR="00E52E47" w:rsidRPr="00E52E47" w:rsidRDefault="00E52E47" w:rsidP="00617081">
                                      <w:pPr>
                                        <w:pStyle w:val="NormalWeb"/>
                                        <w:spacing w:before="0" w:beforeAutospacing="0" w:after="160" w:afterAutospacing="0" w:line="271" w:lineRule="auto"/>
                                        <w:ind w:firstLine="0"/>
                                        <w:jc w:val="center"/>
                                        <w:rPr>
                                          <w:rFonts w:ascii="Palatino Linotype" w:hAnsi="Palatino Linotype"/>
                                          <w:b/>
                                          <w:bCs/>
                                          <w:sz w:val="36"/>
                                          <w:szCs w:val="36"/>
                                        </w:rPr>
                                      </w:pPr>
                                      <w:r w:rsidRPr="00E52E47">
                                        <w:rPr>
                                          <w:rFonts w:ascii="Palatino Linotype" w:hAnsi="Palatino Linotype"/>
                                          <w:b/>
                                          <w:bCs/>
                                          <w:sz w:val="36"/>
                                          <w:szCs w:val="36"/>
                                        </w:rPr>
                                        <w:t>AİHM YALÇINKAYA</w:t>
                                      </w:r>
                                      <w:r w:rsidR="00BD10C1">
                                        <w:rPr>
                                          <w:rFonts w:ascii="Palatino Linotype" w:hAnsi="Palatino Linotype"/>
                                          <w:b/>
                                          <w:bCs/>
                                          <w:sz w:val="36"/>
                                          <w:szCs w:val="36"/>
                                        </w:rPr>
                                        <w:t xml:space="preserve">/TÜRKİYE </w:t>
                                      </w:r>
                                      <w:r w:rsidRPr="00E52E47">
                                        <w:rPr>
                                          <w:rFonts w:ascii="Palatino Linotype" w:hAnsi="Palatino Linotype"/>
                                          <w:b/>
                                          <w:bCs/>
                                          <w:sz w:val="36"/>
                                          <w:szCs w:val="36"/>
                                        </w:rPr>
                                        <w:t>KARARI</w:t>
                                      </w:r>
                                      <w:r w:rsidR="00BD10C1">
                                        <w:rPr>
                                          <w:rFonts w:ascii="Palatino Linotype" w:hAnsi="Palatino Linotype"/>
                                          <w:b/>
                                          <w:bCs/>
                                          <w:sz w:val="36"/>
                                          <w:szCs w:val="36"/>
                                        </w:rPr>
                                        <w:t xml:space="preserve">: </w:t>
                                      </w:r>
                                      <w:r w:rsidRPr="00E52E47">
                                        <w:rPr>
                                          <w:rFonts w:ascii="Palatino Linotype" w:hAnsi="Palatino Linotype"/>
                                          <w:b/>
                                          <w:bCs/>
                                          <w:sz w:val="36"/>
                                          <w:szCs w:val="36"/>
                                        </w:rPr>
                                        <w:t>ADİL YARGILANMA HAKKI</w:t>
                                      </w:r>
                                      <w:r w:rsidR="00BD10C1">
                                        <w:rPr>
                                          <w:rFonts w:ascii="Palatino Linotype" w:hAnsi="Palatino Linotype"/>
                                          <w:b/>
                                          <w:bCs/>
                                          <w:sz w:val="36"/>
                                          <w:szCs w:val="36"/>
                                        </w:rPr>
                                        <w:t xml:space="preserve"> </w:t>
                                      </w:r>
                                      <w:r w:rsidRPr="00E52E47">
                                        <w:rPr>
                                          <w:rFonts w:ascii="Palatino Linotype" w:hAnsi="Palatino Linotype"/>
                                          <w:b/>
                                          <w:bCs/>
                                          <w:sz w:val="36"/>
                                          <w:szCs w:val="36"/>
                                        </w:rPr>
                                        <w:t>İHLAL</w:t>
                                      </w:r>
                                      <w:r w:rsidR="00BD10C1">
                                        <w:rPr>
                                          <w:rFonts w:ascii="Palatino Linotype" w:hAnsi="Palatino Linotype"/>
                                          <w:b/>
                                          <w:bCs/>
                                          <w:sz w:val="36"/>
                                          <w:szCs w:val="36"/>
                                        </w:rPr>
                                        <w:t>LERİN</w:t>
                                      </w:r>
                                      <w:r w:rsidR="00136478">
                                        <w:rPr>
                                          <w:rFonts w:ascii="Palatino Linotype" w:hAnsi="Palatino Linotype"/>
                                          <w:b/>
                                          <w:bCs/>
                                          <w:sz w:val="36"/>
                                          <w:szCs w:val="36"/>
                                        </w:rPr>
                                        <w:t>İN</w:t>
                                      </w:r>
                                      <w:r w:rsidR="00BD10C1">
                                        <w:rPr>
                                          <w:rFonts w:ascii="Palatino Linotype" w:hAnsi="Palatino Linotype"/>
                                          <w:b/>
                                          <w:bCs/>
                                          <w:sz w:val="36"/>
                                          <w:szCs w:val="36"/>
                                        </w:rPr>
                                        <w:t xml:space="preserve"> DEĞERLENDİRİLMESİ </w:t>
                                      </w:r>
                                    </w:p>
                                    <w:p w14:paraId="0B1262F4" w14:textId="77777777" w:rsidR="00E52E47" w:rsidRPr="00AA0A0D" w:rsidRDefault="00E52E47" w:rsidP="00E52E47">
                                      <w:pPr>
                                        <w:pStyle w:val="AralkYok"/>
                                        <w:jc w:val="center"/>
                                        <w:rPr>
                                          <w:rFonts w:ascii="Palatino Linotype" w:hAnsi="Palatino Linotype"/>
                                          <w:sz w:val="32"/>
                                          <w:szCs w:val="32"/>
                                        </w:rPr>
                                      </w:pPr>
                                    </w:p>
                                    <w:p w14:paraId="5B6AF20C" w14:textId="77777777" w:rsidR="00E52E47" w:rsidRPr="00AA0A0D" w:rsidRDefault="00E52E47" w:rsidP="00E52E47">
                                      <w:pPr>
                                        <w:pStyle w:val="AralkYok"/>
                                        <w:jc w:val="center"/>
                                        <w:rPr>
                                          <w:rFonts w:ascii="Palatino Linotype" w:hAnsi="Palatino Linotype"/>
                                          <w:b/>
                                          <w:bCs/>
                                          <w:sz w:val="28"/>
                                          <w:szCs w:val="28"/>
                                        </w:rPr>
                                      </w:pPr>
                                      <w:r w:rsidRPr="00AA0A0D">
                                        <w:rPr>
                                          <w:rFonts w:ascii="Palatino Linotype" w:hAnsi="Palatino Linotype"/>
                                          <w:b/>
                                          <w:bCs/>
                                          <w:sz w:val="28"/>
                                          <w:szCs w:val="28"/>
                                        </w:rPr>
                                        <w:t>Dr. Gökhan GÜNEŞ</w:t>
                                      </w:r>
                                    </w:p>
                                    <w:p w14:paraId="64D58EF3" w14:textId="77777777" w:rsidR="00C05A4F" w:rsidRPr="00F21B20" w:rsidRDefault="00C05A4F" w:rsidP="00C05A4F">
                                      <w:pPr>
                                        <w:pStyle w:val="AralkYok"/>
                                        <w:jc w:val="center"/>
                                        <w:rPr>
                                          <w:b/>
                                          <w:bCs/>
                                          <w:sz w:val="72"/>
                                          <w:szCs w:val="72"/>
                                        </w:rPr>
                                      </w:pPr>
                                    </w:p>
                                    <w:p w14:paraId="6FD9F191" w14:textId="77777777" w:rsidR="00C05A4F" w:rsidRDefault="00C05A4F" w:rsidP="00C05A4F">
                                      <w:pPr>
                                        <w:pStyle w:val="AralkYok"/>
                                      </w:pPr>
                                    </w:p>
                                    <w:p w14:paraId="17153A18" w14:textId="77777777" w:rsidR="00C05A4F" w:rsidRDefault="00C05A4F" w:rsidP="00C05A4F">
                                      <w:pPr>
                                        <w:pStyle w:val="AralkYok"/>
                                      </w:pPr>
                                    </w:p>
                                    <w:p w14:paraId="24626C48" w14:textId="77777777" w:rsidR="00C05A4F" w:rsidRDefault="00C05A4F" w:rsidP="00C05A4F">
                                      <w:pPr>
                                        <w:pStyle w:val="AralkYok"/>
                                      </w:pPr>
                                    </w:p>
                                    <w:p w14:paraId="6EE0DD85" w14:textId="77777777" w:rsidR="00C05A4F" w:rsidRDefault="00C05A4F" w:rsidP="00C05A4F">
                                      <w:pPr>
                                        <w:pStyle w:val="AralkYok"/>
                                      </w:pPr>
                                    </w:p>
                                    <w:p w14:paraId="439F2F94" w14:textId="77777777" w:rsidR="00C05A4F" w:rsidRDefault="00C05A4F" w:rsidP="00C05A4F">
                                      <w:pPr>
                                        <w:pStyle w:val="AralkYok"/>
                                      </w:pPr>
                                    </w:p>
                                    <w:p w14:paraId="4CF108C5" w14:textId="77777777" w:rsidR="00C05A4F" w:rsidRDefault="00C05A4F" w:rsidP="00C05A4F">
                                      <w:pPr>
                                        <w:pStyle w:val="AralkYok"/>
                                      </w:pPr>
                                    </w:p>
                                    <w:p w14:paraId="55EA5CC2" w14:textId="77777777" w:rsidR="00C05A4F" w:rsidRPr="002023F8" w:rsidRDefault="00C05A4F" w:rsidP="00C05A4F">
                                      <w:pPr>
                                        <w:pStyle w:val="AralkYok"/>
                                      </w:pPr>
                                    </w:p>
                                    <w:bookmarkEnd w:id="0"/>
                                    <w:bookmarkEnd w:id="1"/>
                                    <w:p w14:paraId="1AF56D99" w14:textId="77777777" w:rsidR="00C05A4F" w:rsidRPr="002023F8" w:rsidRDefault="00C05A4F" w:rsidP="00C05A4F">
                                      <w:pPr>
                                        <w:pStyle w:val="AralkYok"/>
                                      </w:pPr>
                                    </w:p>
                                    <w:p w14:paraId="547A485E" w14:textId="77777777" w:rsidR="00C05A4F" w:rsidRPr="002023F8" w:rsidRDefault="00C05A4F" w:rsidP="00C05A4F"/>
                                  </w:txbxContent>
                                </wps:txbx>
                                <wps:bodyPr rot="0" vert="horz" wrap="square" lIns="457200" tIns="457200" rIns="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E80FFA" id="Grup 11" o:spid="_x0000_s1026" alt="Başlık: Başlık ve alt başlık, kırpma işareti grafiğiyle" style="position:absolute;left:0;text-align:left;margin-left:-36pt;margin-top:55.7pt;width:545pt;height:578.9pt;z-index:251669504;mso-position-horizontal-relative:page;mso-position-vertical-relative:page;mso-width-relative:margin;mso-height-relative:margin" coordorigin="-11368,1775" coordsize="69208,3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">
                        <v:group id="Grup 6" o:spid="_x0000_s1027" style="position:absolute;left:-11368;top:1775;width:35641;height:30777" coordorigin="-11368,1775" coordsize="35640,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">
                          <v:shape id="Serbest Form 3" o:spid="_x0000_s1028" style="position:absolute;left:2020;top:2736;width:22252;height:18956;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" path="m168,1806l,1806,,,1344,r,165l168,165r,1641xe" fillcolor="#44546a [3215]" stroked="f">
                            <v:path arrowok="t" o:connecttype="custom" o:connectlocs="4415631,30092650;0,30092650;0,0;35325050,0;35325050,2749334;4415631,2749334;4415631,30092650" o:connectangles="0,0,0,0,0,0,0"/>
                          </v:shape>
                          <v:rect id="Dikdörtgen 5" o:spid="_x0000_s1029" style="position:absolute;left:-11368;top:1775;width:20698;height:30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" filled="f" stroked="f" strokeweight="1pt"/>
                        </v:group>
                        <v:shapetype id="_x0000_t202" coordsize="21600,21600" o:spt="202" path="m,l,21600r21600,l21600,xe">
                          <v:stroke joinstyle="miter"/>
                          <v:path gradientshapeok="t" o:connecttype="rect"/>
                        </v:shapetype>
                        <v:shape id="Metin Kutusu 9" o:spid="_x0000_s1030" type="#_x0000_t202" style="position:absolute;left:3016;top:9999;width:54824;height:278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" filled="f" stroked="f" strokeweight=".5pt">
                          <v:textbox inset="36pt,36pt,0,0">
                            <w:txbxContent>
                              <w:p w14:paraId="5E89DBB0" w14:textId="77777777" w:rsidR="0021110F" w:rsidRDefault="0021110F" w:rsidP="00C05A4F">
                                <w:pPr>
                                  <w:pStyle w:val="AralkYok"/>
                                  <w:jc w:val="center"/>
                                  <w:rPr>
                                    <w:sz w:val="32"/>
                                    <w:szCs w:val="32"/>
                                  </w:rPr>
                                </w:pPr>
                                <w:bookmarkStart w:id="2" w:name="OLE_LINK3"/>
                                <w:bookmarkStart w:id="3" w:name="OLE_LINK4"/>
                              </w:p>
                              <w:p w14:paraId="35B19394" w14:textId="77777777" w:rsidR="0021110F" w:rsidRDefault="0021110F" w:rsidP="00C05A4F">
                                <w:pPr>
                                  <w:pStyle w:val="AralkYok"/>
                                  <w:jc w:val="center"/>
                                  <w:rPr>
                                    <w:sz w:val="32"/>
                                    <w:szCs w:val="32"/>
                                  </w:rPr>
                                </w:pPr>
                              </w:p>
                              <w:p w14:paraId="19BB37E5" w14:textId="77777777" w:rsidR="0021110F" w:rsidRDefault="0021110F" w:rsidP="00C05A4F">
                                <w:pPr>
                                  <w:pStyle w:val="AralkYok"/>
                                  <w:jc w:val="center"/>
                                  <w:rPr>
                                    <w:sz w:val="32"/>
                                    <w:szCs w:val="32"/>
                                  </w:rPr>
                                </w:pPr>
                              </w:p>
                              <w:p w14:paraId="6DECEC71" w14:textId="77777777" w:rsidR="0021110F" w:rsidRDefault="0021110F" w:rsidP="00C05A4F">
                                <w:pPr>
                                  <w:pStyle w:val="AralkYok"/>
                                  <w:jc w:val="center"/>
                                  <w:rPr>
                                    <w:sz w:val="32"/>
                                    <w:szCs w:val="32"/>
                                  </w:rPr>
                                </w:pPr>
                              </w:p>
                              <w:p w14:paraId="30A99147" w14:textId="77777777" w:rsidR="0021110F" w:rsidRDefault="0021110F" w:rsidP="00C05A4F">
                                <w:pPr>
                                  <w:pStyle w:val="AralkYok"/>
                                  <w:jc w:val="center"/>
                                  <w:rPr>
                                    <w:sz w:val="32"/>
                                    <w:szCs w:val="32"/>
                                  </w:rPr>
                                </w:pPr>
                              </w:p>
                              <w:p w14:paraId="046B2F04" w14:textId="77777777" w:rsidR="0021110F" w:rsidRDefault="0021110F" w:rsidP="00C05A4F">
                                <w:pPr>
                                  <w:pStyle w:val="AralkYok"/>
                                  <w:jc w:val="center"/>
                                  <w:rPr>
                                    <w:sz w:val="32"/>
                                    <w:szCs w:val="32"/>
                                  </w:rPr>
                                </w:pPr>
                              </w:p>
                              <w:p w14:paraId="15A062AF" w14:textId="77777777" w:rsidR="0021110F" w:rsidRDefault="0021110F" w:rsidP="00C05A4F">
                                <w:pPr>
                                  <w:pStyle w:val="AralkYok"/>
                                  <w:jc w:val="center"/>
                                  <w:rPr>
                                    <w:sz w:val="32"/>
                                    <w:szCs w:val="32"/>
                                  </w:rPr>
                                </w:pPr>
                              </w:p>
                              <w:p w14:paraId="42B2F7DB" w14:textId="77777777" w:rsidR="0021110F" w:rsidRDefault="0021110F" w:rsidP="00C05A4F">
                                <w:pPr>
                                  <w:pStyle w:val="AralkYok"/>
                                  <w:jc w:val="center"/>
                                  <w:rPr>
                                    <w:sz w:val="32"/>
                                    <w:szCs w:val="32"/>
                                  </w:rPr>
                                </w:pPr>
                              </w:p>
                              <w:p w14:paraId="0C780BC3" w14:textId="77777777" w:rsidR="0021110F" w:rsidRDefault="0021110F" w:rsidP="00C05A4F">
                                <w:pPr>
                                  <w:pStyle w:val="AralkYok"/>
                                  <w:jc w:val="center"/>
                                  <w:rPr>
                                    <w:sz w:val="32"/>
                                    <w:szCs w:val="32"/>
                                  </w:rPr>
                                </w:pPr>
                              </w:p>
                              <w:p w14:paraId="2088BF43" w14:textId="5EC065E4" w:rsidR="00E52E47" w:rsidRPr="00E52E47" w:rsidRDefault="00E52E47" w:rsidP="00617081">
                                <w:pPr>
                                  <w:pStyle w:val="NormalWeb"/>
                                  <w:spacing w:before="0" w:beforeAutospacing="0" w:after="160" w:afterAutospacing="0" w:line="271" w:lineRule="auto"/>
                                  <w:ind w:firstLine="0"/>
                                  <w:jc w:val="center"/>
                                  <w:rPr>
                                    <w:rFonts w:ascii="Palatino Linotype" w:hAnsi="Palatino Linotype"/>
                                    <w:b/>
                                    <w:bCs/>
                                    <w:sz w:val="36"/>
                                    <w:szCs w:val="36"/>
                                  </w:rPr>
                                </w:pPr>
                                <w:r w:rsidRPr="00E52E47">
                                  <w:rPr>
                                    <w:rFonts w:ascii="Palatino Linotype" w:hAnsi="Palatino Linotype"/>
                                    <w:b/>
                                    <w:bCs/>
                                    <w:sz w:val="36"/>
                                    <w:szCs w:val="36"/>
                                  </w:rPr>
                                  <w:t>AİHM YALÇINKAYA</w:t>
                                </w:r>
                                <w:r w:rsidR="00BD10C1">
                                  <w:rPr>
                                    <w:rFonts w:ascii="Palatino Linotype" w:hAnsi="Palatino Linotype"/>
                                    <w:b/>
                                    <w:bCs/>
                                    <w:sz w:val="36"/>
                                    <w:szCs w:val="36"/>
                                  </w:rPr>
                                  <w:t xml:space="preserve">/TÜRKİYE </w:t>
                                </w:r>
                                <w:r w:rsidRPr="00E52E47">
                                  <w:rPr>
                                    <w:rFonts w:ascii="Palatino Linotype" w:hAnsi="Palatino Linotype"/>
                                    <w:b/>
                                    <w:bCs/>
                                    <w:sz w:val="36"/>
                                    <w:szCs w:val="36"/>
                                  </w:rPr>
                                  <w:t>KARARI</w:t>
                                </w:r>
                                <w:r w:rsidR="00BD10C1">
                                  <w:rPr>
                                    <w:rFonts w:ascii="Palatino Linotype" w:hAnsi="Palatino Linotype"/>
                                    <w:b/>
                                    <w:bCs/>
                                    <w:sz w:val="36"/>
                                    <w:szCs w:val="36"/>
                                  </w:rPr>
                                  <w:t xml:space="preserve">: </w:t>
                                </w:r>
                                <w:r w:rsidRPr="00E52E47">
                                  <w:rPr>
                                    <w:rFonts w:ascii="Palatino Linotype" w:hAnsi="Palatino Linotype"/>
                                    <w:b/>
                                    <w:bCs/>
                                    <w:sz w:val="36"/>
                                    <w:szCs w:val="36"/>
                                  </w:rPr>
                                  <w:t>ADİL YARGILANMA HAKKI</w:t>
                                </w:r>
                                <w:r w:rsidR="00BD10C1">
                                  <w:rPr>
                                    <w:rFonts w:ascii="Palatino Linotype" w:hAnsi="Palatino Linotype"/>
                                    <w:b/>
                                    <w:bCs/>
                                    <w:sz w:val="36"/>
                                    <w:szCs w:val="36"/>
                                  </w:rPr>
                                  <w:t xml:space="preserve"> </w:t>
                                </w:r>
                                <w:r w:rsidRPr="00E52E47">
                                  <w:rPr>
                                    <w:rFonts w:ascii="Palatino Linotype" w:hAnsi="Palatino Linotype"/>
                                    <w:b/>
                                    <w:bCs/>
                                    <w:sz w:val="36"/>
                                    <w:szCs w:val="36"/>
                                  </w:rPr>
                                  <w:t>İHLAL</w:t>
                                </w:r>
                                <w:r w:rsidR="00BD10C1">
                                  <w:rPr>
                                    <w:rFonts w:ascii="Palatino Linotype" w:hAnsi="Palatino Linotype"/>
                                    <w:b/>
                                    <w:bCs/>
                                    <w:sz w:val="36"/>
                                    <w:szCs w:val="36"/>
                                  </w:rPr>
                                  <w:t>LERİN</w:t>
                                </w:r>
                                <w:r w:rsidR="00136478">
                                  <w:rPr>
                                    <w:rFonts w:ascii="Palatino Linotype" w:hAnsi="Palatino Linotype"/>
                                    <w:b/>
                                    <w:bCs/>
                                    <w:sz w:val="36"/>
                                    <w:szCs w:val="36"/>
                                  </w:rPr>
                                  <w:t>İN</w:t>
                                </w:r>
                                <w:r w:rsidR="00BD10C1">
                                  <w:rPr>
                                    <w:rFonts w:ascii="Palatino Linotype" w:hAnsi="Palatino Linotype"/>
                                    <w:b/>
                                    <w:bCs/>
                                    <w:sz w:val="36"/>
                                    <w:szCs w:val="36"/>
                                  </w:rPr>
                                  <w:t xml:space="preserve"> DEĞERLENDİRİLMESİ </w:t>
                                </w:r>
                              </w:p>
                              <w:p w14:paraId="0B1262F4" w14:textId="77777777" w:rsidR="00E52E47" w:rsidRPr="00AA0A0D" w:rsidRDefault="00E52E47" w:rsidP="00E52E47">
                                <w:pPr>
                                  <w:pStyle w:val="AralkYok"/>
                                  <w:jc w:val="center"/>
                                  <w:rPr>
                                    <w:rFonts w:ascii="Palatino Linotype" w:hAnsi="Palatino Linotype"/>
                                    <w:sz w:val="32"/>
                                    <w:szCs w:val="32"/>
                                  </w:rPr>
                                </w:pPr>
                              </w:p>
                              <w:p w14:paraId="5B6AF20C" w14:textId="77777777" w:rsidR="00E52E47" w:rsidRPr="00AA0A0D" w:rsidRDefault="00E52E47" w:rsidP="00E52E47">
                                <w:pPr>
                                  <w:pStyle w:val="AralkYok"/>
                                  <w:jc w:val="center"/>
                                  <w:rPr>
                                    <w:rFonts w:ascii="Palatino Linotype" w:hAnsi="Palatino Linotype"/>
                                    <w:b/>
                                    <w:bCs/>
                                    <w:sz w:val="28"/>
                                    <w:szCs w:val="28"/>
                                  </w:rPr>
                                </w:pPr>
                                <w:r w:rsidRPr="00AA0A0D">
                                  <w:rPr>
                                    <w:rFonts w:ascii="Palatino Linotype" w:hAnsi="Palatino Linotype"/>
                                    <w:b/>
                                    <w:bCs/>
                                    <w:sz w:val="28"/>
                                    <w:szCs w:val="28"/>
                                  </w:rPr>
                                  <w:t>Dr. Gökhan GÜNEŞ</w:t>
                                </w:r>
                              </w:p>
                              <w:p w14:paraId="64D58EF3" w14:textId="77777777" w:rsidR="00C05A4F" w:rsidRPr="00F21B20" w:rsidRDefault="00C05A4F" w:rsidP="00C05A4F">
                                <w:pPr>
                                  <w:pStyle w:val="AralkYok"/>
                                  <w:jc w:val="center"/>
                                  <w:rPr>
                                    <w:b/>
                                    <w:bCs/>
                                    <w:sz w:val="72"/>
                                    <w:szCs w:val="72"/>
                                  </w:rPr>
                                </w:pPr>
                              </w:p>
                              <w:p w14:paraId="6FD9F191" w14:textId="77777777" w:rsidR="00C05A4F" w:rsidRDefault="00C05A4F" w:rsidP="00C05A4F">
                                <w:pPr>
                                  <w:pStyle w:val="AralkYok"/>
                                </w:pPr>
                              </w:p>
                              <w:p w14:paraId="17153A18" w14:textId="77777777" w:rsidR="00C05A4F" w:rsidRDefault="00C05A4F" w:rsidP="00C05A4F">
                                <w:pPr>
                                  <w:pStyle w:val="AralkYok"/>
                                </w:pPr>
                              </w:p>
                              <w:p w14:paraId="24626C48" w14:textId="77777777" w:rsidR="00C05A4F" w:rsidRDefault="00C05A4F" w:rsidP="00C05A4F">
                                <w:pPr>
                                  <w:pStyle w:val="AralkYok"/>
                                </w:pPr>
                              </w:p>
                              <w:p w14:paraId="6EE0DD85" w14:textId="77777777" w:rsidR="00C05A4F" w:rsidRDefault="00C05A4F" w:rsidP="00C05A4F">
                                <w:pPr>
                                  <w:pStyle w:val="AralkYok"/>
                                </w:pPr>
                              </w:p>
                              <w:p w14:paraId="439F2F94" w14:textId="77777777" w:rsidR="00C05A4F" w:rsidRDefault="00C05A4F" w:rsidP="00C05A4F">
                                <w:pPr>
                                  <w:pStyle w:val="AralkYok"/>
                                </w:pPr>
                              </w:p>
                              <w:p w14:paraId="4CF108C5" w14:textId="77777777" w:rsidR="00C05A4F" w:rsidRDefault="00C05A4F" w:rsidP="00C05A4F">
                                <w:pPr>
                                  <w:pStyle w:val="AralkYok"/>
                                </w:pPr>
                              </w:p>
                              <w:p w14:paraId="55EA5CC2" w14:textId="77777777" w:rsidR="00C05A4F" w:rsidRPr="002023F8" w:rsidRDefault="00C05A4F" w:rsidP="00C05A4F">
                                <w:pPr>
                                  <w:pStyle w:val="AralkYok"/>
                                </w:pPr>
                              </w:p>
                              <w:bookmarkEnd w:id="2"/>
                              <w:bookmarkEnd w:id="3"/>
                              <w:p w14:paraId="1AF56D99" w14:textId="77777777" w:rsidR="00C05A4F" w:rsidRPr="002023F8" w:rsidRDefault="00C05A4F" w:rsidP="00C05A4F">
                                <w:pPr>
                                  <w:pStyle w:val="AralkYok"/>
                                </w:pPr>
                              </w:p>
                              <w:p w14:paraId="547A485E" w14:textId="77777777" w:rsidR="00C05A4F" w:rsidRPr="002023F8" w:rsidRDefault="00C05A4F" w:rsidP="00C05A4F"/>
                            </w:txbxContent>
                          </v:textbox>
                        </v:shape>
                        <w10:wrap anchorx="page" anchory="page"/>
                      </v:group>
                    </w:pict>
                  </mc:Fallback>
                </mc:AlternateContent>
              </w:r>
              <w:r w:rsidR="00E52E47">
                <w:rPr>
                  <w:noProof/>
                </w:rPr>
                <w:drawing>
                  <wp:inline distT="0" distB="0" distL="0" distR="0" wp14:anchorId="1EC16D33" wp14:editId="73C595DA">
                    <wp:extent cx="5208270" cy="2967184"/>
                    <wp:effectExtent l="0" t="0" r="0" b="5080"/>
                    <wp:docPr id="21071181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962" cy="2991506"/>
                            </a:xfrm>
                            <a:prstGeom prst="rect">
                              <a:avLst/>
                            </a:prstGeom>
                            <a:noFill/>
                            <a:ln>
                              <a:noFill/>
                            </a:ln>
                          </pic:spPr>
                        </pic:pic>
                      </a:graphicData>
                    </a:graphic>
                  </wp:inline>
                </w:drawing>
              </w:r>
            </w:p>
            <w:p w14:paraId="2F69D38B" w14:textId="17F2AB4B" w:rsidR="00C05A4F" w:rsidRPr="00733EA9" w:rsidRDefault="00653A26" w:rsidP="00BA162B">
              <w:pPr>
                <w:spacing w:after="120" w:line="271" w:lineRule="auto"/>
              </w:pPr>
              <w:r>
                <w:rPr>
                  <w:noProof/>
                </w:rPr>
                <mc:AlternateContent>
                  <mc:Choice Requires="wps">
                    <w:drawing>
                      <wp:anchor distT="0" distB="0" distL="114300" distR="114300" simplePos="0" relativeHeight="251668480" behindDoc="1" locked="0" layoutInCell="1" allowOverlap="1" wp14:anchorId="3160E403" wp14:editId="59366CA4">
                        <wp:simplePos x="0" y="0"/>
                        <wp:positionH relativeFrom="page">
                          <wp:posOffset>212090</wp:posOffset>
                        </wp:positionH>
                        <wp:positionV relativeFrom="page">
                          <wp:posOffset>231775</wp:posOffset>
                        </wp:positionV>
                        <wp:extent cx="7112000" cy="10193020"/>
                        <wp:effectExtent l="0" t="0" r="0" b="0"/>
                        <wp:wrapNone/>
                        <wp:docPr id="956718602"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0" cy="1019302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6B1F38E" id="Dikdörtgen 6" o:spid="_x0000_s1026" style="position:absolute;margin-left:16.7pt;margin-top:18.25pt;width:560pt;height:802.6pt;z-index:-251648000;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" fillcolor="#e7e6e6 [3214]" stroked="f">
                        <w10:wrap anchorx="page" anchory="page"/>
                      </v:rect>
                    </w:pict>
                  </mc:Fallback>
                </mc:AlternateContent>
              </w:r>
            </w:p>
            <w:p w14:paraId="09E545FA" w14:textId="77777777" w:rsidR="00C05A4F" w:rsidRPr="00733EA9" w:rsidRDefault="00C05A4F" w:rsidP="00BA162B">
              <w:pPr>
                <w:spacing w:after="120" w:line="271" w:lineRule="auto"/>
              </w:pPr>
            </w:p>
            <w:p w14:paraId="3BBA506D" w14:textId="77777777" w:rsidR="00C05A4F" w:rsidRPr="00733EA9" w:rsidRDefault="00C05A4F" w:rsidP="00BA162B">
              <w:pPr>
                <w:spacing w:after="120" w:line="271" w:lineRule="auto"/>
              </w:pPr>
            </w:p>
            <w:p w14:paraId="75AC3FCF" w14:textId="77777777" w:rsidR="00C05A4F" w:rsidRPr="00733EA9" w:rsidRDefault="00C05A4F" w:rsidP="00BA162B">
              <w:pPr>
                <w:spacing w:after="120" w:line="271" w:lineRule="auto"/>
              </w:pPr>
            </w:p>
            <w:p w14:paraId="6C18DCB6" w14:textId="0E24CEB9" w:rsidR="00C05A4F" w:rsidRPr="00733EA9" w:rsidRDefault="00C05A4F" w:rsidP="00BA162B">
              <w:pPr>
                <w:spacing w:after="120" w:line="271" w:lineRule="auto"/>
              </w:pPr>
            </w:p>
            <w:p w14:paraId="10D81D58" w14:textId="4FBE95E9" w:rsidR="00C05A4F" w:rsidRPr="00733EA9" w:rsidRDefault="00C05A4F" w:rsidP="00BA162B">
              <w:pPr>
                <w:spacing w:after="120" w:line="271" w:lineRule="auto"/>
              </w:pPr>
            </w:p>
            <w:p w14:paraId="4DEA69BF" w14:textId="5D89F3B8" w:rsidR="00C05A4F" w:rsidRPr="00733EA9" w:rsidRDefault="001B7148" w:rsidP="00BA162B">
              <w:pPr>
                <w:spacing w:after="120" w:line="271" w:lineRule="auto"/>
              </w:pPr>
              <w:r>
                <w:rPr>
                  <w:noProof/>
                </w:rPr>
                <mc:AlternateContent>
                  <mc:Choice Requires="wpg">
                    <w:drawing>
                      <wp:anchor distT="0" distB="0" distL="114300" distR="114300" simplePos="0" relativeHeight="251670528" behindDoc="0" locked="0" layoutInCell="1" allowOverlap="1" wp14:anchorId="78301F1B" wp14:editId="15352C98">
                        <wp:simplePos x="0" y="0"/>
                        <wp:positionH relativeFrom="page">
                          <wp:posOffset>2340429</wp:posOffset>
                        </wp:positionH>
                        <wp:positionV relativeFrom="page">
                          <wp:posOffset>5867400</wp:posOffset>
                        </wp:positionV>
                        <wp:extent cx="4572000" cy="4038601"/>
                        <wp:effectExtent l="0" t="0" r="0" b="0"/>
                        <wp:wrapNone/>
                        <wp:docPr id="692832202"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4038601"/>
                                  <a:chOff x="-162544" y="-632674"/>
                                  <a:chExt cx="4573293" cy="3577716"/>
                                </a:xfrm>
                              </wpg:grpSpPr>
                              <wpg:grpSp>
                                <wpg:cNvPr id="48" name="Grup 8" title="Crop mark graphic"/>
                                <wpg:cNvGrpSpPr/>
                                <wpg:grpSpPr>
                                  <a:xfrm>
                                    <a:off x="2038350" y="-632674"/>
                                    <a:ext cx="2372399" cy="3577716"/>
                                    <a:chOff x="0" y="-632246"/>
                                    <a:chExt cx="2368281" cy="3575292"/>
                                  </a:xfrm>
                                </wpg:grpSpPr>
                                <wps:wsp>
                                  <wps:cNvPr id="49" name="Serbest Form 4"/>
                                  <wps:cNvSpPr>
                                    <a:spLocks/>
                                  </wps:cNvSpPr>
                                  <wps:spPr bwMode="auto">
                                    <a:xfrm>
                                      <a:off x="0" y="-142"/>
                                      <a:ext cx="2133600" cy="2943188"/>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4" name="Dikdörtgen 7"/>
                                  <wps:cNvSpPr/>
                                  <wps:spPr>
                                    <a:xfrm>
                                      <a:off x="0" y="-632246"/>
                                      <a:ext cx="2368281"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Metin Kutusu 10" title="Başlık ve alt başlık"/>
                                <wps:cNvSpPr txBox="1"/>
                                <wps:spPr>
                                  <a:xfrm>
                                    <a:off x="-162544" y="573625"/>
                                    <a:ext cx="3904218" cy="1504950"/>
                                  </a:xfrm>
                                  <a:prstGeom prst="rect">
                                    <a:avLst/>
                                  </a:prstGeom>
                                  <a:noFill/>
                                  <a:ln w="6350">
                                    <a:noFill/>
                                  </a:ln>
                                </wps:spPr>
                                <wps:txbx>
                                  <w:txbxContent>
                                    <w:p w14:paraId="2D3B00F4" w14:textId="77777777" w:rsidR="00C05A4F" w:rsidRPr="00D84815" w:rsidRDefault="00000000" w:rsidP="00C05A4F">
                                      <w:pPr>
                                        <w:pStyle w:val="AralkYok"/>
                                        <w:rPr>
                                          <w:sz w:val="96"/>
                                          <w:szCs w:val="96"/>
                                        </w:rPr>
                                      </w:pPr>
                                      <w:sdt>
                                        <w:sdtPr>
                                          <w:alias w:val="Başlık"/>
                                          <w:tag w:val=""/>
                                          <w:id w:val="-1832518544"/>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C05A4F">
                                            <w:t xml:space="preserve">     </w:t>
                                          </w:r>
                                        </w:sdtContent>
                                      </w:sdt>
                                    </w:p>
                                    <w:p w14:paraId="4BA069BB" w14:textId="77777777" w:rsidR="00C05A4F" w:rsidRPr="00E04BA7" w:rsidRDefault="00000000" w:rsidP="00C05A4F">
                                      <w:pPr>
                                        <w:pStyle w:val="AralkYok"/>
                                      </w:pPr>
                                      <w:sdt>
                                        <w:sdtPr>
                                          <w:alias w:val="Şirket"/>
                                          <w:tag w:val=""/>
                                          <w:id w:val="-776716983"/>
                                          <w:showingPlcHdr/>
                                          <w:dataBinding w:prefixMappings="xmlns:ns0='http://schemas.openxmlformats.org/officeDocument/2006/extended-properties' " w:xpath="/ns0:Properties[1]/ns0:Company[1]" w:storeItemID="{6668398D-A668-4E3E-A5EB-62B293D839F1}"/>
                                          <w15:appearance w15:val="hidden"/>
                                          <w:text/>
                                        </w:sdtPr>
                                        <w:sdtContent>
                                          <w:r w:rsidR="00C05A4F">
                                            <w:t xml:space="preserve">     </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01F1B" id="Grup 5" o:spid="_x0000_s1031" style="position:absolute;left:0;text-align:left;margin-left:184.3pt;margin-top:462pt;width:5in;height:318pt;z-index:251670528;mso-position-horizontal-relative:page;mso-position-vertical-relative:page;mso-width-relative:margin;mso-height-relative:margin" coordorigin="-1625,-6326" coordsize="45732,3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">
                        <v:group id="Grup 8" o:spid="_x0000_s1032" style="position:absolute;left:20383;top:-6326;width:23724;height:35776" coordorigin=",-6322" coordsize="23682,3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erbest Form 4" o:spid="_x0000_s1033" style="position:absolute;top:-1;width:21336;height:29431;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" path="m1344,1806l,1806,,1641r1176,l1176,r168,l1344,1806xe" fillcolor="#44546a [3215]" stroked="f">
                            <v:path arrowok="t" o:connecttype="custom" o:connectlocs="2133600,2943188;0,2943188;0,2674292;1866900,2674292;1866900,0;2133600,0;2133600,2943188" o:connectangles="0,0,0,0,0,0,0"/>
                          </v:shape>
                          <v:rect id="Dikdörtgen 7" o:spid="_x0000_s1034" style="position:absolute;top:-6322;width:23682;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group>
                        <v:shape id="Metin Kutusu 10" o:spid="_x0000_s1035" type="#_x0000_t202" style="position:absolute;left:-1625;top:5736;width:39041;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" filled="f" stroked="f" strokeweight=".5pt">
                          <v:textbox inset="0,0,36pt,36pt">
                            <w:txbxContent>
                              <w:p w14:paraId="2D3B00F4" w14:textId="77777777" w:rsidR="00C05A4F" w:rsidRPr="00D84815" w:rsidRDefault="00000000" w:rsidP="00C05A4F">
                                <w:pPr>
                                  <w:pStyle w:val="AralkYok"/>
                                  <w:rPr>
                                    <w:sz w:val="96"/>
                                    <w:szCs w:val="96"/>
                                  </w:rPr>
                                </w:pPr>
                                <w:sdt>
                                  <w:sdtPr>
                                    <w:alias w:val="Başlık"/>
                                    <w:tag w:val=""/>
                                    <w:id w:val="-1832518544"/>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C05A4F">
                                      <w:t xml:space="preserve">     </w:t>
                                    </w:r>
                                  </w:sdtContent>
                                </w:sdt>
                              </w:p>
                              <w:p w14:paraId="4BA069BB" w14:textId="77777777" w:rsidR="00C05A4F" w:rsidRPr="00E04BA7" w:rsidRDefault="00000000" w:rsidP="00C05A4F">
                                <w:pPr>
                                  <w:pStyle w:val="AralkYok"/>
                                </w:pPr>
                                <w:sdt>
                                  <w:sdtPr>
                                    <w:alias w:val="Şirket"/>
                                    <w:tag w:val=""/>
                                    <w:id w:val="-776716983"/>
                                    <w:showingPlcHdr/>
                                    <w:dataBinding w:prefixMappings="xmlns:ns0='http://schemas.openxmlformats.org/officeDocument/2006/extended-properties' " w:xpath="/ns0:Properties[1]/ns0:Company[1]" w:storeItemID="{6668398D-A668-4E3E-A5EB-62B293D839F1}"/>
                                    <w15:appearance w15:val="hidden"/>
                                    <w:text/>
                                  </w:sdtPr>
                                  <w:sdtContent>
                                    <w:r w:rsidR="00C05A4F">
                                      <w:t xml:space="preserve">     </w:t>
                                    </w:r>
                                  </w:sdtContent>
                                </w:sdt>
                              </w:p>
                            </w:txbxContent>
                          </v:textbox>
                        </v:shape>
                        <w10:wrap anchorx="page" anchory="page"/>
                      </v:group>
                    </w:pict>
                  </mc:Fallback>
                </mc:AlternateContent>
              </w:r>
            </w:p>
            <w:p w14:paraId="34E7A7BE" w14:textId="12337F1C" w:rsidR="00C05A4F" w:rsidRPr="00733EA9" w:rsidRDefault="00C05A4F" w:rsidP="00BA162B">
              <w:pPr>
                <w:spacing w:after="120" w:line="271" w:lineRule="auto"/>
              </w:pPr>
            </w:p>
            <w:p w14:paraId="361AF852" w14:textId="48B3701C" w:rsidR="00C05A4F" w:rsidRPr="00733EA9" w:rsidRDefault="00000000" w:rsidP="00BA162B">
              <w:pPr>
                <w:spacing w:after="120" w:line="271" w:lineRule="auto"/>
              </w:pPr>
            </w:p>
          </w:sdtContent>
        </w:sdt>
        <w:p w14:paraId="43B52287" w14:textId="77777777" w:rsidR="00C05A4F" w:rsidRPr="00733EA9" w:rsidRDefault="00C05A4F" w:rsidP="00BA162B">
          <w:pPr>
            <w:spacing w:after="120" w:line="271" w:lineRule="auto"/>
          </w:pPr>
        </w:p>
        <w:p w14:paraId="16FA6C7D" w14:textId="77777777" w:rsidR="00C05A4F" w:rsidRPr="00733EA9" w:rsidRDefault="00C05A4F" w:rsidP="00BA162B">
          <w:pPr>
            <w:spacing w:after="120" w:line="271" w:lineRule="auto"/>
          </w:pPr>
        </w:p>
        <w:p w14:paraId="2020A9EA" w14:textId="77777777" w:rsidR="00C05A4F" w:rsidRPr="00733EA9" w:rsidRDefault="00C05A4F" w:rsidP="00BA162B">
          <w:pPr>
            <w:spacing w:after="120" w:line="271" w:lineRule="auto"/>
          </w:pPr>
        </w:p>
        <w:p w14:paraId="202339D2" w14:textId="76D18E15" w:rsidR="00C05A4F" w:rsidRPr="00733EA9" w:rsidRDefault="00B76F02" w:rsidP="00BA162B">
          <w:pPr>
            <w:spacing w:after="120" w:line="271" w:lineRule="auto"/>
          </w:pPr>
          <w:r w:rsidRPr="00733EA9">
            <w:rPr>
              <w:noProof/>
            </w:rPr>
            <w:drawing>
              <wp:inline distT="0" distB="0" distL="0" distR="0" wp14:anchorId="6044AF3E" wp14:editId="4B8039D0">
                <wp:extent cx="2156460" cy="1482725"/>
                <wp:effectExtent l="0" t="0" r="0" b="31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9922" cy="1567614"/>
                        </a:xfrm>
                        <a:prstGeom prst="rect">
                          <a:avLst/>
                        </a:prstGeom>
                      </pic:spPr>
                    </pic:pic>
                  </a:graphicData>
                </a:graphic>
              </wp:inline>
            </w:drawing>
          </w:r>
        </w:p>
        <w:p w14:paraId="078EBA50" w14:textId="77777777" w:rsidR="00C05A4F" w:rsidRPr="00733EA9" w:rsidRDefault="00C05A4F" w:rsidP="00FD40D2">
          <w:pPr>
            <w:spacing w:after="120" w:line="271" w:lineRule="auto"/>
            <w:ind w:firstLine="0"/>
          </w:pPr>
        </w:p>
        <w:p w14:paraId="6C9C951A" w14:textId="77777777" w:rsidR="00E52E47" w:rsidRDefault="00E52E47" w:rsidP="00F20C07">
          <w:pPr>
            <w:spacing w:after="120" w:line="271" w:lineRule="auto"/>
            <w:jc w:val="center"/>
            <w:rPr>
              <w:b/>
              <w:bCs/>
            </w:rPr>
          </w:pPr>
        </w:p>
        <w:p w14:paraId="7D670990" w14:textId="77777777" w:rsidR="00E52E47" w:rsidRDefault="00E52E47" w:rsidP="00F20C07">
          <w:pPr>
            <w:spacing w:after="120" w:line="271" w:lineRule="auto"/>
            <w:jc w:val="center"/>
            <w:rPr>
              <w:b/>
              <w:bCs/>
            </w:rPr>
          </w:pPr>
        </w:p>
        <w:p w14:paraId="42734D46" w14:textId="77777777" w:rsidR="00ED70B3" w:rsidRDefault="00ED70B3" w:rsidP="00F20C07">
          <w:pPr>
            <w:spacing w:after="120" w:line="271" w:lineRule="auto"/>
            <w:jc w:val="center"/>
            <w:rPr>
              <w:b/>
              <w:bCs/>
            </w:rPr>
          </w:pPr>
        </w:p>
        <w:p w14:paraId="2B407D32" w14:textId="77777777" w:rsidR="00ED70B3" w:rsidRDefault="00ED70B3" w:rsidP="00F20C07">
          <w:pPr>
            <w:spacing w:after="120" w:line="271" w:lineRule="auto"/>
            <w:jc w:val="center"/>
            <w:rPr>
              <w:b/>
              <w:bCs/>
            </w:rPr>
          </w:pPr>
        </w:p>
        <w:p w14:paraId="7C532276" w14:textId="1C5E0D45" w:rsidR="001B7148" w:rsidRDefault="001B7148" w:rsidP="00136478">
          <w:pPr>
            <w:spacing w:after="120" w:line="271" w:lineRule="auto"/>
            <w:ind w:firstLine="0"/>
            <w:rPr>
              <w:b/>
              <w:bCs/>
            </w:rPr>
          </w:pPr>
        </w:p>
        <w:p w14:paraId="5F2FC20B" w14:textId="4633FFC1" w:rsidR="001B7148" w:rsidRDefault="001B7148" w:rsidP="00F20C07">
          <w:pPr>
            <w:spacing w:after="120" w:line="271" w:lineRule="auto"/>
            <w:jc w:val="center"/>
            <w:rPr>
              <w:b/>
              <w:bCs/>
            </w:rPr>
          </w:pPr>
        </w:p>
        <w:p w14:paraId="53E76E32" w14:textId="77777777" w:rsidR="001B7148" w:rsidRDefault="001B7148" w:rsidP="00F20C07">
          <w:pPr>
            <w:spacing w:after="120" w:line="271" w:lineRule="auto"/>
            <w:jc w:val="center"/>
            <w:rPr>
              <w:b/>
              <w:bCs/>
            </w:rPr>
          </w:pPr>
        </w:p>
        <w:p w14:paraId="098E4E9B" w14:textId="640F9EC2" w:rsidR="00C05A4F" w:rsidRDefault="00C05A4F" w:rsidP="00F20C07">
          <w:pPr>
            <w:spacing w:after="120" w:line="271" w:lineRule="auto"/>
            <w:jc w:val="center"/>
            <w:rPr>
              <w:b/>
              <w:bCs/>
            </w:rPr>
          </w:pPr>
          <w:r w:rsidRPr="00733EA9">
            <w:rPr>
              <w:b/>
              <w:bCs/>
            </w:rPr>
            <w:t>HAKKIMIZDA</w:t>
          </w:r>
        </w:p>
        <w:p w14:paraId="6949228A" w14:textId="77777777" w:rsidR="00FD40D2" w:rsidRPr="00733EA9" w:rsidRDefault="00FD40D2" w:rsidP="00F20C07">
          <w:pPr>
            <w:spacing w:after="120" w:line="271" w:lineRule="auto"/>
            <w:jc w:val="center"/>
            <w:rPr>
              <w:b/>
              <w:bCs/>
            </w:rPr>
          </w:pPr>
        </w:p>
        <w:p w14:paraId="336A44FC" w14:textId="54551123" w:rsidR="00C05A4F" w:rsidRPr="00733EA9" w:rsidRDefault="00C05A4F" w:rsidP="00BA162B">
          <w:pPr>
            <w:pStyle w:val="NormalWeb"/>
            <w:spacing w:before="0" w:beforeAutospacing="0" w:after="120" w:afterAutospacing="0" w:line="271" w:lineRule="auto"/>
            <w:rPr>
              <w:rFonts w:ascii="Palatino Linotype" w:hAnsi="Palatino Linotype"/>
              <w:sz w:val="22"/>
              <w:szCs w:val="22"/>
            </w:rPr>
          </w:pPr>
          <w:r w:rsidRPr="00733EA9">
            <w:rPr>
              <w:rFonts w:ascii="Palatino Linotype" w:hAnsi="Palatino Linotype"/>
              <w:sz w:val="22"/>
              <w:szCs w:val="22"/>
            </w:rPr>
            <w:t xml:space="preserve">Türk hukukçular tarafından Hollanda merkezli kurulan </w:t>
          </w:r>
          <w:r w:rsidR="001E585B" w:rsidRPr="00F20C07">
            <w:rPr>
              <w:rFonts w:ascii="Palatino Linotype" w:hAnsi="Palatino Linotype"/>
              <w:sz w:val="22"/>
              <w:szCs w:val="22"/>
            </w:rPr>
            <w:t>Stichting</w:t>
          </w:r>
          <w:r w:rsidR="001E585B" w:rsidRPr="00733EA9">
            <w:rPr>
              <w:rFonts w:ascii="Palatino Linotype" w:hAnsi="Palatino Linotype"/>
              <w:sz w:val="22"/>
              <w:szCs w:val="22"/>
            </w:rPr>
            <w:t xml:space="preserve"> </w:t>
          </w:r>
          <w:r w:rsidRPr="00733EA9">
            <w:rPr>
              <w:rFonts w:ascii="Palatino Linotype" w:hAnsi="Palatino Linotype"/>
              <w:sz w:val="22"/>
              <w:szCs w:val="22"/>
            </w:rPr>
            <w:t>Justice Square temel insan hakları ve yaşanan hak ihlalleri konularında farkındalık oluşturmak ve</w:t>
          </w:r>
          <w:r w:rsidR="00943001" w:rsidRPr="00733EA9">
            <w:rPr>
              <w:rFonts w:ascii="Palatino Linotype" w:hAnsi="Palatino Linotype"/>
              <w:sz w:val="22"/>
              <w:szCs w:val="22"/>
            </w:rPr>
            <w:t xml:space="preserve"> bu alanda</w:t>
          </w:r>
          <w:r w:rsidRPr="00733EA9">
            <w:rPr>
              <w:rFonts w:ascii="Palatino Linotype" w:hAnsi="Palatino Linotype"/>
              <w:sz w:val="22"/>
              <w:szCs w:val="22"/>
            </w:rPr>
            <w:t xml:space="preserve"> mücadele etmek amaçlı kurulmuş bir sivil toplum kuruluşudur. </w:t>
          </w:r>
        </w:p>
        <w:p w14:paraId="0EE545A0" w14:textId="0ED8F05D" w:rsidR="00C05A4F" w:rsidRPr="00733EA9" w:rsidRDefault="00C05A4F" w:rsidP="00BA162B">
          <w:pPr>
            <w:pStyle w:val="NormalWeb"/>
            <w:spacing w:before="0" w:beforeAutospacing="0" w:after="120" w:afterAutospacing="0" w:line="271" w:lineRule="auto"/>
            <w:rPr>
              <w:rFonts w:ascii="Palatino Linotype" w:hAnsi="Palatino Linotype"/>
              <w:sz w:val="22"/>
              <w:szCs w:val="22"/>
            </w:rPr>
          </w:pPr>
          <w:r w:rsidRPr="00733EA9">
            <w:rPr>
              <w:rFonts w:ascii="Palatino Linotype" w:hAnsi="Palatino Linotype"/>
              <w:sz w:val="22"/>
              <w:szCs w:val="22"/>
            </w:rPr>
            <w:t>www.justicesquare.org</w:t>
          </w:r>
        </w:p>
        <w:p w14:paraId="0CACC8F2" w14:textId="77777777" w:rsidR="00C05A4F" w:rsidRPr="00733EA9" w:rsidRDefault="00C05A4F" w:rsidP="00BA162B">
          <w:pPr>
            <w:spacing w:after="120" w:line="271" w:lineRule="auto"/>
          </w:pPr>
        </w:p>
        <w:p w14:paraId="5BA599C5" w14:textId="77777777" w:rsidR="00C05A4F" w:rsidRPr="00733EA9" w:rsidRDefault="00C05A4F" w:rsidP="00BA162B">
          <w:pPr>
            <w:spacing w:after="120" w:line="271" w:lineRule="auto"/>
          </w:pPr>
        </w:p>
        <w:p w14:paraId="7B08FAB2" w14:textId="77777777" w:rsidR="00C05A4F" w:rsidRPr="00733EA9" w:rsidRDefault="00C05A4F" w:rsidP="00BA162B">
          <w:pPr>
            <w:spacing w:after="120" w:line="271" w:lineRule="auto"/>
          </w:pPr>
        </w:p>
        <w:p w14:paraId="22868098" w14:textId="77777777" w:rsidR="00C05A4F" w:rsidRPr="00733EA9" w:rsidRDefault="00C05A4F" w:rsidP="00BA162B">
          <w:pPr>
            <w:spacing w:after="120" w:line="271" w:lineRule="auto"/>
          </w:pPr>
        </w:p>
        <w:p w14:paraId="1CFFF980" w14:textId="535C35CA" w:rsidR="00C05A4F" w:rsidRPr="00733EA9" w:rsidRDefault="00C05A4F" w:rsidP="00BA162B">
          <w:pPr>
            <w:spacing w:after="120" w:line="271" w:lineRule="auto"/>
          </w:pPr>
        </w:p>
        <w:p w14:paraId="13886219" w14:textId="72281925" w:rsidR="00C05A4F" w:rsidRPr="00733EA9" w:rsidRDefault="00C05A4F" w:rsidP="00BA162B">
          <w:pPr>
            <w:spacing w:after="120" w:line="271" w:lineRule="auto"/>
          </w:pPr>
        </w:p>
        <w:p w14:paraId="075985E6" w14:textId="107279F0" w:rsidR="00C05A4F" w:rsidRPr="00733EA9" w:rsidRDefault="00C05A4F" w:rsidP="00BA162B">
          <w:pPr>
            <w:spacing w:after="120" w:line="271" w:lineRule="auto"/>
          </w:pPr>
        </w:p>
        <w:p w14:paraId="12BC9434" w14:textId="3389C64D" w:rsidR="00C05A4F" w:rsidRPr="00733EA9" w:rsidRDefault="00C05A4F" w:rsidP="00BA162B">
          <w:pPr>
            <w:spacing w:after="120" w:line="271" w:lineRule="auto"/>
          </w:pPr>
        </w:p>
        <w:p w14:paraId="1D4B4348" w14:textId="77777777" w:rsidR="0096192A" w:rsidRPr="00733EA9" w:rsidRDefault="0096192A" w:rsidP="00BA162B">
          <w:pPr>
            <w:spacing w:after="120" w:line="271" w:lineRule="auto"/>
            <w:ind w:firstLine="0"/>
          </w:pPr>
        </w:p>
        <w:p w14:paraId="64B9CF86" w14:textId="77777777" w:rsidR="00733EA9" w:rsidRPr="00733EA9" w:rsidRDefault="00733EA9" w:rsidP="00BA162B">
          <w:pPr>
            <w:spacing w:after="120" w:line="271" w:lineRule="auto"/>
            <w:ind w:firstLine="0"/>
          </w:pPr>
        </w:p>
        <w:p w14:paraId="138B3EA8" w14:textId="77777777" w:rsidR="00733EA9" w:rsidRPr="00733EA9" w:rsidRDefault="00733EA9" w:rsidP="00BA162B">
          <w:pPr>
            <w:spacing w:after="120" w:line="271" w:lineRule="auto"/>
            <w:ind w:firstLine="0"/>
          </w:pPr>
        </w:p>
        <w:p w14:paraId="7F72CCED" w14:textId="77777777" w:rsidR="00733EA9" w:rsidRPr="00733EA9" w:rsidRDefault="00733EA9" w:rsidP="00BA162B">
          <w:pPr>
            <w:spacing w:after="120" w:line="271" w:lineRule="auto"/>
            <w:ind w:firstLine="0"/>
          </w:pPr>
        </w:p>
        <w:p w14:paraId="3747A21D" w14:textId="77777777" w:rsidR="00733EA9" w:rsidRDefault="00733EA9" w:rsidP="00BA162B">
          <w:pPr>
            <w:spacing w:after="120" w:line="271" w:lineRule="auto"/>
            <w:ind w:firstLine="0"/>
          </w:pPr>
        </w:p>
        <w:p w14:paraId="6D329AF2" w14:textId="77777777" w:rsidR="00136478" w:rsidRDefault="00136478" w:rsidP="00BA162B">
          <w:pPr>
            <w:spacing w:after="120" w:line="271" w:lineRule="auto"/>
            <w:ind w:firstLine="0"/>
          </w:pPr>
        </w:p>
        <w:p w14:paraId="4A1FF2C9" w14:textId="77777777" w:rsidR="00136478" w:rsidRDefault="00136478" w:rsidP="00BA162B">
          <w:pPr>
            <w:spacing w:after="120" w:line="271" w:lineRule="auto"/>
            <w:ind w:firstLine="0"/>
          </w:pPr>
        </w:p>
        <w:p w14:paraId="2F171D97" w14:textId="77777777" w:rsidR="00136478" w:rsidRPr="00733EA9" w:rsidRDefault="00136478" w:rsidP="00BA162B">
          <w:pPr>
            <w:spacing w:after="120" w:line="271" w:lineRule="auto"/>
            <w:ind w:firstLine="0"/>
          </w:pPr>
        </w:p>
        <w:p w14:paraId="250ED704" w14:textId="77777777" w:rsidR="00733EA9" w:rsidRPr="00733EA9" w:rsidRDefault="00733EA9" w:rsidP="00BA162B">
          <w:pPr>
            <w:spacing w:after="120" w:line="271" w:lineRule="auto"/>
            <w:ind w:firstLine="0"/>
          </w:pPr>
        </w:p>
        <w:p w14:paraId="60BFCF56" w14:textId="77777777" w:rsidR="00733EA9" w:rsidRPr="00733EA9" w:rsidRDefault="00733EA9" w:rsidP="00BA162B">
          <w:pPr>
            <w:spacing w:after="120" w:line="271" w:lineRule="auto"/>
            <w:ind w:firstLine="0"/>
          </w:pPr>
        </w:p>
        <w:p w14:paraId="7D4757B9" w14:textId="3D205AE1" w:rsidR="00FC6C75" w:rsidRPr="00733EA9" w:rsidRDefault="00000000" w:rsidP="001B7148">
          <w:pPr>
            <w:spacing w:after="120" w:line="271" w:lineRule="auto"/>
            <w:ind w:firstLine="0"/>
          </w:pPr>
        </w:p>
      </w:sdtContent>
    </w:sdt>
    <w:p w14:paraId="754ED9E8" w14:textId="5F8B35C4" w:rsidR="00C05A4F" w:rsidRPr="00136478" w:rsidRDefault="00C05A4F" w:rsidP="0065557D">
      <w:pPr>
        <w:pStyle w:val="Balk1"/>
        <w:numPr>
          <w:ilvl w:val="0"/>
          <w:numId w:val="0"/>
        </w:numPr>
        <w:ind w:left="1276" w:hanging="1276"/>
        <w:jc w:val="center"/>
        <w:rPr>
          <w:rFonts w:ascii="Palatino Linotype" w:hAnsi="Palatino Linotype"/>
        </w:rPr>
      </w:pPr>
      <w:bookmarkStart w:id="2" w:name="_Toc140620919"/>
      <w:bookmarkStart w:id="3" w:name="_Toc142955964"/>
      <w:bookmarkStart w:id="4" w:name="_Toc145973912"/>
      <w:bookmarkStart w:id="5" w:name="_Toc151927088"/>
      <w:r w:rsidRPr="00136478">
        <w:rPr>
          <w:rFonts w:ascii="Palatino Linotype" w:hAnsi="Palatino Linotype"/>
        </w:rPr>
        <w:lastRenderedPageBreak/>
        <w:t>ÖNSÖZ</w:t>
      </w:r>
      <w:bookmarkEnd w:id="2"/>
      <w:bookmarkEnd w:id="3"/>
      <w:bookmarkEnd w:id="4"/>
      <w:bookmarkEnd w:id="5"/>
    </w:p>
    <w:p w14:paraId="03F7B567" w14:textId="6AAEB9D7" w:rsidR="00EC4D5A" w:rsidRPr="00094299" w:rsidRDefault="00EC4D5A" w:rsidP="00094299">
      <w:pPr>
        <w:autoSpaceDE w:val="0"/>
        <w:autoSpaceDN w:val="0"/>
        <w:adjustRightInd w:val="0"/>
        <w:spacing w:after="120" w:line="271" w:lineRule="auto"/>
        <w:textAlignment w:val="center"/>
      </w:pPr>
      <w:r w:rsidRPr="00094299">
        <w:t xml:space="preserve">15-20 Temmuz sürecinin ardından en çok konuşulan konulardan biri hiç şüphesiz Bylock olmuştur. Bir haberleşme programını bu kadar önemli hale getiren husus, bu programı kullandığı iddia edilen 100 binden fazla kişinin silahlı örgüt üyeliği gibi ağır bir suçtan cezalandırılmasına gerekçe yapılmasıdır. </w:t>
      </w:r>
    </w:p>
    <w:p w14:paraId="6F29AA07" w14:textId="73118FA3" w:rsidR="004749A9" w:rsidRPr="00094299" w:rsidRDefault="00EC4D5A" w:rsidP="00094299">
      <w:pPr>
        <w:autoSpaceDE w:val="0"/>
        <w:autoSpaceDN w:val="0"/>
        <w:adjustRightInd w:val="0"/>
        <w:spacing w:after="120" w:line="271" w:lineRule="auto"/>
        <w:textAlignment w:val="center"/>
      </w:pPr>
      <w:r w:rsidRPr="00094299">
        <w:t>Yargılama aşamasında ileri sürülen hukuka aykırılık iddiaları hiç dikkate alınma</w:t>
      </w:r>
      <w:r w:rsidR="005D7413">
        <w:t>mış</w:t>
      </w:r>
      <w:r w:rsidRPr="00094299">
        <w:t xml:space="preserve"> ve Yargıtay ve AYM’nin yerleşik içtihatlarına rağmen, MİT’in istihbari çalışmayla elde ettiği </w:t>
      </w:r>
      <w:r w:rsidR="004749A9" w:rsidRPr="00094299">
        <w:t xml:space="preserve">istihbari bir delil ceza yarılamalarının en önemli ve </w:t>
      </w:r>
      <w:r w:rsidR="00094299">
        <w:t xml:space="preserve">hatta </w:t>
      </w:r>
      <w:r w:rsidR="004749A9" w:rsidRPr="00094299">
        <w:t>ana suçlayıcı delili haline gelmiştir. Hükümet, AİHM’e sunduğu beyanlarında bu hususu açıkça dile getirmiş ve Bylock dışındaki Bank Asya’da hesap hareket</w:t>
      </w:r>
      <w:r w:rsidR="00094299">
        <w:t>leri</w:t>
      </w:r>
      <w:r w:rsidR="004749A9" w:rsidRPr="00094299">
        <w:t xml:space="preserve"> ve dernek-üyeliği gibi hususların cezalandırma için yeterli olma</w:t>
      </w:r>
      <w:r w:rsidR="00094299">
        <w:t>yıp ancak</w:t>
      </w:r>
      <w:r w:rsidR="004749A9" w:rsidRPr="00094299">
        <w:t xml:space="preserve"> yan delil ol</w:t>
      </w:r>
      <w:r w:rsidR="00094299">
        <w:t xml:space="preserve">abileceklerini </w:t>
      </w:r>
      <w:r w:rsidR="004749A9" w:rsidRPr="00094299">
        <w:t>söylemiştir.</w:t>
      </w:r>
    </w:p>
    <w:p w14:paraId="235FB480" w14:textId="30E308F9" w:rsidR="004749A9" w:rsidRDefault="004749A9" w:rsidP="00094299">
      <w:pPr>
        <w:autoSpaceDE w:val="0"/>
        <w:autoSpaceDN w:val="0"/>
        <w:adjustRightInd w:val="0"/>
        <w:spacing w:after="120" w:line="271" w:lineRule="auto"/>
        <w:textAlignment w:val="center"/>
      </w:pPr>
      <w:r w:rsidRPr="00094299">
        <w:t>Ulusal mahkemeler</w:t>
      </w:r>
      <w:r w:rsidR="005D7413">
        <w:t>in</w:t>
      </w:r>
      <w:r w:rsidRPr="00094299">
        <w:t xml:space="preserve"> </w:t>
      </w:r>
      <w:r w:rsidR="005D7413">
        <w:t>savunmalarda ileri sürülen hususları dikkate alamamalarının aksine</w:t>
      </w:r>
      <w:r w:rsidRPr="00094299">
        <w:t xml:space="preserve"> AİHM</w:t>
      </w:r>
      <w:r w:rsidR="005D7413">
        <w:t>,</w:t>
      </w:r>
      <w:r w:rsidRPr="00094299">
        <w:t xml:space="preserve"> konuyu incelediği Yüksel Yalçınkaya/Türkiye başvurusunda, başvuranın iddialarının tamamını incelememiş ve adil yargılanma hakkının ihlaline karar vermiştir. AİHM, her ne kadar Bylock’un elde ediliş yönteminin hukukiliğiyle ilgili bir değerlendirme yapma</w:t>
      </w:r>
      <w:r w:rsidR="00094299">
        <w:t>sa da</w:t>
      </w:r>
      <w:r w:rsidRPr="00094299">
        <w:t xml:space="preserve"> Sözleşme’nin 6. maddesi kapsamında verdiği ihlal kararında ortaya koyduğu ilkelerle artık Bylock’un delil olarak kullanılmasını imkansız hale getirmiştir.</w:t>
      </w:r>
    </w:p>
    <w:p w14:paraId="0283E670" w14:textId="52EFC06F" w:rsidR="00094299" w:rsidRDefault="00094299" w:rsidP="00094299">
      <w:pPr>
        <w:autoSpaceDE w:val="0"/>
        <w:autoSpaceDN w:val="0"/>
        <w:adjustRightInd w:val="0"/>
        <w:spacing w:after="120" w:line="271" w:lineRule="auto"/>
        <w:textAlignment w:val="center"/>
      </w:pPr>
      <w:r>
        <w:t>Özellikle, Bylock verilerinin MİT’in elinde uzunca bir süre kaldıktan sonra</w:t>
      </w:r>
      <w:r w:rsidRPr="00094299">
        <w:t xml:space="preserve"> </w:t>
      </w:r>
      <w:r>
        <w:t xml:space="preserve">adli mercilere teslimi ve bu dönemde veri güvenliğinin nasıl sağlandığına ilişkin hiçbir bilginin olmaması ve bu sürecin baştan sonra CMK’ya aykırı olarak işletilmesi AİHM’in dikkatinden kaçmamıştır. Bylock’un elde edilme sürecinin cezai bir soruşturmaya </w:t>
      </w:r>
      <w:r w:rsidR="005D7413">
        <w:t>yerine</w:t>
      </w:r>
      <w:r>
        <w:t xml:space="preserve"> istihbari çalışmaya dayandığını bilen yargı mercilerinin</w:t>
      </w:r>
      <w:r w:rsidR="005D7413">
        <w:t>,</w:t>
      </w:r>
      <w:r>
        <w:t xml:space="preserve"> Bylock’la ilgili hukuki süreci</w:t>
      </w:r>
      <w:r w:rsidR="00522CC4">
        <w:t xml:space="preserve"> verilerin savcılığa tesliminden sonra başlat</w:t>
      </w:r>
      <w:r w:rsidR="005D7413">
        <w:t>tıklarını belirten</w:t>
      </w:r>
      <w:r w:rsidR="00522CC4">
        <w:t xml:space="preserve"> AİHM, bu husus</w:t>
      </w:r>
      <w:r w:rsidR="005D7413">
        <w:t>usun</w:t>
      </w:r>
      <w:r w:rsidR="00522CC4">
        <w:t xml:space="preserve"> verilerin güvenliği açısından çok sıkıntılı olduğunu belirtmiştir.</w:t>
      </w:r>
    </w:p>
    <w:p w14:paraId="61C1E9DD" w14:textId="6F36A7BD" w:rsidR="00522CC4" w:rsidRDefault="00522CC4" w:rsidP="00094299">
      <w:pPr>
        <w:autoSpaceDE w:val="0"/>
        <w:autoSpaceDN w:val="0"/>
        <w:adjustRightInd w:val="0"/>
        <w:spacing w:after="120" w:line="271" w:lineRule="auto"/>
        <w:textAlignment w:val="center"/>
      </w:pPr>
      <w:r>
        <w:t xml:space="preserve">Bu aşamadan sonra Bylock’un elde edilme süreciyle hukuka aykırılıkların giderilebilmesi ve </w:t>
      </w:r>
      <w:r w:rsidRPr="005D7413">
        <w:rPr>
          <w:i/>
          <w:iCs/>
        </w:rPr>
        <w:t>“geçmişe dönük olarak”</w:t>
      </w:r>
      <w:r>
        <w:t xml:space="preserve"> hukuka uygun hale getirilebilmesi mümkün değildir. Bu konuda aldırılacak </w:t>
      </w:r>
      <w:r w:rsidR="005D7413">
        <w:t xml:space="preserve">sadece </w:t>
      </w:r>
      <w:r>
        <w:t>bir bilirkişi raporuyla verilerin yapısının bozuk olduğu ve delil olarak kullanılamayacağı ortaya çıkacaktır. Tıpkı, Ankara C. Başsavcılığının aldırıp tüm mahkemelerden sakladığı bilirkişi raporunda belirtildiği gibi.</w:t>
      </w:r>
    </w:p>
    <w:p w14:paraId="6D8C86CE" w14:textId="77777777" w:rsidR="00522CC4" w:rsidRDefault="00522CC4" w:rsidP="00094299">
      <w:pPr>
        <w:autoSpaceDE w:val="0"/>
        <w:autoSpaceDN w:val="0"/>
        <w:adjustRightInd w:val="0"/>
        <w:spacing w:after="120" w:line="271" w:lineRule="auto"/>
        <w:textAlignment w:val="center"/>
      </w:pPr>
      <w:r>
        <w:t xml:space="preserve">Çalışmada, AİHM’in adil yargılanma hakkı kapsamında verdiği ihlal kararına ilişkin değerlendirmelerine ve ihlal gerekçelerine sade bir anlatımla yer verilmiştir. </w:t>
      </w:r>
    </w:p>
    <w:p w14:paraId="36441CC2" w14:textId="1BECFC02" w:rsidR="00522CC4" w:rsidRDefault="00522CC4" w:rsidP="00094299">
      <w:pPr>
        <w:autoSpaceDE w:val="0"/>
        <w:autoSpaceDN w:val="0"/>
        <w:adjustRightInd w:val="0"/>
        <w:spacing w:after="120" w:line="271" w:lineRule="auto"/>
        <w:textAlignment w:val="center"/>
      </w:pPr>
      <w:r>
        <w:t>Vakfımız bünyesinde hazırlanan bu çalışmanın faydalı olmasını dileriz</w:t>
      </w:r>
    </w:p>
    <w:p w14:paraId="444A8EF7" w14:textId="77777777" w:rsidR="00733EA9" w:rsidRPr="00733EA9" w:rsidRDefault="00733EA9" w:rsidP="00522CC4">
      <w:pPr>
        <w:spacing w:after="120" w:line="271" w:lineRule="auto"/>
        <w:ind w:firstLine="0"/>
      </w:pPr>
    </w:p>
    <w:p w14:paraId="00AC5FDA" w14:textId="4986EB51" w:rsidR="00733EA9" w:rsidRPr="00733EA9" w:rsidRDefault="00733EA9" w:rsidP="00BA162B">
      <w:pPr>
        <w:spacing w:after="120" w:line="271" w:lineRule="auto"/>
        <w:rPr>
          <w:b/>
          <w:bCs/>
        </w:rPr>
      </w:pPr>
      <w:r w:rsidRPr="00733EA9">
        <w:tab/>
      </w:r>
      <w:r w:rsidRPr="00733EA9">
        <w:tab/>
      </w:r>
      <w:r w:rsidRPr="00733EA9">
        <w:tab/>
      </w:r>
      <w:r w:rsidRPr="00733EA9">
        <w:tab/>
      </w:r>
      <w:r w:rsidRPr="00733EA9">
        <w:tab/>
      </w:r>
      <w:r w:rsidRPr="00733EA9">
        <w:tab/>
      </w:r>
      <w:r w:rsidRPr="00733EA9">
        <w:tab/>
      </w:r>
      <w:r w:rsidRPr="00733EA9">
        <w:tab/>
      </w:r>
      <w:r w:rsidRPr="00733EA9">
        <w:tab/>
      </w:r>
      <w:r w:rsidRPr="00733EA9">
        <w:tab/>
      </w:r>
      <w:r w:rsidRPr="00733EA9">
        <w:tab/>
        <w:t xml:space="preserve"> </w:t>
      </w:r>
      <w:r w:rsidR="00522CC4">
        <w:rPr>
          <w:b/>
          <w:bCs/>
        </w:rPr>
        <w:t>Kasım</w:t>
      </w:r>
      <w:r w:rsidRPr="00733EA9">
        <w:rPr>
          <w:b/>
          <w:bCs/>
        </w:rPr>
        <w:t>-2023</w:t>
      </w:r>
    </w:p>
    <w:p w14:paraId="126BE9A4" w14:textId="783FA1EF" w:rsidR="00D03018" w:rsidRPr="00617081" w:rsidRDefault="00733EA9" w:rsidP="0090130B">
      <w:pPr>
        <w:spacing w:after="120" w:line="271" w:lineRule="auto"/>
        <w:rPr>
          <w:b/>
          <w:bCs/>
        </w:rPr>
      </w:pPr>
      <w:r w:rsidRPr="00733EA9">
        <w:rPr>
          <w:b/>
          <w:bCs/>
        </w:rPr>
        <w:tab/>
      </w:r>
      <w:r w:rsidRPr="00733EA9">
        <w:rPr>
          <w:b/>
          <w:bCs/>
        </w:rPr>
        <w:tab/>
      </w:r>
      <w:r w:rsidRPr="00733EA9">
        <w:rPr>
          <w:b/>
          <w:bCs/>
        </w:rPr>
        <w:tab/>
      </w:r>
      <w:r w:rsidRPr="00733EA9">
        <w:rPr>
          <w:b/>
          <w:bCs/>
        </w:rPr>
        <w:tab/>
      </w:r>
      <w:r w:rsidRPr="00733EA9">
        <w:rPr>
          <w:b/>
          <w:bCs/>
        </w:rPr>
        <w:tab/>
      </w:r>
      <w:r w:rsidRPr="00733EA9">
        <w:rPr>
          <w:b/>
          <w:bCs/>
        </w:rPr>
        <w:tab/>
      </w:r>
      <w:r w:rsidRPr="00733EA9">
        <w:rPr>
          <w:b/>
          <w:bCs/>
        </w:rPr>
        <w:tab/>
      </w:r>
      <w:r w:rsidRPr="00733EA9">
        <w:rPr>
          <w:b/>
          <w:bCs/>
        </w:rPr>
        <w:tab/>
      </w:r>
      <w:r w:rsidRPr="00733EA9">
        <w:rPr>
          <w:b/>
          <w:bCs/>
        </w:rPr>
        <w:tab/>
      </w:r>
      <w:r w:rsidRPr="00733EA9">
        <w:rPr>
          <w:b/>
          <w:bCs/>
        </w:rPr>
        <w:tab/>
      </w:r>
      <w:r w:rsidRPr="00733EA9">
        <w:rPr>
          <w:b/>
          <w:bCs/>
        </w:rPr>
        <w:tab/>
        <w:t>Amsterdam</w:t>
      </w:r>
      <w:r w:rsidR="0090130B">
        <w:rPr>
          <w:b/>
          <w:bCs/>
        </w:rPr>
        <w:br w:type="page"/>
      </w:r>
    </w:p>
    <w:p w14:paraId="1230684B" w14:textId="229A0686" w:rsidR="00371567" w:rsidRPr="00136478" w:rsidRDefault="00C05A4F" w:rsidP="00BD10C1">
      <w:pPr>
        <w:pStyle w:val="Balk1"/>
        <w:numPr>
          <w:ilvl w:val="0"/>
          <w:numId w:val="0"/>
        </w:numPr>
        <w:ind w:left="1276"/>
        <w:jc w:val="center"/>
        <w:rPr>
          <w:rFonts w:ascii="Palatino Linotype" w:hAnsi="Palatino Linotype"/>
          <w:sz w:val="20"/>
          <w:szCs w:val="20"/>
        </w:rPr>
      </w:pPr>
      <w:bookmarkStart w:id="6" w:name="_Toc145973913"/>
      <w:bookmarkStart w:id="7" w:name="_Toc151927089"/>
      <w:r w:rsidRPr="00136478">
        <w:rPr>
          <w:rFonts w:ascii="Palatino Linotype" w:hAnsi="Palatino Linotype"/>
          <w:sz w:val="20"/>
          <w:szCs w:val="20"/>
        </w:rPr>
        <w:lastRenderedPageBreak/>
        <w:t>İÇİNDEKİLER</w:t>
      </w:r>
      <w:bookmarkEnd w:id="6"/>
      <w:bookmarkEnd w:id="7"/>
    </w:p>
    <w:p w14:paraId="73F39344" w14:textId="0B23E531" w:rsidR="00BD10C1" w:rsidRPr="00136478" w:rsidRDefault="00BD10C1">
      <w:pPr>
        <w:pStyle w:val="T1"/>
        <w:tabs>
          <w:tab w:val="right" w:leader="dot" w:pos="9061"/>
        </w:tabs>
        <w:rPr>
          <w:rFonts w:ascii="Palatino Linotype" w:eastAsiaTheme="minorEastAsia" w:hAnsi="Palatino Linotype" w:cstheme="minorBidi"/>
          <w:b w:val="0"/>
          <w:bCs w:val="0"/>
          <w:i w:val="0"/>
          <w:iCs w:val="0"/>
          <w:noProof/>
          <w:sz w:val="20"/>
          <w:szCs w:val="20"/>
        </w:rPr>
      </w:pPr>
      <w:r w:rsidRPr="00136478">
        <w:rPr>
          <w:rFonts w:ascii="Palatino Linotype" w:hAnsi="Palatino Linotype"/>
          <w:i w:val="0"/>
          <w:iCs w:val="0"/>
          <w:sz w:val="20"/>
          <w:szCs w:val="20"/>
        </w:rPr>
        <w:fldChar w:fldCharType="begin"/>
      </w:r>
      <w:r w:rsidRPr="00136478">
        <w:rPr>
          <w:rFonts w:ascii="Palatino Linotype" w:hAnsi="Palatino Linotype"/>
          <w:i w:val="0"/>
          <w:iCs w:val="0"/>
          <w:sz w:val="20"/>
          <w:szCs w:val="20"/>
        </w:rPr>
        <w:instrText xml:space="preserve"> TOC \o "1-5" \h \z \u </w:instrText>
      </w:r>
      <w:r w:rsidRPr="00136478">
        <w:rPr>
          <w:rFonts w:ascii="Palatino Linotype" w:hAnsi="Palatino Linotype"/>
          <w:i w:val="0"/>
          <w:iCs w:val="0"/>
          <w:sz w:val="20"/>
          <w:szCs w:val="20"/>
        </w:rPr>
        <w:fldChar w:fldCharType="separate"/>
      </w:r>
      <w:hyperlink w:anchor="_Toc151927088" w:history="1">
        <w:r w:rsidRPr="00136478">
          <w:rPr>
            <w:rStyle w:val="Kpr"/>
            <w:rFonts w:ascii="Palatino Linotype" w:eastAsiaTheme="majorEastAsia" w:hAnsi="Palatino Linotype"/>
            <w:i w:val="0"/>
            <w:iCs w:val="0"/>
            <w:noProof/>
            <w:sz w:val="20"/>
            <w:szCs w:val="20"/>
          </w:rPr>
          <w:t>ÖNSÖZ</w:t>
        </w:r>
        <w:r w:rsidRPr="00136478">
          <w:rPr>
            <w:rFonts w:ascii="Palatino Linotype" w:hAnsi="Palatino Linotype"/>
            <w:i w:val="0"/>
            <w:iCs w:val="0"/>
            <w:noProof/>
            <w:webHidden/>
            <w:sz w:val="20"/>
            <w:szCs w:val="20"/>
          </w:rPr>
          <w:tab/>
        </w:r>
        <w:r w:rsidRPr="00136478">
          <w:rPr>
            <w:rFonts w:ascii="Palatino Linotype" w:hAnsi="Palatino Linotype"/>
            <w:i w:val="0"/>
            <w:iCs w:val="0"/>
            <w:noProof/>
            <w:webHidden/>
            <w:sz w:val="20"/>
            <w:szCs w:val="20"/>
          </w:rPr>
          <w:fldChar w:fldCharType="begin"/>
        </w:r>
        <w:r w:rsidRPr="00136478">
          <w:rPr>
            <w:rFonts w:ascii="Palatino Linotype" w:hAnsi="Palatino Linotype"/>
            <w:i w:val="0"/>
            <w:iCs w:val="0"/>
            <w:noProof/>
            <w:webHidden/>
            <w:sz w:val="20"/>
            <w:szCs w:val="20"/>
          </w:rPr>
          <w:instrText xml:space="preserve"> PAGEREF _Toc151927088 \h </w:instrText>
        </w:r>
        <w:r w:rsidRPr="00136478">
          <w:rPr>
            <w:rFonts w:ascii="Palatino Linotype" w:hAnsi="Palatino Linotype"/>
            <w:i w:val="0"/>
            <w:iCs w:val="0"/>
            <w:noProof/>
            <w:webHidden/>
            <w:sz w:val="20"/>
            <w:szCs w:val="20"/>
          </w:rPr>
        </w:r>
        <w:r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3</w:t>
        </w:r>
        <w:r w:rsidRPr="00136478">
          <w:rPr>
            <w:rFonts w:ascii="Palatino Linotype" w:hAnsi="Palatino Linotype"/>
            <w:i w:val="0"/>
            <w:iCs w:val="0"/>
            <w:noProof/>
            <w:webHidden/>
            <w:sz w:val="20"/>
            <w:szCs w:val="20"/>
          </w:rPr>
          <w:fldChar w:fldCharType="end"/>
        </w:r>
      </w:hyperlink>
    </w:p>
    <w:p w14:paraId="6265950E" w14:textId="119B42C8" w:rsidR="00BD10C1" w:rsidRPr="00136478" w:rsidRDefault="00000000">
      <w:pPr>
        <w:pStyle w:val="T1"/>
        <w:tabs>
          <w:tab w:val="right" w:leader="dot" w:pos="9061"/>
        </w:tabs>
        <w:rPr>
          <w:rFonts w:ascii="Palatino Linotype" w:eastAsiaTheme="minorEastAsia" w:hAnsi="Palatino Linotype" w:cstheme="minorBidi"/>
          <w:b w:val="0"/>
          <w:bCs w:val="0"/>
          <w:i w:val="0"/>
          <w:iCs w:val="0"/>
          <w:noProof/>
          <w:sz w:val="20"/>
          <w:szCs w:val="20"/>
        </w:rPr>
      </w:pPr>
      <w:hyperlink w:anchor="_Toc151927089" w:history="1">
        <w:r w:rsidR="00BD10C1" w:rsidRPr="00136478">
          <w:rPr>
            <w:rStyle w:val="Kpr"/>
            <w:rFonts w:ascii="Palatino Linotype" w:eastAsiaTheme="majorEastAsia" w:hAnsi="Palatino Linotype"/>
            <w:i w:val="0"/>
            <w:iCs w:val="0"/>
            <w:noProof/>
            <w:sz w:val="20"/>
            <w:szCs w:val="20"/>
          </w:rPr>
          <w:t>İÇİNDEKİLER</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_Toc151927089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4</w:t>
        </w:r>
        <w:r w:rsidR="00BD10C1" w:rsidRPr="00136478">
          <w:rPr>
            <w:rFonts w:ascii="Palatino Linotype" w:hAnsi="Palatino Linotype"/>
            <w:i w:val="0"/>
            <w:iCs w:val="0"/>
            <w:noProof/>
            <w:webHidden/>
            <w:sz w:val="20"/>
            <w:szCs w:val="20"/>
          </w:rPr>
          <w:fldChar w:fldCharType="end"/>
        </w:r>
      </w:hyperlink>
    </w:p>
    <w:p w14:paraId="6E1435F1" w14:textId="7E092B8C" w:rsidR="00BD10C1" w:rsidRPr="00136478" w:rsidRDefault="00000000">
      <w:pPr>
        <w:pStyle w:val="T1"/>
        <w:tabs>
          <w:tab w:val="left" w:pos="1100"/>
          <w:tab w:val="right" w:leader="dot" w:pos="9061"/>
        </w:tabs>
        <w:rPr>
          <w:rFonts w:ascii="Palatino Linotype" w:eastAsiaTheme="minorEastAsia" w:hAnsi="Palatino Linotype" w:cstheme="minorBidi"/>
          <w:b w:val="0"/>
          <w:bCs w:val="0"/>
          <w:i w:val="0"/>
          <w:iCs w:val="0"/>
          <w:noProof/>
          <w:sz w:val="20"/>
          <w:szCs w:val="20"/>
        </w:rPr>
      </w:pPr>
      <w:hyperlink w:anchor="_Toc151927090" w:history="1">
        <w:r w:rsidR="00BD10C1" w:rsidRPr="00136478">
          <w:rPr>
            <w:rStyle w:val="Kpr"/>
            <w:rFonts w:ascii="Palatino Linotype" w:eastAsiaTheme="majorEastAsia" w:hAnsi="Palatino Linotype"/>
            <w:i w:val="0"/>
            <w:iCs w:val="0"/>
            <w:noProof/>
            <w:sz w:val="20"/>
            <w:szCs w:val="20"/>
          </w:rPr>
          <w:t>A.</w:t>
        </w:r>
        <w:r w:rsidR="00BD10C1" w:rsidRPr="00136478">
          <w:rPr>
            <w:rFonts w:ascii="Palatino Linotype" w:eastAsiaTheme="minorEastAsia" w:hAnsi="Palatino Linotype" w:cstheme="minorBidi"/>
            <w:b w:val="0"/>
            <w:bCs w:val="0"/>
            <w:i w:val="0"/>
            <w:iCs w:val="0"/>
            <w:noProof/>
            <w:sz w:val="20"/>
            <w:szCs w:val="20"/>
          </w:rPr>
          <w:tab/>
        </w:r>
        <w:r w:rsidR="00BD10C1" w:rsidRPr="00136478">
          <w:rPr>
            <w:rStyle w:val="Kpr"/>
            <w:rFonts w:ascii="Palatino Linotype" w:eastAsiaTheme="majorEastAsia" w:hAnsi="Palatino Linotype"/>
            <w:i w:val="0"/>
            <w:iCs w:val="0"/>
            <w:noProof/>
            <w:sz w:val="20"/>
            <w:szCs w:val="20"/>
          </w:rPr>
          <w:t>GENEL OLARAK</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_Toc151927090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1</w:t>
        </w:r>
        <w:r w:rsidR="00BD10C1" w:rsidRPr="00136478">
          <w:rPr>
            <w:rFonts w:ascii="Palatino Linotype" w:hAnsi="Palatino Linotype"/>
            <w:i w:val="0"/>
            <w:iCs w:val="0"/>
            <w:noProof/>
            <w:webHidden/>
            <w:sz w:val="20"/>
            <w:szCs w:val="20"/>
          </w:rPr>
          <w:fldChar w:fldCharType="end"/>
        </w:r>
      </w:hyperlink>
    </w:p>
    <w:p w14:paraId="1866420F" w14:textId="51CEBBCC" w:rsidR="00BD10C1" w:rsidRPr="00136478" w:rsidRDefault="00000000">
      <w:pPr>
        <w:pStyle w:val="T1"/>
        <w:tabs>
          <w:tab w:val="left" w:pos="1100"/>
          <w:tab w:val="right" w:leader="dot" w:pos="9061"/>
        </w:tabs>
        <w:rPr>
          <w:rFonts w:ascii="Palatino Linotype" w:eastAsiaTheme="minorEastAsia" w:hAnsi="Palatino Linotype" w:cstheme="minorBidi"/>
          <w:b w:val="0"/>
          <w:bCs w:val="0"/>
          <w:i w:val="0"/>
          <w:iCs w:val="0"/>
          <w:noProof/>
          <w:sz w:val="20"/>
          <w:szCs w:val="20"/>
        </w:rPr>
      </w:pPr>
      <w:hyperlink w:anchor="_Toc151927091" w:history="1">
        <w:r w:rsidR="00BD10C1" w:rsidRPr="00136478">
          <w:rPr>
            <w:rStyle w:val="Kpr"/>
            <w:rFonts w:ascii="Palatino Linotype" w:eastAsiaTheme="majorEastAsia" w:hAnsi="Palatino Linotype"/>
            <w:i w:val="0"/>
            <w:iCs w:val="0"/>
            <w:noProof/>
            <w:sz w:val="20"/>
            <w:szCs w:val="20"/>
          </w:rPr>
          <w:t>B.</w:t>
        </w:r>
        <w:r w:rsidR="00BD10C1" w:rsidRPr="00136478">
          <w:rPr>
            <w:rFonts w:ascii="Palatino Linotype" w:eastAsiaTheme="minorEastAsia" w:hAnsi="Palatino Linotype" w:cstheme="minorBidi"/>
            <w:b w:val="0"/>
            <w:bCs w:val="0"/>
            <w:i w:val="0"/>
            <w:iCs w:val="0"/>
            <w:noProof/>
            <w:sz w:val="20"/>
            <w:szCs w:val="20"/>
          </w:rPr>
          <w:tab/>
        </w:r>
        <w:r w:rsidR="00BD10C1" w:rsidRPr="00136478">
          <w:rPr>
            <w:rStyle w:val="Kpr"/>
            <w:rFonts w:ascii="Palatino Linotype" w:eastAsiaTheme="majorEastAsia" w:hAnsi="Palatino Linotype"/>
            <w:i w:val="0"/>
            <w:iCs w:val="0"/>
            <w:noProof/>
            <w:sz w:val="20"/>
            <w:szCs w:val="20"/>
          </w:rPr>
          <w:t>TARAFLARIN BEYANLARI</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_Toc151927091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1</w:t>
        </w:r>
        <w:r w:rsidR="00BD10C1" w:rsidRPr="00136478">
          <w:rPr>
            <w:rFonts w:ascii="Palatino Linotype" w:hAnsi="Palatino Linotype"/>
            <w:i w:val="0"/>
            <w:iCs w:val="0"/>
            <w:noProof/>
            <w:webHidden/>
            <w:sz w:val="20"/>
            <w:szCs w:val="20"/>
          </w:rPr>
          <w:fldChar w:fldCharType="end"/>
        </w:r>
      </w:hyperlink>
    </w:p>
    <w:p w14:paraId="2600F552" w14:textId="4B671764" w:rsidR="00BD10C1" w:rsidRPr="00136478" w:rsidRDefault="00000000" w:rsidP="00136478">
      <w:pPr>
        <w:pStyle w:val="T2"/>
        <w:rPr>
          <w:rFonts w:ascii="Palatino Linotype" w:eastAsiaTheme="minorEastAsia" w:hAnsi="Palatino Linotype" w:cstheme="minorBidi"/>
          <w:noProof/>
        </w:rPr>
      </w:pPr>
      <w:hyperlink w:anchor="_Toc151927092" w:history="1">
        <w:r w:rsidR="00BD10C1" w:rsidRPr="00136478">
          <w:rPr>
            <w:rStyle w:val="Kpr"/>
            <w:rFonts w:ascii="Palatino Linotype" w:eastAsiaTheme="majorEastAsia" w:hAnsi="Palatino Linotype"/>
            <w:noProof/>
            <w:sz w:val="20"/>
            <w:szCs w:val="20"/>
          </w:rPr>
          <w:t>1.  Başvuranın Beyanları</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_Toc151927092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w:t>
        </w:r>
        <w:r w:rsidR="00BD10C1" w:rsidRPr="00136478">
          <w:rPr>
            <w:rFonts w:ascii="Palatino Linotype" w:hAnsi="Palatino Linotype"/>
            <w:noProof/>
            <w:webHidden/>
          </w:rPr>
          <w:fldChar w:fldCharType="end"/>
        </w:r>
      </w:hyperlink>
    </w:p>
    <w:p w14:paraId="0DD0034A" w14:textId="0DE6128D" w:rsidR="00BD10C1" w:rsidRPr="00136478" w:rsidRDefault="00000000" w:rsidP="00136478">
      <w:pPr>
        <w:pStyle w:val="T2"/>
        <w:rPr>
          <w:rFonts w:ascii="Palatino Linotype" w:eastAsiaTheme="minorEastAsia" w:hAnsi="Palatino Linotype" w:cstheme="minorBidi"/>
          <w:noProof/>
        </w:rPr>
      </w:pPr>
      <w:hyperlink w:anchor="_Toc151927093" w:history="1">
        <w:r w:rsidR="00BD10C1" w:rsidRPr="00136478">
          <w:rPr>
            <w:rStyle w:val="Kpr"/>
            <w:rFonts w:ascii="Palatino Linotype" w:eastAsiaTheme="majorEastAsia" w:hAnsi="Palatino Linotype"/>
            <w:noProof/>
            <w:sz w:val="20"/>
            <w:szCs w:val="20"/>
          </w:rPr>
          <w:t>2. Hükümetin Beyanları</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_Toc151927093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2</w:t>
        </w:r>
        <w:r w:rsidR="00BD10C1" w:rsidRPr="00136478">
          <w:rPr>
            <w:rFonts w:ascii="Palatino Linotype" w:hAnsi="Palatino Linotype"/>
            <w:noProof/>
            <w:webHidden/>
          </w:rPr>
          <w:fldChar w:fldCharType="end"/>
        </w:r>
      </w:hyperlink>
    </w:p>
    <w:p w14:paraId="001ADFB7" w14:textId="2F67843C" w:rsidR="00BD10C1" w:rsidRPr="00136478" w:rsidRDefault="00000000">
      <w:pPr>
        <w:pStyle w:val="T1"/>
        <w:tabs>
          <w:tab w:val="left" w:pos="1100"/>
          <w:tab w:val="right" w:leader="dot" w:pos="9061"/>
        </w:tabs>
        <w:rPr>
          <w:rFonts w:ascii="Palatino Linotype" w:eastAsiaTheme="minorEastAsia" w:hAnsi="Palatino Linotype" w:cstheme="minorBidi"/>
          <w:b w:val="0"/>
          <w:bCs w:val="0"/>
          <w:i w:val="0"/>
          <w:iCs w:val="0"/>
          <w:noProof/>
          <w:sz w:val="20"/>
          <w:szCs w:val="20"/>
        </w:rPr>
      </w:pPr>
      <w:hyperlink w:anchor="_Toc151927094" w:history="1">
        <w:r w:rsidR="00BD10C1" w:rsidRPr="00136478">
          <w:rPr>
            <w:rStyle w:val="Kpr"/>
            <w:rFonts w:ascii="Palatino Linotype" w:eastAsiaTheme="majorEastAsia" w:hAnsi="Palatino Linotype"/>
            <w:i w:val="0"/>
            <w:iCs w:val="0"/>
            <w:noProof/>
            <w:sz w:val="20"/>
            <w:szCs w:val="20"/>
          </w:rPr>
          <w:t>C.</w:t>
        </w:r>
        <w:r w:rsidR="00BD10C1" w:rsidRPr="00136478">
          <w:rPr>
            <w:rFonts w:ascii="Palatino Linotype" w:eastAsiaTheme="minorEastAsia" w:hAnsi="Palatino Linotype" w:cstheme="minorBidi"/>
            <w:b w:val="0"/>
            <w:bCs w:val="0"/>
            <w:i w:val="0"/>
            <w:iCs w:val="0"/>
            <w:noProof/>
            <w:sz w:val="20"/>
            <w:szCs w:val="20"/>
          </w:rPr>
          <w:tab/>
        </w:r>
        <w:r w:rsidR="00BD10C1" w:rsidRPr="00136478">
          <w:rPr>
            <w:rStyle w:val="Kpr"/>
            <w:rFonts w:ascii="Palatino Linotype" w:eastAsiaTheme="majorEastAsia" w:hAnsi="Palatino Linotype"/>
            <w:i w:val="0"/>
            <w:iCs w:val="0"/>
            <w:noProof/>
            <w:sz w:val="20"/>
            <w:szCs w:val="20"/>
          </w:rPr>
          <w:t>AİHM’İN DEĞERLENDİRMESİ VE İHLAL GEREKÇELERİ</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_Toc151927094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3</w:t>
        </w:r>
        <w:r w:rsidR="00BD10C1" w:rsidRPr="00136478">
          <w:rPr>
            <w:rFonts w:ascii="Palatino Linotype" w:hAnsi="Palatino Linotype"/>
            <w:i w:val="0"/>
            <w:iCs w:val="0"/>
            <w:noProof/>
            <w:webHidden/>
            <w:sz w:val="20"/>
            <w:szCs w:val="20"/>
          </w:rPr>
          <w:fldChar w:fldCharType="end"/>
        </w:r>
      </w:hyperlink>
    </w:p>
    <w:p w14:paraId="22051AF1" w14:textId="4E85973C" w:rsidR="00BD10C1" w:rsidRPr="00136478" w:rsidRDefault="00000000" w:rsidP="00136478">
      <w:pPr>
        <w:pStyle w:val="T2"/>
        <w:rPr>
          <w:rFonts w:ascii="Palatino Linotype" w:eastAsiaTheme="minorEastAsia" w:hAnsi="Palatino Linotype" w:cstheme="minorBidi"/>
          <w:noProof/>
        </w:rPr>
      </w:pPr>
      <w:hyperlink w:anchor="_Toc151927095" w:history="1">
        <w:r w:rsidR="00BD10C1" w:rsidRPr="00136478">
          <w:rPr>
            <w:rStyle w:val="Kpr"/>
            <w:rFonts w:ascii="Palatino Linotype" w:eastAsiaTheme="majorEastAsia" w:hAnsi="Palatino Linotype"/>
            <w:noProof/>
            <w:sz w:val="20"/>
            <w:szCs w:val="20"/>
          </w:rPr>
          <w:t>1. AİHM’in Delil Değerlendirme Yetkisi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_Toc151927095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3</w:t>
        </w:r>
        <w:r w:rsidR="00BD10C1" w:rsidRPr="00136478">
          <w:rPr>
            <w:rFonts w:ascii="Palatino Linotype" w:hAnsi="Palatino Linotype"/>
            <w:noProof/>
            <w:webHidden/>
          </w:rPr>
          <w:fldChar w:fldCharType="end"/>
        </w:r>
      </w:hyperlink>
    </w:p>
    <w:p w14:paraId="38E75084" w14:textId="209C260B" w:rsidR="00BD10C1" w:rsidRPr="00136478" w:rsidRDefault="00000000" w:rsidP="00136478">
      <w:pPr>
        <w:pStyle w:val="T2"/>
        <w:rPr>
          <w:rFonts w:ascii="Palatino Linotype" w:eastAsiaTheme="minorEastAsia" w:hAnsi="Palatino Linotype" w:cstheme="minorBidi"/>
          <w:noProof/>
        </w:rPr>
      </w:pPr>
      <w:hyperlink w:anchor="_Toc151927096" w:history="1">
        <w:r w:rsidR="00BD10C1" w:rsidRPr="00136478">
          <w:rPr>
            <w:rStyle w:val="Kpr"/>
            <w:rFonts w:ascii="Palatino Linotype" w:eastAsiaTheme="majorEastAsia" w:hAnsi="Palatino Linotype"/>
            <w:noProof/>
            <w:sz w:val="20"/>
            <w:szCs w:val="20"/>
          </w:rPr>
          <w:t>2. Delilin Karmaşıklığı 6. Madde Gereklerine Aykırılık Bahanesi Olamaz</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_Toc151927096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4</w:t>
        </w:r>
        <w:r w:rsidR="00BD10C1" w:rsidRPr="00136478">
          <w:rPr>
            <w:rFonts w:ascii="Palatino Linotype" w:hAnsi="Palatino Linotype"/>
            <w:noProof/>
            <w:webHidden/>
          </w:rPr>
          <w:fldChar w:fldCharType="end"/>
        </w:r>
      </w:hyperlink>
    </w:p>
    <w:p w14:paraId="1D08AC53" w14:textId="50CAF53E" w:rsidR="00BD10C1" w:rsidRPr="00136478" w:rsidRDefault="00000000" w:rsidP="00136478">
      <w:pPr>
        <w:pStyle w:val="T2"/>
        <w:rPr>
          <w:rFonts w:ascii="Palatino Linotype" w:eastAsiaTheme="minorEastAsia" w:hAnsi="Palatino Linotype" w:cstheme="minorBidi"/>
          <w:noProof/>
        </w:rPr>
      </w:pPr>
      <w:hyperlink w:anchor="_Toc151927097" w:history="1">
        <w:r w:rsidR="00BD10C1" w:rsidRPr="00136478">
          <w:rPr>
            <w:rStyle w:val="Kpr"/>
            <w:rFonts w:ascii="Palatino Linotype" w:eastAsiaTheme="majorEastAsia" w:hAnsi="Palatino Linotype"/>
            <w:noProof/>
            <w:sz w:val="20"/>
            <w:szCs w:val="20"/>
          </w:rPr>
          <w:t>3. Bylock Verilerinin Bütünlüğüne İlişkin Şüphe Sebepleri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_Toc151927097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4</w:t>
        </w:r>
        <w:r w:rsidR="00BD10C1" w:rsidRPr="00136478">
          <w:rPr>
            <w:rFonts w:ascii="Palatino Linotype" w:hAnsi="Palatino Linotype"/>
            <w:noProof/>
            <w:webHidden/>
          </w:rPr>
          <w:fldChar w:fldCharType="end"/>
        </w:r>
      </w:hyperlink>
    </w:p>
    <w:p w14:paraId="70C7B3DB" w14:textId="503FC9D9"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098" w:history="1">
        <w:r w:rsidR="00BD10C1" w:rsidRPr="00136478">
          <w:rPr>
            <w:rStyle w:val="Kpr"/>
            <w:rFonts w:ascii="Palatino Linotype" w:eastAsiaTheme="majorEastAsia" w:hAnsi="Palatino Linotype"/>
            <w:noProof/>
          </w:rPr>
          <w:t>a.</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MİT Kanunu, CMK’nın Öngördüğü Usuli Güvenceleri Sağlamamaktadır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_Toc151927098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5</w:t>
        </w:r>
        <w:r w:rsidR="00BD10C1" w:rsidRPr="00136478">
          <w:rPr>
            <w:rFonts w:ascii="Palatino Linotype" w:hAnsi="Palatino Linotype"/>
            <w:noProof/>
            <w:webHidden/>
          </w:rPr>
          <w:fldChar w:fldCharType="end"/>
        </w:r>
      </w:hyperlink>
    </w:p>
    <w:p w14:paraId="384BD23E" w14:textId="488AFE16"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099" w:history="1">
        <w:r w:rsidR="00BD10C1" w:rsidRPr="00136478">
          <w:rPr>
            <w:rStyle w:val="Kpr"/>
            <w:rFonts w:ascii="Palatino Linotype" w:eastAsiaTheme="majorEastAsia" w:hAnsi="Palatino Linotype"/>
            <w:noProof/>
          </w:rPr>
          <w:t>b.</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w:t>
        </w:r>
        <w:r w:rsidR="00BD10C1" w:rsidRPr="00136478">
          <w:rPr>
            <w:rStyle w:val="Kpr"/>
            <w:rFonts w:ascii="Palatino Linotype" w:eastAsiaTheme="majorEastAsia" w:hAnsi="Palatino Linotype" w:cs="Cambria"/>
            <w:noProof/>
          </w:rPr>
          <w:t>İ</w:t>
        </w:r>
        <w:r w:rsidR="00BD10C1" w:rsidRPr="00136478">
          <w:rPr>
            <w:rStyle w:val="Kpr"/>
            <w:rFonts w:ascii="Palatino Linotype" w:eastAsiaTheme="majorEastAsia" w:hAnsi="Palatino Linotype"/>
            <w:noProof/>
          </w:rPr>
          <w:t>T’in Veri Toplama Faaliyeti Yarg</w:t>
        </w:r>
        <w:r w:rsidR="00BD10C1" w:rsidRPr="00136478">
          <w:rPr>
            <w:rStyle w:val="Kpr"/>
            <w:rFonts w:ascii="Palatino Linotype" w:eastAsiaTheme="majorEastAsia" w:hAnsi="Palatino Linotype" w:cs="Cambria"/>
            <w:noProof/>
          </w:rPr>
          <w:t>ı</w:t>
        </w:r>
        <w:r w:rsidR="00BD10C1" w:rsidRPr="00136478">
          <w:rPr>
            <w:rStyle w:val="Kpr"/>
            <w:rFonts w:ascii="Palatino Linotype" w:eastAsiaTheme="majorEastAsia" w:hAnsi="Palatino Linotype"/>
            <w:noProof/>
          </w:rPr>
          <w:t xml:space="preserve">sal Denetim </w:t>
        </w:r>
        <w:r w:rsidR="00BD10C1" w:rsidRPr="00136478">
          <w:rPr>
            <w:rStyle w:val="Kpr"/>
            <w:rFonts w:ascii="Palatino Linotype" w:eastAsiaTheme="majorEastAsia" w:hAnsi="Palatino Linotype" w:cs="Cambria"/>
            <w:noProof/>
          </w:rPr>
          <w:t>İ</w:t>
        </w:r>
        <w:r w:rsidR="00BD10C1" w:rsidRPr="00136478">
          <w:rPr>
            <w:rStyle w:val="Kpr"/>
            <w:rFonts w:ascii="Palatino Linotype" w:eastAsiaTheme="majorEastAsia" w:hAnsi="Palatino Linotype"/>
            <w:noProof/>
          </w:rPr>
          <w:t>çermemektedir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_Toc151927099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6</w:t>
        </w:r>
        <w:r w:rsidR="00BD10C1" w:rsidRPr="00136478">
          <w:rPr>
            <w:rFonts w:ascii="Palatino Linotype" w:hAnsi="Palatino Linotype"/>
            <w:noProof/>
            <w:webHidden/>
          </w:rPr>
          <w:fldChar w:fldCharType="end"/>
        </w:r>
      </w:hyperlink>
    </w:p>
    <w:p w14:paraId="4FCD6DC3" w14:textId="6915E8B9"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0" w:history="1">
        <w:r w:rsidR="00BD10C1" w:rsidRPr="00136478">
          <w:rPr>
            <w:rStyle w:val="Kpr"/>
            <w:rFonts w:ascii="Palatino Linotype" w:eastAsiaTheme="majorEastAsia" w:hAnsi="Palatino Linotype"/>
            <w:noProof/>
          </w:rPr>
          <w:t>c.</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Verilerin Tesliminden Önce Veri Bütünlüklerin Nas</w:t>
        </w:r>
        <w:r w:rsidR="00BD10C1" w:rsidRPr="00136478">
          <w:rPr>
            <w:rStyle w:val="Kpr"/>
            <w:rFonts w:ascii="Palatino Linotype" w:eastAsiaTheme="majorEastAsia" w:hAnsi="Palatino Linotype" w:cs="Cambria"/>
            <w:noProof/>
          </w:rPr>
          <w:t>ı</w:t>
        </w:r>
        <w:r w:rsidR="00BD10C1" w:rsidRPr="00136478">
          <w:rPr>
            <w:rStyle w:val="Kpr"/>
            <w:rFonts w:ascii="Palatino Linotype" w:eastAsiaTheme="majorEastAsia" w:hAnsi="Palatino Linotype"/>
            <w:noProof/>
          </w:rPr>
          <w:t>l Sa</w:t>
        </w:r>
        <w:r w:rsidR="00BD10C1" w:rsidRPr="00136478">
          <w:rPr>
            <w:rStyle w:val="Kpr"/>
            <w:rFonts w:ascii="Palatino Linotype" w:eastAsiaTheme="majorEastAsia" w:hAnsi="Palatino Linotype" w:cs="Cambria"/>
            <w:noProof/>
          </w:rPr>
          <w:t>ğ</w:t>
        </w:r>
        <w:r w:rsidR="00BD10C1" w:rsidRPr="00136478">
          <w:rPr>
            <w:rStyle w:val="Kpr"/>
            <w:rFonts w:ascii="Palatino Linotype" w:eastAsiaTheme="majorEastAsia" w:hAnsi="Palatino Linotype"/>
            <w:noProof/>
          </w:rPr>
          <w:t>land</w:t>
        </w:r>
        <w:r w:rsidR="00BD10C1" w:rsidRPr="00136478">
          <w:rPr>
            <w:rStyle w:val="Kpr"/>
            <w:rFonts w:ascii="Palatino Linotype" w:eastAsiaTheme="majorEastAsia" w:hAnsi="Palatino Linotype" w:cs="Cambria"/>
            <w:noProof/>
          </w:rPr>
          <w:t>ığı</w:t>
        </w:r>
        <w:r w:rsidR="00BD10C1" w:rsidRPr="00136478">
          <w:rPr>
            <w:rStyle w:val="Kpr"/>
            <w:rFonts w:ascii="Palatino Linotype" w:eastAsiaTheme="majorEastAsia" w:hAnsi="Palatino Linotype"/>
            <w:noProof/>
          </w:rPr>
          <w:t xml:space="preserve"> Belli De</w:t>
        </w:r>
        <w:r w:rsidR="00BD10C1" w:rsidRPr="00136478">
          <w:rPr>
            <w:rStyle w:val="Kpr"/>
            <w:rFonts w:ascii="Palatino Linotype" w:eastAsiaTheme="majorEastAsia" w:hAnsi="Palatino Linotype" w:cs="Cambria"/>
            <w:noProof/>
          </w:rPr>
          <w:t>ğ</w:t>
        </w:r>
        <w:r w:rsidR="00BD10C1" w:rsidRPr="00136478">
          <w:rPr>
            <w:rStyle w:val="Kpr"/>
            <w:rFonts w:ascii="Palatino Linotype" w:eastAsiaTheme="majorEastAsia" w:hAnsi="Palatino Linotype"/>
            <w:noProof/>
          </w:rPr>
          <w:t>ildir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_Toc151927100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6</w:t>
        </w:r>
        <w:r w:rsidR="00BD10C1" w:rsidRPr="00136478">
          <w:rPr>
            <w:rFonts w:ascii="Palatino Linotype" w:hAnsi="Palatino Linotype"/>
            <w:noProof/>
            <w:webHidden/>
          </w:rPr>
          <w:fldChar w:fldCharType="end"/>
        </w:r>
      </w:hyperlink>
    </w:p>
    <w:p w14:paraId="16F8B87F" w14:textId="48100AE4"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1" w:history="1">
        <w:r w:rsidR="00BD10C1" w:rsidRPr="00136478">
          <w:rPr>
            <w:rStyle w:val="Kpr"/>
            <w:rFonts w:ascii="Palatino Linotype" w:eastAsiaTheme="majorEastAsia" w:hAnsi="Palatino Linotype"/>
            <w:noProof/>
          </w:rPr>
          <w:t>d.</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Verilerin Adli Mercilere Tesliminden Sonraki Süreçte CMK’ya Ayk</w:t>
        </w:r>
        <w:r w:rsidR="00BD10C1" w:rsidRPr="00136478">
          <w:rPr>
            <w:rStyle w:val="Kpr"/>
            <w:rFonts w:ascii="Palatino Linotype" w:eastAsiaTheme="majorEastAsia" w:hAnsi="Palatino Linotype" w:cs="Cambria"/>
            <w:noProof/>
          </w:rPr>
          <w:t>ı</w:t>
        </w:r>
        <w:r w:rsidR="00BD10C1" w:rsidRPr="00136478">
          <w:rPr>
            <w:rStyle w:val="Kpr"/>
            <w:rFonts w:ascii="Palatino Linotype" w:eastAsiaTheme="majorEastAsia" w:hAnsi="Palatino Linotype"/>
            <w:noProof/>
          </w:rPr>
          <w:t>r</w:t>
        </w:r>
        <w:r w:rsidR="00BD10C1" w:rsidRPr="00136478">
          <w:rPr>
            <w:rStyle w:val="Kpr"/>
            <w:rFonts w:ascii="Palatino Linotype" w:eastAsiaTheme="majorEastAsia" w:hAnsi="Palatino Linotype" w:cs="Cambria"/>
            <w:noProof/>
          </w:rPr>
          <w:t>ı</w:t>
        </w:r>
        <w:r w:rsidR="00BD10C1" w:rsidRPr="00136478">
          <w:rPr>
            <w:rStyle w:val="Kpr"/>
            <w:rFonts w:ascii="Palatino Linotype" w:eastAsiaTheme="majorEastAsia" w:hAnsi="Palatino Linotype"/>
            <w:noProof/>
          </w:rPr>
          <w:t>d</w:t>
        </w:r>
        <w:r w:rsidR="00BD10C1" w:rsidRPr="00136478">
          <w:rPr>
            <w:rStyle w:val="Kpr"/>
            <w:rFonts w:ascii="Palatino Linotype" w:eastAsiaTheme="majorEastAsia" w:hAnsi="Palatino Linotype" w:cs="Cambria"/>
            <w:noProof/>
          </w:rPr>
          <w:t>ı</w:t>
        </w:r>
        <w:r w:rsidR="00BD10C1" w:rsidRPr="00136478">
          <w:rPr>
            <w:rStyle w:val="Kpr"/>
            <w:rFonts w:ascii="Palatino Linotype" w:eastAsiaTheme="majorEastAsia" w:hAnsi="Palatino Linotype"/>
            <w:noProof/>
          </w:rPr>
          <w:t>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_Toc151927101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7</w:t>
        </w:r>
        <w:r w:rsidR="00BD10C1" w:rsidRPr="00136478">
          <w:rPr>
            <w:rFonts w:ascii="Palatino Linotype" w:hAnsi="Palatino Linotype"/>
            <w:noProof/>
            <w:webHidden/>
          </w:rPr>
          <w:fldChar w:fldCharType="end"/>
        </w:r>
      </w:hyperlink>
    </w:p>
    <w:p w14:paraId="5ECA8DC4" w14:textId="55AA985D"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2" w:history="1">
        <w:r w:rsidR="00BD10C1" w:rsidRPr="00136478">
          <w:rPr>
            <w:rStyle w:val="Kpr"/>
            <w:rFonts w:ascii="Palatino Linotype" w:eastAsiaTheme="majorEastAsia" w:hAnsi="Palatino Linotype"/>
            <w:noProof/>
          </w:rPr>
          <w:t>e.</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MİT’in Yasal Yetkisi Dahilinde Elde Ettiği Her Bilgi ve Belge Delil Olabilir mi?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_Toc151927102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8</w:t>
        </w:r>
        <w:r w:rsidR="00BD10C1" w:rsidRPr="00136478">
          <w:rPr>
            <w:rFonts w:ascii="Palatino Linotype" w:hAnsi="Palatino Linotype"/>
            <w:noProof/>
            <w:webHidden/>
          </w:rPr>
          <w:fldChar w:fldCharType="end"/>
        </w:r>
      </w:hyperlink>
    </w:p>
    <w:p w14:paraId="1BAD89CC" w14:textId="0D298E6B" w:rsidR="00BD10C1" w:rsidRPr="00136478" w:rsidRDefault="00000000" w:rsidP="00136478">
      <w:pPr>
        <w:pStyle w:val="T2"/>
        <w:ind w:left="787" w:firstLine="0"/>
        <w:rPr>
          <w:rFonts w:ascii="Palatino Linotype" w:eastAsiaTheme="minorEastAsia" w:hAnsi="Palatino Linotype" w:cstheme="minorBidi"/>
          <w:noProof/>
        </w:rPr>
      </w:pPr>
      <w:hyperlink w:anchor="_Toc151927103" w:history="1">
        <w:r w:rsidR="00BD10C1" w:rsidRPr="00136478">
          <w:rPr>
            <w:rStyle w:val="Kpr"/>
            <w:rFonts w:ascii="Palatino Linotype" w:eastAsiaTheme="majorEastAsia" w:hAnsi="Palatino Linotype"/>
            <w:noProof/>
            <w:sz w:val="20"/>
            <w:szCs w:val="20"/>
          </w:rPr>
          <w:t>4. Başvuranın Aleyhindeki Delillere İtiraz Etme, Etkili Savunma ve Davanın Esasına İlişkin Hususları İleri Sürebilme Haklarına İlişkin Değerlendirme ve İhlal Sebepleri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_Toc151927103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9</w:t>
        </w:r>
        <w:r w:rsidR="00BD10C1" w:rsidRPr="00136478">
          <w:rPr>
            <w:rFonts w:ascii="Palatino Linotype" w:hAnsi="Palatino Linotype"/>
            <w:noProof/>
            <w:webHidden/>
          </w:rPr>
          <w:fldChar w:fldCharType="end"/>
        </w:r>
      </w:hyperlink>
    </w:p>
    <w:p w14:paraId="6B8C18AB" w14:textId="2E562D17"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4" w:history="1">
        <w:r w:rsidR="00BD10C1" w:rsidRPr="00136478">
          <w:rPr>
            <w:rStyle w:val="Kpr"/>
            <w:rFonts w:ascii="Palatino Linotype" w:eastAsiaTheme="majorEastAsia" w:hAnsi="Palatino Linotype"/>
            <w:noProof/>
          </w:rPr>
          <w:t>a.</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Bylock Raporlarına Ulaşılması Ham Verilere Erişim Hakkını Engellemez</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_Toc151927104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9</w:t>
        </w:r>
        <w:r w:rsidR="00BD10C1" w:rsidRPr="00136478">
          <w:rPr>
            <w:rFonts w:ascii="Palatino Linotype" w:hAnsi="Palatino Linotype"/>
            <w:noProof/>
            <w:webHidden/>
          </w:rPr>
          <w:fldChar w:fldCharType="end"/>
        </w:r>
      </w:hyperlink>
    </w:p>
    <w:p w14:paraId="789B55D9" w14:textId="6EA0470B"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5" w:history="1">
        <w:r w:rsidR="00BD10C1" w:rsidRPr="00136478">
          <w:rPr>
            <w:rStyle w:val="Kpr"/>
            <w:rFonts w:ascii="Palatino Linotype" w:eastAsiaTheme="majorEastAsia" w:hAnsi="Palatino Linotype"/>
            <w:noProof/>
          </w:rPr>
          <w:t>b.</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HTS-CGNAT Uyumuna İlişkin Tespit Ham Verilere Ulaşma Hakkını Kaldırmaz</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_Toc151927105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9</w:t>
        </w:r>
        <w:r w:rsidR="00BD10C1" w:rsidRPr="00136478">
          <w:rPr>
            <w:rFonts w:ascii="Palatino Linotype" w:hAnsi="Palatino Linotype"/>
            <w:noProof/>
            <w:webHidden/>
          </w:rPr>
          <w:fldChar w:fldCharType="end"/>
        </w:r>
      </w:hyperlink>
    </w:p>
    <w:p w14:paraId="7A395E3D" w14:textId="40627BEB"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6" w:history="1">
        <w:r w:rsidR="00BD10C1" w:rsidRPr="00136478">
          <w:rPr>
            <w:rStyle w:val="Kpr"/>
            <w:rFonts w:ascii="Palatino Linotype" w:eastAsiaTheme="majorEastAsia" w:hAnsi="Palatino Linotype"/>
            <w:noProof/>
          </w:rPr>
          <w:t>c.</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Başvuranın, Aleyhine Olan Delillere İtiraz Ederken Yaşadığı Zorluklar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_Toc151927106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10</w:t>
        </w:r>
        <w:r w:rsidR="00BD10C1" w:rsidRPr="00136478">
          <w:rPr>
            <w:rFonts w:ascii="Palatino Linotype" w:hAnsi="Palatino Linotype"/>
            <w:noProof/>
            <w:webHidden/>
          </w:rPr>
          <w:fldChar w:fldCharType="end"/>
        </w:r>
      </w:hyperlink>
    </w:p>
    <w:p w14:paraId="05E14678" w14:textId="26777AAD"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7" w:history="1">
        <w:r w:rsidR="00BD10C1" w:rsidRPr="00136478">
          <w:rPr>
            <w:rStyle w:val="Kpr"/>
            <w:rFonts w:ascii="Palatino Linotype" w:eastAsiaTheme="majorEastAsia" w:hAnsi="Palatino Linotype"/>
            <w:noProof/>
          </w:rPr>
          <w:t>d.</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Başvuranın Verilerin Bütünlüklerinin İncelenmesinde Menfaati Vardır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_Toc151927107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10</w:t>
        </w:r>
        <w:r w:rsidR="00BD10C1" w:rsidRPr="00136478">
          <w:rPr>
            <w:rFonts w:ascii="Palatino Linotype" w:hAnsi="Palatino Linotype"/>
            <w:noProof/>
            <w:webHidden/>
          </w:rPr>
          <w:fldChar w:fldCharType="end"/>
        </w:r>
      </w:hyperlink>
    </w:p>
    <w:p w14:paraId="2E592A42" w14:textId="27A49392"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8" w:history="1">
        <w:r w:rsidR="00BD10C1" w:rsidRPr="00136478">
          <w:rPr>
            <w:rStyle w:val="Kpr"/>
            <w:rFonts w:ascii="Palatino Linotype" w:eastAsiaTheme="majorEastAsia" w:hAnsi="Palatino Linotype"/>
            <w:noProof/>
          </w:rPr>
          <w:t>e.</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Mahkemenin Yaptırdığı İnceleme Ham Verileri Kapsamamaktadır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_Toc151927108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11</w:t>
        </w:r>
        <w:r w:rsidR="00BD10C1" w:rsidRPr="00136478">
          <w:rPr>
            <w:rFonts w:ascii="Palatino Linotype" w:hAnsi="Palatino Linotype"/>
            <w:noProof/>
            <w:webHidden/>
          </w:rPr>
          <w:fldChar w:fldCharType="end"/>
        </w:r>
      </w:hyperlink>
    </w:p>
    <w:p w14:paraId="2DB6F673" w14:textId="67E5176C"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09" w:history="1">
        <w:r w:rsidR="00BD10C1" w:rsidRPr="00136478">
          <w:rPr>
            <w:rStyle w:val="Kpr"/>
            <w:rFonts w:ascii="Palatino Linotype" w:eastAsiaTheme="majorEastAsia" w:hAnsi="Palatino Linotype"/>
            <w:noProof/>
          </w:rPr>
          <w:t>f.</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Verilerin Güvenirliliğine İlişkin Endişeler Cevapsız Bırakılmıştır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_Toc151927109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11</w:t>
        </w:r>
        <w:r w:rsidR="00BD10C1" w:rsidRPr="00136478">
          <w:rPr>
            <w:rFonts w:ascii="Palatino Linotype" w:hAnsi="Palatino Linotype"/>
            <w:noProof/>
            <w:webHidden/>
          </w:rPr>
          <w:fldChar w:fldCharType="end"/>
        </w:r>
      </w:hyperlink>
    </w:p>
    <w:p w14:paraId="5F1976C3" w14:textId="25D6D005"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0" w:history="1">
        <w:r w:rsidR="00BD10C1" w:rsidRPr="00136478">
          <w:rPr>
            <w:rStyle w:val="Kpr"/>
            <w:rFonts w:ascii="Palatino Linotype" w:eastAsiaTheme="majorEastAsia" w:hAnsi="Palatino Linotype"/>
            <w:noProof/>
          </w:rPr>
          <w:t>g.</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Verilerin En Azından Başvurucuyla İlgili Kısımlarının Paylaşılması Gerekirdi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_Toc151927110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12</w:t>
        </w:r>
        <w:r w:rsidR="00BD10C1" w:rsidRPr="00136478">
          <w:rPr>
            <w:rFonts w:ascii="Palatino Linotype" w:hAnsi="Palatino Linotype"/>
            <w:noProof/>
            <w:webHidden/>
          </w:rPr>
          <w:fldChar w:fldCharType="end"/>
        </w:r>
      </w:hyperlink>
    </w:p>
    <w:p w14:paraId="6EEE00A3" w14:textId="6D17D0F7"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1" w:history="1">
        <w:r w:rsidR="00BD10C1" w:rsidRPr="00136478">
          <w:rPr>
            <w:rStyle w:val="Kpr"/>
            <w:rFonts w:ascii="Palatino Linotype" w:eastAsiaTheme="majorEastAsia" w:hAnsi="Palatino Linotype"/>
            <w:noProof/>
          </w:rPr>
          <w:t>h.</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Yargıtay Yalnızca Ceza Yarılamasının Sonucuyla İlgilenmektedir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_Toc151927111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12</w:t>
        </w:r>
        <w:r w:rsidR="00BD10C1" w:rsidRPr="00136478">
          <w:rPr>
            <w:rFonts w:ascii="Palatino Linotype" w:hAnsi="Palatino Linotype"/>
            <w:noProof/>
            <w:webHidden/>
          </w:rPr>
          <w:fldChar w:fldCharType="end"/>
        </w:r>
      </w:hyperlink>
    </w:p>
    <w:p w14:paraId="3B9B5956" w14:textId="52AEA4FD"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2" w:history="1">
        <w:r w:rsidR="00BD10C1" w:rsidRPr="00136478">
          <w:rPr>
            <w:rStyle w:val="Kpr"/>
            <w:rFonts w:ascii="Palatino Linotype" w:eastAsiaTheme="majorEastAsia" w:hAnsi="Palatino Linotype"/>
            <w:noProof/>
          </w:rPr>
          <w:t>i.</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Verileri Öğrenme Fırsatı Tanınması Savunma Hakkının Korunması İçin Önemlidir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_Toc151927112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12</w:t>
        </w:r>
        <w:r w:rsidR="00BD10C1" w:rsidRPr="00136478">
          <w:rPr>
            <w:rFonts w:ascii="Palatino Linotype" w:hAnsi="Palatino Linotype"/>
            <w:noProof/>
            <w:webHidden/>
          </w:rPr>
          <w:fldChar w:fldCharType="end"/>
        </w:r>
      </w:hyperlink>
    </w:p>
    <w:p w14:paraId="51BF1647" w14:textId="3B6BD62C"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3" w:history="1">
        <w:r w:rsidR="00BD10C1" w:rsidRPr="00136478">
          <w:rPr>
            <w:rStyle w:val="Kpr"/>
            <w:rFonts w:ascii="Palatino Linotype" w:eastAsiaTheme="majorEastAsia" w:hAnsi="Palatino Linotype"/>
            <w:noProof/>
          </w:rPr>
          <w:t>j.</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Başvuranın Tüm Bylock Materyallerine Ulaşması Gerekirdi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_Toc151927113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12</w:t>
        </w:r>
        <w:r w:rsidR="00BD10C1" w:rsidRPr="00136478">
          <w:rPr>
            <w:rFonts w:ascii="Palatino Linotype" w:hAnsi="Palatino Linotype"/>
            <w:noProof/>
            <w:webHidden/>
          </w:rPr>
          <w:fldChar w:fldCharType="end"/>
        </w:r>
      </w:hyperlink>
    </w:p>
    <w:p w14:paraId="2AC67A0F" w14:textId="4343DC78" w:rsidR="00BD10C1" w:rsidRPr="00136478" w:rsidRDefault="00000000" w:rsidP="00136478">
      <w:pPr>
        <w:pStyle w:val="T2"/>
        <w:rPr>
          <w:rFonts w:ascii="Palatino Linotype" w:eastAsiaTheme="minorEastAsia" w:hAnsi="Palatino Linotype" w:cstheme="minorBidi"/>
          <w:noProof/>
        </w:rPr>
      </w:pPr>
      <w:hyperlink w:anchor="_Toc151927114" w:history="1">
        <w:r w:rsidR="00BD10C1" w:rsidRPr="00136478">
          <w:rPr>
            <w:rStyle w:val="Kpr"/>
            <w:rFonts w:ascii="Palatino Linotype" w:eastAsiaTheme="majorEastAsia" w:hAnsi="Palatino Linotype"/>
            <w:noProof/>
            <w:sz w:val="20"/>
            <w:szCs w:val="20"/>
          </w:rPr>
          <w:t>5. Münhasırlık İddiasına İlişkin Değerlendirme</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_Toc151927114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13</w:t>
        </w:r>
        <w:r w:rsidR="00BD10C1" w:rsidRPr="00136478">
          <w:rPr>
            <w:rFonts w:ascii="Palatino Linotype" w:hAnsi="Palatino Linotype"/>
            <w:noProof/>
            <w:webHidden/>
          </w:rPr>
          <w:fldChar w:fldCharType="end"/>
        </w:r>
      </w:hyperlink>
    </w:p>
    <w:p w14:paraId="1B456A3E" w14:textId="18549D78" w:rsidR="00BD10C1" w:rsidRPr="00136478" w:rsidRDefault="00000000" w:rsidP="00136478">
      <w:pPr>
        <w:pStyle w:val="T3"/>
        <w:tabs>
          <w:tab w:val="left" w:pos="1540"/>
          <w:tab w:val="right" w:leader="dot" w:pos="9061"/>
        </w:tabs>
        <w:ind w:left="1535" w:hanging="528"/>
        <w:rPr>
          <w:rFonts w:ascii="Palatino Linotype" w:eastAsiaTheme="minorEastAsia" w:hAnsi="Palatino Linotype" w:cstheme="minorBidi"/>
          <w:noProof/>
        </w:rPr>
      </w:pPr>
      <w:hyperlink w:anchor="_Toc151927115" w:history="1">
        <w:r w:rsidR="00BD10C1" w:rsidRPr="00136478">
          <w:rPr>
            <w:rStyle w:val="Kpr"/>
            <w:rFonts w:ascii="Palatino Linotype" w:eastAsiaTheme="majorEastAsia" w:hAnsi="Palatino Linotype"/>
            <w:noProof/>
          </w:rPr>
          <w:t>a.</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Bylock’un Örgütsel Amaçla Kullanıldığı (Münhasırlık) İddiası Maddi Bulgulara Dayanmamaktadır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_Toc151927115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13</w:t>
        </w:r>
        <w:r w:rsidR="00BD10C1" w:rsidRPr="00136478">
          <w:rPr>
            <w:rFonts w:ascii="Palatino Linotype" w:hAnsi="Palatino Linotype"/>
            <w:noProof/>
            <w:webHidden/>
          </w:rPr>
          <w:fldChar w:fldCharType="end"/>
        </w:r>
      </w:hyperlink>
    </w:p>
    <w:p w14:paraId="5109895D" w14:textId="3CF10963"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6" w:history="1">
        <w:r w:rsidR="00BD10C1" w:rsidRPr="00136478">
          <w:rPr>
            <w:rStyle w:val="Kpr"/>
            <w:rFonts w:ascii="Palatino Linotype" w:eastAsiaTheme="majorEastAsia" w:hAnsi="Palatino Linotype"/>
            <w:noProof/>
          </w:rPr>
          <w:t>b.</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Bylock İki Yıl Boyunca Uygulama Mağazalarından İndirilebilen Bir Uygulamadır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_Toc151927116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13</w:t>
        </w:r>
        <w:r w:rsidR="00BD10C1" w:rsidRPr="00136478">
          <w:rPr>
            <w:rFonts w:ascii="Palatino Linotype" w:hAnsi="Palatino Linotype"/>
            <w:noProof/>
            <w:webHidden/>
          </w:rPr>
          <w:fldChar w:fldCharType="end"/>
        </w:r>
      </w:hyperlink>
    </w:p>
    <w:p w14:paraId="75E7A181" w14:textId="12C90F1B"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7" w:history="1">
        <w:r w:rsidR="00BD10C1" w:rsidRPr="00136478">
          <w:rPr>
            <w:rStyle w:val="Kpr"/>
            <w:rFonts w:ascii="Palatino Linotype" w:eastAsiaTheme="majorEastAsia" w:hAnsi="Palatino Linotype"/>
            <w:noProof/>
          </w:rPr>
          <w:t>c.</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Bylock Münhasır Bir Uygulama Değildir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_Toc151927117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14</w:t>
        </w:r>
        <w:r w:rsidR="00BD10C1" w:rsidRPr="00136478">
          <w:rPr>
            <w:rFonts w:ascii="Palatino Linotype" w:hAnsi="Palatino Linotype"/>
            <w:noProof/>
            <w:webHidden/>
          </w:rPr>
          <w:fldChar w:fldCharType="end"/>
        </w:r>
      </w:hyperlink>
    </w:p>
    <w:p w14:paraId="522BC135" w14:textId="4F76952C"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8" w:history="1">
        <w:r w:rsidR="00BD10C1" w:rsidRPr="00136478">
          <w:rPr>
            <w:rStyle w:val="Kpr"/>
            <w:rFonts w:ascii="Palatino Linotype" w:eastAsiaTheme="majorEastAsia" w:hAnsi="Palatino Linotype"/>
            <w:noProof/>
          </w:rPr>
          <w:t>d.</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Talimatla Ağa dahil Olma Şartına İlişkin Gerekli Değerlendirme Yapılmamıştır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_Toc151927118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15</w:t>
        </w:r>
        <w:r w:rsidR="00BD10C1" w:rsidRPr="00136478">
          <w:rPr>
            <w:rFonts w:ascii="Palatino Linotype" w:hAnsi="Palatino Linotype"/>
            <w:noProof/>
            <w:webHidden/>
          </w:rPr>
          <w:fldChar w:fldCharType="end"/>
        </w:r>
      </w:hyperlink>
    </w:p>
    <w:p w14:paraId="739FE518" w14:textId="6E5B031E"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19" w:history="1">
        <w:r w:rsidR="00BD10C1" w:rsidRPr="00136478">
          <w:rPr>
            <w:rStyle w:val="Kpr"/>
            <w:rFonts w:ascii="Palatino Linotype" w:eastAsiaTheme="majorEastAsia" w:hAnsi="Palatino Linotype"/>
            <w:noProof/>
          </w:rPr>
          <w:t>e.</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Münhasırlık ve Örgütsel Kullanım Argümanına İlişkin Bariz Boşluklar Vardır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_Toc151927119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16</w:t>
        </w:r>
        <w:r w:rsidR="00BD10C1" w:rsidRPr="00136478">
          <w:rPr>
            <w:rFonts w:ascii="Palatino Linotype" w:hAnsi="Palatino Linotype"/>
            <w:noProof/>
            <w:webHidden/>
          </w:rPr>
          <w:fldChar w:fldCharType="end"/>
        </w:r>
      </w:hyperlink>
    </w:p>
    <w:p w14:paraId="5824B790" w14:textId="18E1A403" w:rsidR="00BD10C1" w:rsidRPr="00136478" w:rsidRDefault="00000000" w:rsidP="00136478">
      <w:pPr>
        <w:pStyle w:val="T2"/>
        <w:ind w:left="787" w:firstLine="0"/>
        <w:rPr>
          <w:rFonts w:ascii="Palatino Linotype" w:eastAsiaTheme="minorEastAsia" w:hAnsi="Palatino Linotype" w:cstheme="minorBidi"/>
          <w:noProof/>
        </w:rPr>
      </w:pPr>
      <w:hyperlink w:anchor="_Toc151927120" w:history="1">
        <w:r w:rsidR="00BD10C1" w:rsidRPr="00136478">
          <w:rPr>
            <w:rStyle w:val="Kpr"/>
            <w:rFonts w:ascii="Palatino Linotype" w:eastAsiaTheme="majorEastAsia" w:hAnsi="Palatino Linotype"/>
            <w:noProof/>
            <w:sz w:val="20"/>
            <w:szCs w:val="20"/>
          </w:rPr>
          <w:t>6. Savunma Hakkının Etkin Kullanımı ve Yargılamanın Adil Olması İçin Gerekli Önlemlerin Varlığına İlişkin Değerlendirme</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_Toc151927120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17</w:t>
        </w:r>
        <w:r w:rsidR="00BD10C1" w:rsidRPr="00136478">
          <w:rPr>
            <w:rFonts w:ascii="Palatino Linotype" w:hAnsi="Palatino Linotype"/>
            <w:noProof/>
            <w:webHidden/>
          </w:rPr>
          <w:fldChar w:fldCharType="end"/>
        </w:r>
      </w:hyperlink>
    </w:p>
    <w:p w14:paraId="13A2F43E" w14:textId="5E1E7A98"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21" w:history="1">
        <w:r w:rsidR="00BD10C1" w:rsidRPr="00136478">
          <w:rPr>
            <w:rStyle w:val="Kpr"/>
            <w:rFonts w:ascii="Palatino Linotype" w:eastAsiaTheme="majorEastAsia" w:hAnsi="Palatino Linotype"/>
            <w:noProof/>
          </w:rPr>
          <w:t>a.</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Başvuran Savunma Hakkını Etkin Bir Şekilde Kullanamamıştır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_Toc151927121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17</w:t>
        </w:r>
        <w:r w:rsidR="00BD10C1" w:rsidRPr="00136478">
          <w:rPr>
            <w:rFonts w:ascii="Palatino Linotype" w:hAnsi="Palatino Linotype"/>
            <w:noProof/>
            <w:webHidden/>
          </w:rPr>
          <w:fldChar w:fldCharType="end"/>
        </w:r>
      </w:hyperlink>
    </w:p>
    <w:p w14:paraId="6D80BBB2" w14:textId="31EB3E50" w:rsidR="00BD10C1" w:rsidRPr="00136478" w:rsidRDefault="00000000">
      <w:pPr>
        <w:pStyle w:val="T3"/>
        <w:tabs>
          <w:tab w:val="left" w:pos="1540"/>
          <w:tab w:val="right" w:leader="dot" w:pos="9061"/>
        </w:tabs>
        <w:rPr>
          <w:rFonts w:ascii="Palatino Linotype" w:eastAsiaTheme="minorEastAsia" w:hAnsi="Palatino Linotype" w:cstheme="minorBidi"/>
          <w:noProof/>
        </w:rPr>
      </w:pPr>
      <w:hyperlink w:anchor="_Toc151927122" w:history="1">
        <w:r w:rsidR="00BD10C1" w:rsidRPr="00136478">
          <w:rPr>
            <w:rStyle w:val="Kpr"/>
            <w:rFonts w:ascii="Palatino Linotype" w:eastAsiaTheme="majorEastAsia" w:hAnsi="Palatino Linotype"/>
            <w:noProof/>
          </w:rPr>
          <w:t>b.</w:t>
        </w:r>
        <w:r w:rsidR="00BD10C1" w:rsidRPr="00136478">
          <w:rPr>
            <w:rFonts w:ascii="Palatino Linotype" w:eastAsiaTheme="minorEastAsia" w:hAnsi="Palatino Linotype" w:cstheme="minorBidi"/>
            <w:noProof/>
          </w:rPr>
          <w:tab/>
        </w:r>
        <w:r w:rsidR="00BD10C1" w:rsidRPr="00136478">
          <w:rPr>
            <w:rStyle w:val="Kpr"/>
            <w:rFonts w:ascii="Palatino Linotype" w:eastAsiaTheme="majorEastAsia" w:hAnsi="Palatino Linotype"/>
            <w:noProof/>
          </w:rPr>
          <w:t>Mahkemeler Yargılamanın Adil Olması İçin Gerekli Önlemleri Almamışlardır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_Toc151927122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17</w:t>
        </w:r>
        <w:r w:rsidR="00BD10C1" w:rsidRPr="00136478">
          <w:rPr>
            <w:rFonts w:ascii="Palatino Linotype" w:hAnsi="Palatino Linotype"/>
            <w:noProof/>
            <w:webHidden/>
          </w:rPr>
          <w:fldChar w:fldCharType="end"/>
        </w:r>
      </w:hyperlink>
    </w:p>
    <w:p w14:paraId="7EAD9F4F" w14:textId="4347BD88" w:rsidR="00BD10C1" w:rsidRPr="00136478" w:rsidRDefault="00000000">
      <w:pPr>
        <w:pStyle w:val="T1"/>
        <w:tabs>
          <w:tab w:val="left" w:pos="1100"/>
          <w:tab w:val="right" w:leader="dot" w:pos="9061"/>
        </w:tabs>
        <w:rPr>
          <w:rFonts w:ascii="Palatino Linotype" w:eastAsiaTheme="minorEastAsia" w:hAnsi="Palatino Linotype" w:cstheme="minorBidi"/>
          <w:b w:val="0"/>
          <w:bCs w:val="0"/>
          <w:i w:val="0"/>
          <w:iCs w:val="0"/>
          <w:noProof/>
          <w:sz w:val="20"/>
          <w:szCs w:val="20"/>
        </w:rPr>
      </w:pPr>
      <w:hyperlink w:anchor="_Toc151927123" w:history="1">
        <w:r w:rsidR="00BD10C1" w:rsidRPr="00136478">
          <w:rPr>
            <w:rStyle w:val="Kpr"/>
            <w:rFonts w:ascii="Palatino Linotype" w:eastAsiaTheme="majorEastAsia" w:hAnsi="Palatino Linotype"/>
            <w:i w:val="0"/>
            <w:iCs w:val="0"/>
            <w:noProof/>
            <w:sz w:val="20"/>
            <w:szCs w:val="20"/>
          </w:rPr>
          <w:t>D.</w:t>
        </w:r>
        <w:r w:rsidR="00BD10C1" w:rsidRPr="00136478">
          <w:rPr>
            <w:rFonts w:ascii="Palatino Linotype" w:eastAsiaTheme="minorEastAsia" w:hAnsi="Palatino Linotype" w:cstheme="minorBidi"/>
            <w:b w:val="0"/>
            <w:bCs w:val="0"/>
            <w:i w:val="0"/>
            <w:iCs w:val="0"/>
            <w:noProof/>
            <w:sz w:val="20"/>
            <w:szCs w:val="20"/>
          </w:rPr>
          <w:tab/>
        </w:r>
        <w:r w:rsidR="00BD10C1" w:rsidRPr="00136478">
          <w:rPr>
            <w:rStyle w:val="Kpr"/>
            <w:rFonts w:ascii="Palatino Linotype" w:eastAsiaTheme="majorEastAsia" w:hAnsi="Palatino Linotype"/>
            <w:i w:val="0"/>
            <w:iCs w:val="0"/>
            <w:noProof/>
            <w:sz w:val="20"/>
            <w:szCs w:val="20"/>
          </w:rPr>
          <w:t>BİLİRKİŞİ RAPORUYLA DOĞRULANAN ŞÜPHE SEBEPLERİ</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_Toc151927123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18</w:t>
        </w:r>
        <w:r w:rsidR="00BD10C1" w:rsidRPr="00136478">
          <w:rPr>
            <w:rFonts w:ascii="Palatino Linotype" w:hAnsi="Palatino Linotype"/>
            <w:i w:val="0"/>
            <w:iCs w:val="0"/>
            <w:noProof/>
            <w:webHidden/>
            <w:sz w:val="20"/>
            <w:szCs w:val="20"/>
          </w:rPr>
          <w:fldChar w:fldCharType="end"/>
        </w:r>
      </w:hyperlink>
    </w:p>
    <w:p w14:paraId="65C59F72" w14:textId="2F79D112" w:rsidR="00BD10C1" w:rsidRPr="00136478" w:rsidRDefault="00000000" w:rsidP="00136478">
      <w:pPr>
        <w:pStyle w:val="T2"/>
        <w:rPr>
          <w:rFonts w:ascii="Palatino Linotype" w:eastAsiaTheme="minorEastAsia" w:hAnsi="Palatino Linotype" w:cstheme="minorBidi"/>
          <w:noProof/>
        </w:rPr>
      </w:pPr>
      <w:hyperlink w:anchor="_Toc151927124" w:history="1">
        <w:r w:rsidR="00BD10C1" w:rsidRPr="00136478">
          <w:rPr>
            <w:rStyle w:val="Kpr"/>
            <w:rFonts w:ascii="Palatino Linotype" w:eastAsiaTheme="majorEastAsia" w:hAnsi="Palatino Linotype"/>
            <w:noProof/>
            <w:sz w:val="20"/>
            <w:szCs w:val="20"/>
          </w:rPr>
          <w:t>1.</w:t>
        </w:r>
        <w:r w:rsidR="00BD10C1" w:rsidRPr="00136478">
          <w:rPr>
            <w:rFonts w:ascii="Palatino Linotype" w:eastAsiaTheme="minorEastAsia" w:hAnsi="Palatino Linotype" w:cstheme="minorBidi"/>
            <w:noProof/>
          </w:rPr>
          <w:tab/>
        </w:r>
        <w:r w:rsidR="00136478">
          <w:rPr>
            <w:rFonts w:ascii="Palatino Linotype" w:eastAsiaTheme="minorEastAsia" w:hAnsi="Palatino Linotype" w:cstheme="minorBidi"/>
            <w:noProof/>
          </w:rPr>
          <w:t xml:space="preserve"> </w:t>
        </w:r>
        <w:r w:rsidR="00BD10C1" w:rsidRPr="00136478">
          <w:rPr>
            <w:rStyle w:val="Kpr"/>
            <w:rFonts w:ascii="Palatino Linotype" w:eastAsiaTheme="majorEastAsia" w:hAnsi="Palatino Linotype"/>
            <w:noProof/>
            <w:sz w:val="20"/>
            <w:szCs w:val="20"/>
          </w:rPr>
          <w:t>13 GB Veri Üzerinde 26/10/2016’da Değişiklik Yapılmıştır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_Toc151927124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18</w:t>
        </w:r>
        <w:r w:rsidR="00BD10C1" w:rsidRPr="00136478">
          <w:rPr>
            <w:rFonts w:ascii="Palatino Linotype" w:hAnsi="Palatino Linotype"/>
            <w:noProof/>
            <w:webHidden/>
          </w:rPr>
          <w:fldChar w:fldCharType="end"/>
        </w:r>
      </w:hyperlink>
    </w:p>
    <w:p w14:paraId="6982BB18" w14:textId="6389AF43" w:rsidR="00BD10C1" w:rsidRPr="00136478" w:rsidRDefault="00000000" w:rsidP="00136478">
      <w:pPr>
        <w:pStyle w:val="T2"/>
        <w:rPr>
          <w:rFonts w:ascii="Palatino Linotype" w:eastAsiaTheme="minorEastAsia" w:hAnsi="Palatino Linotype" w:cstheme="minorBidi"/>
          <w:noProof/>
        </w:rPr>
      </w:pPr>
      <w:hyperlink w:anchor="_Toc151927125" w:history="1">
        <w:r w:rsidR="00BD10C1" w:rsidRPr="00136478">
          <w:rPr>
            <w:rStyle w:val="Kpr"/>
            <w:rFonts w:ascii="Palatino Linotype" w:eastAsiaTheme="majorEastAsia" w:hAnsi="Palatino Linotype"/>
            <w:noProof/>
            <w:sz w:val="20"/>
            <w:szCs w:val="20"/>
          </w:rPr>
          <w:t>2.</w:t>
        </w:r>
        <w:r w:rsidR="00BD10C1" w:rsidRPr="00136478">
          <w:rPr>
            <w:rFonts w:ascii="Palatino Linotype" w:eastAsiaTheme="minorEastAsia" w:hAnsi="Palatino Linotype" w:cstheme="minorBidi"/>
            <w:noProof/>
          </w:rPr>
          <w:tab/>
        </w:r>
        <w:r w:rsidR="00136478">
          <w:rPr>
            <w:rFonts w:ascii="Palatino Linotype" w:eastAsiaTheme="minorEastAsia" w:hAnsi="Palatino Linotype" w:cstheme="minorBidi"/>
            <w:noProof/>
          </w:rPr>
          <w:t xml:space="preserve"> </w:t>
        </w:r>
        <w:r w:rsidR="00BD10C1" w:rsidRPr="00136478">
          <w:rPr>
            <w:rStyle w:val="Kpr"/>
            <w:rFonts w:ascii="Palatino Linotype" w:eastAsiaTheme="majorEastAsia" w:hAnsi="Palatino Linotype"/>
            <w:noProof/>
            <w:sz w:val="20"/>
            <w:szCs w:val="20"/>
          </w:rPr>
          <w:t>Üzerinde Çalışılan Verilerden İsim Listesi Çıkarılmıştır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_Toc151927125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19</w:t>
        </w:r>
        <w:r w:rsidR="00BD10C1" w:rsidRPr="00136478">
          <w:rPr>
            <w:rFonts w:ascii="Palatino Linotype" w:hAnsi="Palatino Linotype"/>
            <w:noProof/>
            <w:webHidden/>
          </w:rPr>
          <w:fldChar w:fldCharType="end"/>
        </w:r>
      </w:hyperlink>
    </w:p>
    <w:p w14:paraId="57506A06" w14:textId="3924D361" w:rsidR="00BD10C1" w:rsidRPr="00136478" w:rsidRDefault="00000000" w:rsidP="00136478">
      <w:pPr>
        <w:pStyle w:val="T2"/>
        <w:rPr>
          <w:rFonts w:ascii="Palatino Linotype" w:eastAsiaTheme="minorEastAsia" w:hAnsi="Palatino Linotype" w:cstheme="minorBidi"/>
          <w:noProof/>
        </w:rPr>
      </w:pPr>
      <w:hyperlink w:anchor="_Toc151927126" w:history="1">
        <w:r w:rsidR="00BD10C1" w:rsidRPr="00136478">
          <w:rPr>
            <w:rStyle w:val="Kpr"/>
            <w:rFonts w:ascii="Palatino Linotype" w:eastAsiaTheme="majorEastAsia" w:hAnsi="Palatino Linotype"/>
            <w:noProof/>
            <w:sz w:val="20"/>
            <w:szCs w:val="20"/>
          </w:rPr>
          <w:t>3. Bilirkişilere Teslim Edilmeden Önce Verilerde Değişiklik Yapılmıştır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_Toc151927126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20</w:t>
        </w:r>
        <w:r w:rsidR="00BD10C1" w:rsidRPr="00136478">
          <w:rPr>
            <w:rFonts w:ascii="Palatino Linotype" w:hAnsi="Palatino Linotype"/>
            <w:noProof/>
            <w:webHidden/>
          </w:rPr>
          <w:fldChar w:fldCharType="end"/>
        </w:r>
      </w:hyperlink>
    </w:p>
    <w:p w14:paraId="43004E02" w14:textId="7FC72E89" w:rsidR="00BD10C1" w:rsidRPr="00136478" w:rsidRDefault="00000000" w:rsidP="00136478">
      <w:pPr>
        <w:pStyle w:val="T2"/>
        <w:rPr>
          <w:rFonts w:ascii="Palatino Linotype" w:eastAsiaTheme="minorEastAsia" w:hAnsi="Palatino Linotype" w:cstheme="minorBidi"/>
          <w:noProof/>
        </w:rPr>
      </w:pPr>
      <w:hyperlink w:anchor="_Toc151927127" w:history="1">
        <w:r w:rsidR="00BD10C1" w:rsidRPr="00136478">
          <w:rPr>
            <w:rStyle w:val="Kpr"/>
            <w:rFonts w:ascii="Palatino Linotype" w:eastAsiaTheme="majorEastAsia" w:hAnsi="Palatino Linotype"/>
            <w:noProof/>
            <w:sz w:val="20"/>
            <w:szCs w:val="20"/>
          </w:rPr>
          <w:t>4. Bylock Verilerinin Yapısı Bozuktur ve Kurtarma İşlemine Tabi Tutulmuştur</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_Toc151927127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20</w:t>
        </w:r>
        <w:r w:rsidR="00BD10C1" w:rsidRPr="00136478">
          <w:rPr>
            <w:rFonts w:ascii="Palatino Linotype" w:hAnsi="Palatino Linotype"/>
            <w:noProof/>
            <w:webHidden/>
          </w:rPr>
          <w:fldChar w:fldCharType="end"/>
        </w:r>
      </w:hyperlink>
    </w:p>
    <w:p w14:paraId="7DBD76CB" w14:textId="24B1B4F6" w:rsidR="00BD10C1" w:rsidRPr="00136478" w:rsidRDefault="00000000" w:rsidP="00136478">
      <w:pPr>
        <w:pStyle w:val="T2"/>
        <w:rPr>
          <w:rFonts w:ascii="Palatino Linotype" w:eastAsiaTheme="minorEastAsia" w:hAnsi="Palatino Linotype" w:cstheme="minorBidi"/>
          <w:noProof/>
        </w:rPr>
      </w:pPr>
      <w:hyperlink w:anchor="_Toc151927128" w:history="1">
        <w:r w:rsidR="00BD10C1" w:rsidRPr="00136478">
          <w:rPr>
            <w:rStyle w:val="Kpr"/>
            <w:rFonts w:ascii="Palatino Linotype" w:eastAsiaTheme="majorEastAsia" w:hAnsi="Palatino Linotype"/>
            <w:noProof/>
            <w:sz w:val="20"/>
            <w:szCs w:val="20"/>
          </w:rPr>
          <w:t>5. Bilirkişi Raporunun Önemi</w:t>
        </w:r>
        <w:r w:rsidR="00BD10C1" w:rsidRPr="00136478">
          <w:rPr>
            <w:rFonts w:ascii="Palatino Linotype" w:hAnsi="Palatino Linotype"/>
            <w:noProof/>
            <w:webHidden/>
          </w:rPr>
          <w:tab/>
        </w:r>
        <w:r w:rsidR="00BD10C1" w:rsidRPr="00136478">
          <w:rPr>
            <w:rFonts w:ascii="Palatino Linotype" w:hAnsi="Palatino Linotype"/>
            <w:noProof/>
            <w:webHidden/>
          </w:rPr>
          <w:fldChar w:fldCharType="begin"/>
        </w:r>
        <w:r w:rsidR="00BD10C1" w:rsidRPr="00136478">
          <w:rPr>
            <w:rFonts w:ascii="Palatino Linotype" w:hAnsi="Palatino Linotype"/>
            <w:noProof/>
            <w:webHidden/>
          </w:rPr>
          <w:instrText xml:space="preserve"> PAGEREF _Toc151927128 \h </w:instrText>
        </w:r>
        <w:r w:rsidR="00BD10C1" w:rsidRPr="00136478">
          <w:rPr>
            <w:rFonts w:ascii="Palatino Linotype" w:hAnsi="Palatino Linotype"/>
            <w:noProof/>
            <w:webHidden/>
          </w:rPr>
        </w:r>
        <w:r w:rsidR="00BD10C1" w:rsidRPr="00136478">
          <w:rPr>
            <w:rFonts w:ascii="Palatino Linotype" w:hAnsi="Palatino Linotype"/>
            <w:noProof/>
            <w:webHidden/>
          </w:rPr>
          <w:fldChar w:fldCharType="separate"/>
        </w:r>
        <w:r w:rsidR="00C12DE5">
          <w:rPr>
            <w:rFonts w:ascii="Palatino Linotype" w:hAnsi="Palatino Linotype"/>
            <w:noProof/>
            <w:webHidden/>
          </w:rPr>
          <w:t>21</w:t>
        </w:r>
        <w:r w:rsidR="00BD10C1" w:rsidRPr="00136478">
          <w:rPr>
            <w:rFonts w:ascii="Palatino Linotype" w:hAnsi="Palatino Linotype"/>
            <w:noProof/>
            <w:webHidden/>
          </w:rPr>
          <w:fldChar w:fldCharType="end"/>
        </w:r>
      </w:hyperlink>
    </w:p>
    <w:p w14:paraId="6883424E" w14:textId="28F5463B" w:rsidR="00BD10C1" w:rsidRPr="00136478" w:rsidRDefault="00000000">
      <w:pPr>
        <w:pStyle w:val="T1"/>
        <w:tabs>
          <w:tab w:val="right" w:leader="dot" w:pos="9061"/>
        </w:tabs>
        <w:rPr>
          <w:rFonts w:ascii="Palatino Linotype" w:eastAsiaTheme="minorEastAsia" w:hAnsi="Palatino Linotype" w:cstheme="minorBidi"/>
          <w:b w:val="0"/>
          <w:bCs w:val="0"/>
          <w:i w:val="0"/>
          <w:iCs w:val="0"/>
          <w:noProof/>
          <w:sz w:val="20"/>
          <w:szCs w:val="20"/>
        </w:rPr>
      </w:pPr>
      <w:hyperlink w:anchor="_Toc151927129" w:history="1">
        <w:r w:rsidR="00BD10C1" w:rsidRPr="00136478">
          <w:rPr>
            <w:rStyle w:val="Kpr"/>
            <w:rFonts w:ascii="Palatino Linotype" w:eastAsiaTheme="majorEastAsia" w:hAnsi="Palatino Linotype"/>
            <w:i w:val="0"/>
            <w:iCs w:val="0"/>
            <w:noProof/>
            <w:sz w:val="20"/>
            <w:szCs w:val="20"/>
          </w:rPr>
          <w:t>SONUÇ</w:t>
        </w:r>
        <w:r w:rsidR="00BD10C1" w:rsidRPr="00136478">
          <w:rPr>
            <w:rFonts w:ascii="Palatino Linotype" w:hAnsi="Palatino Linotype"/>
            <w:i w:val="0"/>
            <w:iCs w:val="0"/>
            <w:noProof/>
            <w:webHidden/>
            <w:sz w:val="20"/>
            <w:szCs w:val="20"/>
          </w:rPr>
          <w:tab/>
        </w:r>
        <w:r w:rsidR="00BD10C1" w:rsidRPr="00136478">
          <w:rPr>
            <w:rFonts w:ascii="Palatino Linotype" w:hAnsi="Palatino Linotype"/>
            <w:i w:val="0"/>
            <w:iCs w:val="0"/>
            <w:noProof/>
            <w:webHidden/>
            <w:sz w:val="20"/>
            <w:szCs w:val="20"/>
          </w:rPr>
          <w:fldChar w:fldCharType="begin"/>
        </w:r>
        <w:r w:rsidR="00BD10C1" w:rsidRPr="00136478">
          <w:rPr>
            <w:rFonts w:ascii="Palatino Linotype" w:hAnsi="Palatino Linotype"/>
            <w:i w:val="0"/>
            <w:iCs w:val="0"/>
            <w:noProof/>
            <w:webHidden/>
            <w:sz w:val="20"/>
            <w:szCs w:val="20"/>
          </w:rPr>
          <w:instrText xml:space="preserve"> PAGEREF _Toc151927129 \h </w:instrText>
        </w:r>
        <w:r w:rsidR="00BD10C1" w:rsidRPr="00136478">
          <w:rPr>
            <w:rFonts w:ascii="Palatino Linotype" w:hAnsi="Palatino Linotype"/>
            <w:i w:val="0"/>
            <w:iCs w:val="0"/>
            <w:noProof/>
            <w:webHidden/>
            <w:sz w:val="20"/>
            <w:szCs w:val="20"/>
          </w:rPr>
        </w:r>
        <w:r w:rsidR="00BD10C1" w:rsidRPr="00136478">
          <w:rPr>
            <w:rFonts w:ascii="Palatino Linotype" w:hAnsi="Palatino Linotype"/>
            <w:i w:val="0"/>
            <w:iCs w:val="0"/>
            <w:noProof/>
            <w:webHidden/>
            <w:sz w:val="20"/>
            <w:szCs w:val="20"/>
          </w:rPr>
          <w:fldChar w:fldCharType="separate"/>
        </w:r>
        <w:r w:rsidR="00C12DE5">
          <w:rPr>
            <w:rFonts w:ascii="Palatino Linotype" w:hAnsi="Palatino Linotype"/>
            <w:i w:val="0"/>
            <w:iCs w:val="0"/>
            <w:noProof/>
            <w:webHidden/>
            <w:sz w:val="20"/>
            <w:szCs w:val="20"/>
          </w:rPr>
          <w:t>22</w:t>
        </w:r>
        <w:r w:rsidR="00BD10C1" w:rsidRPr="00136478">
          <w:rPr>
            <w:rFonts w:ascii="Palatino Linotype" w:hAnsi="Palatino Linotype"/>
            <w:i w:val="0"/>
            <w:iCs w:val="0"/>
            <w:noProof/>
            <w:webHidden/>
            <w:sz w:val="20"/>
            <w:szCs w:val="20"/>
          </w:rPr>
          <w:fldChar w:fldCharType="end"/>
        </w:r>
      </w:hyperlink>
    </w:p>
    <w:p w14:paraId="0667C9EF" w14:textId="0E938E38" w:rsidR="00E52E47" w:rsidRPr="00041E11" w:rsidRDefault="00BD10C1" w:rsidP="00E52E47">
      <w:pPr>
        <w:rPr>
          <w:rFonts w:ascii="Palatino" w:hAnsi="Palatino"/>
        </w:rPr>
      </w:pPr>
      <w:r w:rsidRPr="00136478">
        <w:rPr>
          <w:sz w:val="20"/>
          <w:szCs w:val="20"/>
        </w:rPr>
        <w:fldChar w:fldCharType="end"/>
      </w:r>
    </w:p>
    <w:p w14:paraId="4D298108" w14:textId="77777777" w:rsidR="00E52E47" w:rsidRPr="00041E11" w:rsidRDefault="00E52E47" w:rsidP="00E52E47">
      <w:pPr>
        <w:rPr>
          <w:rFonts w:ascii="Palatino" w:hAnsi="Palatino"/>
        </w:rPr>
      </w:pPr>
    </w:p>
    <w:p w14:paraId="7FA8217E" w14:textId="77777777" w:rsidR="00E52E47" w:rsidRDefault="00E52E47" w:rsidP="00E52E47"/>
    <w:p w14:paraId="2B04D492" w14:textId="77777777" w:rsidR="00E52E47" w:rsidRDefault="00E52E47" w:rsidP="00E52E47"/>
    <w:p w14:paraId="21F00CD3" w14:textId="77777777" w:rsidR="00E52E47" w:rsidRDefault="00E52E47" w:rsidP="00E52E47"/>
    <w:p w14:paraId="6586C1CA" w14:textId="77777777" w:rsidR="00E52E47" w:rsidRDefault="00E52E47" w:rsidP="00E52E47"/>
    <w:p w14:paraId="15FCC1D8" w14:textId="77777777" w:rsidR="00E52E47" w:rsidRDefault="00E52E47" w:rsidP="00E52E47"/>
    <w:p w14:paraId="07E44D24" w14:textId="77777777" w:rsidR="00E52E47" w:rsidRDefault="00E52E47" w:rsidP="00E52E47"/>
    <w:p w14:paraId="53F673E5" w14:textId="77777777" w:rsidR="00E52E47" w:rsidRDefault="00E52E47" w:rsidP="00E52E47"/>
    <w:p w14:paraId="2673002B" w14:textId="77777777" w:rsidR="00E52E47" w:rsidRDefault="00E52E47" w:rsidP="00E52E47"/>
    <w:p w14:paraId="633D9A2E" w14:textId="77777777" w:rsidR="00E52E47" w:rsidRDefault="00E52E47" w:rsidP="00E52E47"/>
    <w:p w14:paraId="2C3E5B23" w14:textId="77777777" w:rsidR="00E52E47" w:rsidRDefault="00E52E47" w:rsidP="00E52E47"/>
    <w:p w14:paraId="48C8A285" w14:textId="77777777" w:rsidR="00E52E47" w:rsidRDefault="00E52E47" w:rsidP="00E52E47"/>
    <w:p w14:paraId="7EEF231E" w14:textId="77777777" w:rsidR="0090130B" w:rsidRDefault="0090130B" w:rsidP="00E52E47">
      <w:pPr>
        <w:sectPr w:rsidR="0090130B" w:rsidSect="0090130B">
          <w:footerReference w:type="even" r:id="rId10"/>
          <w:footerReference w:type="default" r:id="rId11"/>
          <w:pgSz w:w="11906" w:h="16838"/>
          <w:pgMar w:top="1418" w:right="1417" w:bottom="1135" w:left="1418" w:header="708" w:footer="708" w:gutter="0"/>
          <w:cols w:space="708"/>
          <w:titlePg/>
          <w:docGrid w:linePitch="360"/>
        </w:sectPr>
      </w:pPr>
    </w:p>
    <w:p w14:paraId="457CE49C" w14:textId="77777777" w:rsidR="0090130B" w:rsidRDefault="0090130B" w:rsidP="00E52E47">
      <w:pPr>
        <w:sectPr w:rsidR="0090130B" w:rsidSect="0090130B">
          <w:type w:val="continuous"/>
          <w:pgSz w:w="11906" w:h="16838"/>
          <w:pgMar w:top="1418" w:right="1417" w:bottom="1135" w:left="1418" w:header="708" w:footer="708" w:gutter="0"/>
          <w:pgNumType w:start="0"/>
          <w:cols w:space="708"/>
          <w:titlePg/>
          <w:docGrid w:linePitch="360"/>
        </w:sectPr>
      </w:pPr>
    </w:p>
    <w:p w14:paraId="08007B48" w14:textId="77777777" w:rsidR="00041E11" w:rsidRPr="00617081" w:rsidRDefault="00E52E47" w:rsidP="00041E11">
      <w:pPr>
        <w:spacing w:after="0" w:line="360" w:lineRule="auto"/>
        <w:jc w:val="center"/>
        <w:rPr>
          <w:b/>
          <w:bCs/>
          <w:sz w:val="24"/>
          <w:szCs w:val="24"/>
        </w:rPr>
      </w:pPr>
      <w:r w:rsidRPr="00617081">
        <w:rPr>
          <w:b/>
          <w:bCs/>
          <w:sz w:val="24"/>
          <w:szCs w:val="24"/>
        </w:rPr>
        <w:lastRenderedPageBreak/>
        <w:t>AİHM YALÇINKAYA</w:t>
      </w:r>
      <w:r w:rsidR="00BD10C1" w:rsidRPr="00617081">
        <w:rPr>
          <w:b/>
          <w:bCs/>
          <w:sz w:val="24"/>
          <w:szCs w:val="24"/>
        </w:rPr>
        <w:t>/TÜRKİYE</w:t>
      </w:r>
      <w:r w:rsidRPr="00617081">
        <w:rPr>
          <w:b/>
          <w:bCs/>
          <w:sz w:val="24"/>
          <w:szCs w:val="24"/>
        </w:rPr>
        <w:t xml:space="preserve"> KARARI</w:t>
      </w:r>
      <w:r w:rsidR="00BD10C1" w:rsidRPr="00617081">
        <w:rPr>
          <w:b/>
          <w:bCs/>
          <w:sz w:val="24"/>
          <w:szCs w:val="24"/>
        </w:rPr>
        <w:t>:</w:t>
      </w:r>
      <w:r w:rsidRPr="00617081">
        <w:rPr>
          <w:b/>
          <w:bCs/>
          <w:sz w:val="24"/>
          <w:szCs w:val="24"/>
        </w:rPr>
        <w:t xml:space="preserve"> </w:t>
      </w:r>
    </w:p>
    <w:p w14:paraId="405A4180" w14:textId="128EB69E" w:rsidR="00E52E47" w:rsidRPr="00617081" w:rsidRDefault="00E52E47" w:rsidP="00041E11">
      <w:pPr>
        <w:spacing w:after="0" w:line="360" w:lineRule="auto"/>
        <w:jc w:val="center"/>
        <w:rPr>
          <w:b/>
          <w:bCs/>
          <w:sz w:val="24"/>
          <w:szCs w:val="24"/>
        </w:rPr>
      </w:pPr>
      <w:r w:rsidRPr="00617081">
        <w:rPr>
          <w:b/>
          <w:bCs/>
          <w:sz w:val="24"/>
          <w:szCs w:val="24"/>
        </w:rPr>
        <w:t>ADİL YARGILANMA HAKKI</w:t>
      </w:r>
      <w:r w:rsidR="00BD10C1" w:rsidRPr="00617081">
        <w:rPr>
          <w:b/>
          <w:bCs/>
          <w:sz w:val="24"/>
          <w:szCs w:val="24"/>
        </w:rPr>
        <w:t xml:space="preserve"> KAPSAMINDAKİ </w:t>
      </w:r>
      <w:r w:rsidRPr="00617081">
        <w:rPr>
          <w:b/>
          <w:bCs/>
          <w:sz w:val="24"/>
          <w:szCs w:val="24"/>
        </w:rPr>
        <w:t>İHLAL</w:t>
      </w:r>
      <w:r w:rsidR="00BD10C1" w:rsidRPr="00617081">
        <w:rPr>
          <w:b/>
          <w:bCs/>
          <w:sz w:val="24"/>
          <w:szCs w:val="24"/>
        </w:rPr>
        <w:t>LERİN DEĞERLENDİRİLMESİ</w:t>
      </w:r>
    </w:p>
    <w:p w14:paraId="618F978D"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p>
    <w:p w14:paraId="5CB5E412" w14:textId="77777777" w:rsidR="00E52E47" w:rsidRPr="00617081" w:rsidRDefault="00E52E47" w:rsidP="004D60B0">
      <w:pPr>
        <w:pStyle w:val="Balk1"/>
        <w:rPr>
          <w:rFonts w:ascii="Palatino Linotype" w:hAnsi="Palatino Linotype"/>
        </w:rPr>
      </w:pPr>
      <w:bookmarkStart w:id="8" w:name="_Toc151927090"/>
      <w:r w:rsidRPr="00617081">
        <w:rPr>
          <w:rFonts w:ascii="Palatino Linotype" w:hAnsi="Palatino Linotype"/>
        </w:rPr>
        <w:t>GENEL OLARAK</w:t>
      </w:r>
      <w:bookmarkEnd w:id="8"/>
    </w:p>
    <w:p w14:paraId="48FB7D4D" w14:textId="60A15452"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Bu çalışmada; Avrupa İnsan Hakları Mahkemesi’nin (AİHM) Yalçınkaya/Türkiye kararında</w:t>
      </w:r>
      <w:r w:rsidRPr="00617081">
        <w:rPr>
          <w:rStyle w:val="DipnotBavurusu"/>
          <w:rFonts w:ascii="Palatino Linotype" w:eastAsiaTheme="majorEastAsia" w:hAnsi="Palatino Linotype"/>
          <w:sz w:val="22"/>
          <w:szCs w:val="22"/>
        </w:rPr>
        <w:footnoteReference w:id="1"/>
      </w:r>
      <w:r w:rsidRPr="00617081">
        <w:rPr>
          <w:rFonts w:ascii="Palatino Linotype" w:hAnsi="Palatino Linotype"/>
          <w:sz w:val="22"/>
          <w:szCs w:val="22"/>
        </w:rPr>
        <w:t xml:space="preserve"> adil yargılanma hakkı</w:t>
      </w:r>
      <w:r w:rsidR="001043FB" w:rsidRPr="00617081">
        <w:rPr>
          <w:rFonts w:ascii="Palatino Linotype" w:hAnsi="Palatino Linotype"/>
          <w:sz w:val="22"/>
          <w:szCs w:val="22"/>
        </w:rPr>
        <w:t xml:space="preserve">nın </w:t>
      </w:r>
      <w:r w:rsidRPr="00617081">
        <w:rPr>
          <w:rFonts w:ascii="Palatino Linotype" w:hAnsi="Palatino Linotype"/>
          <w:sz w:val="22"/>
          <w:szCs w:val="22"/>
        </w:rPr>
        <w:t>ihlal</w:t>
      </w:r>
      <w:r w:rsidR="001043FB" w:rsidRPr="00617081">
        <w:rPr>
          <w:rFonts w:ascii="Palatino Linotype" w:hAnsi="Palatino Linotype"/>
          <w:sz w:val="22"/>
          <w:szCs w:val="22"/>
        </w:rPr>
        <w:t>ine</w:t>
      </w:r>
      <w:r w:rsidRPr="00617081">
        <w:rPr>
          <w:rFonts w:ascii="Palatino Linotype" w:hAnsi="Palatino Linotype"/>
          <w:sz w:val="22"/>
          <w:szCs w:val="22"/>
        </w:rPr>
        <w:t xml:space="preserve"> gerekçe yaptığı hususlar olan; verilerin bütünlüğü, başvuranın aleyhindeki delillere itiraz etme, etkili savunma ve davanın esasına ilişkin hususları ileri sürebilme haklarına ilişkin değerlendirmelerine yer verilmiştir. </w:t>
      </w:r>
    </w:p>
    <w:p w14:paraId="7302C8FD" w14:textId="039A52C2" w:rsidR="00E52E47" w:rsidRPr="00617081" w:rsidRDefault="00E52E47" w:rsidP="004D60B0">
      <w:pPr>
        <w:pStyle w:val="Balk1"/>
        <w:rPr>
          <w:rFonts w:ascii="Palatino Linotype" w:hAnsi="Palatino Linotype"/>
        </w:rPr>
      </w:pPr>
      <w:bookmarkStart w:id="9" w:name="_Toc151927091"/>
      <w:r w:rsidRPr="00617081">
        <w:rPr>
          <w:rFonts w:ascii="Palatino Linotype" w:hAnsi="Palatino Linotype"/>
        </w:rPr>
        <w:t>TARAFLARIN BEYANLARI</w:t>
      </w:r>
      <w:bookmarkEnd w:id="9"/>
    </w:p>
    <w:p w14:paraId="4CE57FD4" w14:textId="77777777" w:rsidR="00E52E47" w:rsidRPr="00617081" w:rsidRDefault="00E52E47" w:rsidP="004D60B0">
      <w:pPr>
        <w:pStyle w:val="Balk2"/>
        <w:rPr>
          <w:rFonts w:ascii="Palatino Linotype" w:hAnsi="Palatino Linotype"/>
        </w:rPr>
      </w:pPr>
      <w:bookmarkStart w:id="10" w:name="_Toc151927092"/>
      <w:r w:rsidRPr="00617081">
        <w:rPr>
          <w:rFonts w:ascii="Palatino Linotype" w:hAnsi="Palatino Linotype"/>
        </w:rPr>
        <w:t>1.  Başvuranın Beyanları</w:t>
      </w:r>
      <w:bookmarkEnd w:id="10"/>
    </w:p>
    <w:p w14:paraId="1B65D3D7"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AİHM, Başvuranın, konuyla ilgili şu hususları iler sürdüğünü not etmiştir (§ 286): </w:t>
      </w:r>
    </w:p>
    <w:p w14:paraId="2C7CA132"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Mahkûmiyeti için belirleyici delil olmasına rağmen, Ceza Muhakemesi Kanunu’nun (CMK) 134/4. maddesinde öngörülen koşula aykırı olarak, söz konusu uygulamayı kullandığı iddiasına ilişkin ByLock verilerinin bir kopyası kendisine verilmemiş ve bu veriler yerel mahkemeler tarafından bağımsız bir bilirkişi incelemesine tabi tutulmamıştır.</w:t>
      </w:r>
    </w:p>
    <w:p w14:paraId="4440B695"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 Başvuran bu nedenle söz konusu verilerin güvenilirliğini teyit edememiş, Milli İstihbarat Teşkilatı (MİT) tarafından ileri sürülen iddiaları çürütememiş ve ayrıca bu veriler arasından suçsuzluğunu ortaya koyma potansiyeline sahip olanlara erişememiş ve "münhasır kullanıma” itiraz edememiştir.</w:t>
      </w:r>
    </w:p>
    <w:p w14:paraId="01A94D8C"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 Kendisine sunulan ByLock raporları, mevki veya görevleri belirtilmeyen yetkililer tarafından bir araya getirilen çok genel, dolaylı ve doğrulanabilir olmayan bilgiler içermektedir. Zira bu raporlar ayrıca örtülü ifadeler barındırmakta, bilgilerin teknik açıdan nasıl bir araya getirildiğine ilişkin bir açıklama içermemekte ve bu durum itirazı imkânsız hale getirmiştir.</w:t>
      </w:r>
    </w:p>
    <w:p w14:paraId="5710980C"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Ankara Bölge Adliye Mahkemesi tarafından hazırlatılan ek bilirkişi raporunda, sadece dava dosyasında hâlihazırda mevcut olan bulgular özetlenmiş ve ham verilerin bağımsız bir şekilde incelenmesine ilişkin talebi reddedilmiştir. Bu koşullar altında, iddia makamı karşısında oldukça dezavantajlı bir duruma düşürülmüş ve bu durum Sözleşme’nin </w:t>
      </w:r>
      <w:r w:rsidRPr="00617081">
        <w:rPr>
          <w:rFonts w:ascii="Palatino Linotype" w:hAnsi="Palatino Linotype"/>
          <w:sz w:val="22"/>
          <w:szCs w:val="22"/>
          <w:lang w:val="tr-TR"/>
        </w:rPr>
        <w:lastRenderedPageBreak/>
        <w:t xml:space="preserve">6. maddesiyle güvence altına alınan çekişmeli yargılama ve silahların eşitliği ilkelerini ihlal etmiştir. </w:t>
      </w:r>
    </w:p>
    <w:p w14:paraId="32A5FA4C"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Başvurana göre, savcılığın elindeki verilerin tamamının paylaşılmaması sebebiyle 6/1. maddesi kapsamındaki adil yargılama hakkının koşullarının ihlal edilmediğine karar verilen </w:t>
      </w:r>
      <w:r w:rsidRPr="00617081">
        <w:rPr>
          <w:rFonts w:ascii="Palatino Linotype" w:hAnsi="Palatino Linotype"/>
          <w:i/>
          <w:iCs/>
          <w:sz w:val="22"/>
          <w:szCs w:val="22"/>
          <w:lang w:val="tr-TR"/>
        </w:rPr>
        <w:t>Rook/Almanya</w:t>
      </w:r>
      <w:r w:rsidRPr="00617081">
        <w:rPr>
          <w:rFonts w:ascii="Palatino Linotype" w:hAnsi="Palatino Linotype"/>
          <w:sz w:val="22"/>
          <w:szCs w:val="22"/>
          <w:lang w:val="tr-TR"/>
        </w:rPr>
        <w:t xml:space="preserve"> (no. 1586/15, 25 Temmuz 2019) davası, kendi davasının koşullarının, elektronik verilerin kullanımının söz konusu olduğu yukarıdaki dava gibi diğer davalardan farklıdır. Anılan davanın aksine, aleyhinde kullanılan deliller bağımsız denetime tabi olan bir adli usul çerçevesinde toplanmamıştır ve bu nedenle doğası gereği güvenilir değildir.</w:t>
      </w:r>
    </w:p>
    <w:p w14:paraId="2480172B" w14:textId="77777777" w:rsidR="00E52E47" w:rsidRPr="00617081" w:rsidRDefault="00E52E47" w:rsidP="004D60B0">
      <w:pPr>
        <w:pStyle w:val="JuPara"/>
        <w:numPr>
          <w:ilvl w:val="0"/>
          <w:numId w:val="25"/>
        </w:numPr>
        <w:tabs>
          <w:tab w:val="left" w:pos="567"/>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Başvuran ayrıca, ByLock’un münhasıran Gülen Hareketi tarafından kullanıldığına ilişkin bulgunun, mahkûmiyetinde bu karinenin merkezi bir öneme sahip olmasına rağmen, tatmin edici bir gerekçelendirmeye sahip olmadığını vurgulamıştır (§ 287)</w:t>
      </w:r>
    </w:p>
    <w:p w14:paraId="61059320" w14:textId="77777777" w:rsidR="00E52E47" w:rsidRPr="00617081" w:rsidRDefault="00E52E47" w:rsidP="004D60B0">
      <w:pPr>
        <w:pStyle w:val="Balk2"/>
        <w:rPr>
          <w:rFonts w:ascii="Palatino Linotype" w:hAnsi="Palatino Linotype"/>
        </w:rPr>
      </w:pPr>
      <w:bookmarkStart w:id="11" w:name="_Toc151927093"/>
      <w:r w:rsidRPr="00617081">
        <w:rPr>
          <w:rFonts w:ascii="Palatino Linotype" w:hAnsi="Palatino Linotype"/>
        </w:rPr>
        <w:t>2. Hükümetin Beyanları</w:t>
      </w:r>
      <w:bookmarkEnd w:id="11"/>
    </w:p>
    <w:p w14:paraId="2DEA2FE8"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Başvurucunun bu iddialarına karşın Hükümet şu beyanlarda bulunmuştur (§§ 292-293);</w:t>
      </w:r>
    </w:p>
    <w:p w14:paraId="0C3CA5BC"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MİT, ham verileri - bir açık kaynaklı ilişkisel veri tabanı yönetim sistemi olan - MySQL yazılımının, kişi müdahalesi olmaksızın, kendiliğinden oluşturduğu bir dosya biçiminde ByLock sunucusundan elde etmiştir.</w:t>
      </w:r>
    </w:p>
    <w:p w14:paraId="0DAED798"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Veri bütünlüğünün sağlanması amacıyla, adli makamlara teslim edilmesi öncesinde dosyanın hash değeri hesaplanmıştır. Akabinde dosyanın adli makamlara ulaşması üzerine, ham ByLock verilerini içeren sabit disk CMK’nın 134. maddesi uyarınca incelemeye tabi tutulmuştur. </w:t>
      </w:r>
    </w:p>
    <w:p w14:paraId="0791A1D6"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Bu doğrultuda, </w:t>
      </w:r>
      <w:r w:rsidRPr="00617081">
        <w:rPr>
          <w:rFonts w:ascii="Palatino Linotype" w:hAnsi="Palatino Linotype"/>
          <w:b/>
          <w:bCs/>
          <w:sz w:val="22"/>
          <w:szCs w:val="22"/>
          <w:lang w:val="tr-TR"/>
        </w:rPr>
        <w:t>görevlendirilen iki bilirkişi tarafından verilerin iki kopyası adli bilişim standartlarına uygun olarak, bir hâkim huzurunda ve kamera kaydı yapılmak suretiyle alınmış;</w:t>
      </w:r>
      <w:r w:rsidRPr="00617081">
        <w:rPr>
          <w:rFonts w:ascii="Palatino Linotype" w:hAnsi="Palatino Linotype"/>
          <w:sz w:val="22"/>
          <w:szCs w:val="22"/>
          <w:lang w:val="tr-TR"/>
        </w:rPr>
        <w:t xml:space="preserve"> bir kopya Kaçakçılık ve Organize Suçlarla Mücadele Daire Başkanlığı’na (KOM) gönderilmiş, diğer kopya ise kilitli bir kasada muhafaza altına alınmıştır. Bu nedenle, ByLock verilerinin bütünlüğü ve güvenilirliğini teminen yeterli tedbirler alınmıştır. Ayrıca, adli makamlar ellerindeki verileri test etme ve bunların gerçekliği ve güvenilirliği hakkında değerlendirme yapma yetkisine sahiptir.</w:t>
      </w:r>
    </w:p>
    <w:p w14:paraId="78FA4A62"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MİT ve akabinde KOM tarafından gerçekleştirilen işlemler – MySQL tarafından otomatik olarak oluşturulan ham veri dosyasının bir arayüz programı yardımı olmadan okunabilir olmaması nedeniyle - ham verileri anlamlı bilgi çekmeye elverişli kılmak için anlaşılır hale getirmekle sınırlıdır ve verilerin içeriğinde herhangi bir değişiklik yapılmamıştır. </w:t>
      </w:r>
    </w:p>
    <w:p w14:paraId="350481EC"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MİT’in bu hususta gerçekleştirdiği analiz </w:t>
      </w:r>
      <w:r w:rsidRPr="00617081">
        <w:rPr>
          <w:rFonts w:ascii="Palatino Linotype" w:hAnsi="Palatino Linotype"/>
          <w:b/>
          <w:bCs/>
          <w:sz w:val="22"/>
          <w:szCs w:val="22"/>
          <w:lang w:val="tr-TR"/>
        </w:rPr>
        <w:t>istihbarat faaliyetleri alanına girmektedir ve bu nedenle herhangi bir adli izne veya yargısal denetime tabi değildir;</w:t>
      </w:r>
      <w:r w:rsidRPr="00617081">
        <w:rPr>
          <w:rFonts w:ascii="Palatino Linotype" w:hAnsi="Palatino Linotype"/>
          <w:sz w:val="22"/>
          <w:szCs w:val="22"/>
          <w:lang w:val="tr-TR"/>
        </w:rPr>
        <w:t xml:space="preserve"> fakat </w:t>
      </w:r>
      <w:r w:rsidRPr="00617081">
        <w:rPr>
          <w:rFonts w:ascii="Palatino Linotype" w:hAnsi="Palatino Linotype"/>
          <w:sz w:val="22"/>
          <w:szCs w:val="22"/>
          <w:lang w:val="tr-TR"/>
        </w:rPr>
        <w:lastRenderedPageBreak/>
        <w:t xml:space="preserve">MİT ve KOM tarafından ayrı ayrı elde edilen nihai ürünün eşleşiyor olması, ham veriler üzerinde hiçbir şekilde tahrifat yapılmadığının kanıtıdır. </w:t>
      </w:r>
    </w:p>
    <w:p w14:paraId="08F8F901" w14:textId="77777777" w:rsidR="00E52E47" w:rsidRPr="00617081" w:rsidRDefault="00E52E47" w:rsidP="004D60B0">
      <w:pPr>
        <w:pStyle w:val="JuPara"/>
        <w:numPr>
          <w:ilvl w:val="0"/>
          <w:numId w:val="26"/>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Ayrıca, daha sonra yürütülen soruşturmalarda kullanıcı adları, şifreler ve roster bilgilerine ilişkin olarak verilen sanık ifadelerinin MİT ve adli makamlar tarafından elde edilen ByLock verileriyle eşleştiğini gözlemlenmiştir.</w:t>
      </w:r>
    </w:p>
    <w:p w14:paraId="52754CAA"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Başvuranın orijinal veya ham ByLock verilerinin bir kopyasını alamadığı iddiasına ilişkin olarak da Hükümet şunları söylemiştir (§ 296); </w:t>
      </w:r>
    </w:p>
    <w:p w14:paraId="790B0386" w14:textId="77777777" w:rsidR="00E52E47" w:rsidRPr="00617081" w:rsidRDefault="00E52E47" w:rsidP="004D60B0">
      <w:pPr>
        <w:pStyle w:val="JuPara"/>
        <w:numPr>
          <w:ilvl w:val="0"/>
          <w:numId w:val="27"/>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CMK’nın 134. maddesinde düzenlenen dijital materyallere el konulması usulünün el konulan materyallerin kopyalarının şüpheliyle paylaşılmasını gerektirmesine rağmen, bu gerekliliğin ancak şüphelinin verilerin ele geçirildiği bilgisayarın, bilgisayar programının veya bilgisayar kütüğünün sahibi olması halinde geçerlidir. Ancak, mevcut davaya konu olan verilerin başvurana ait olmayıp, ByLock sunucusundan elde edilmiştir.</w:t>
      </w:r>
    </w:p>
    <w:p w14:paraId="36932FDB" w14:textId="77777777" w:rsidR="00E52E47" w:rsidRPr="00617081" w:rsidRDefault="00E52E47" w:rsidP="004D60B0">
      <w:pPr>
        <w:pStyle w:val="JuPara"/>
        <w:numPr>
          <w:ilvl w:val="0"/>
          <w:numId w:val="27"/>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MİT tarafından edinilen ByLock verileri yüz binden fazla kullanıcıyla ilgili milyonlarca veri öğesi içermektedir ve elde edildiği haliyle bu veriler anlamlandırılabilir değildir. Kullanıcı bilgilerinin bir arada değil, farklı tablolarda yer almaktadır. Bu, tekil kullanıcılara dair ham verilerin çekilmesini imkânsız kıldığından, yetkili makamlar her bir kullanıcıyla ilgili verileri anlamlandırmak üzere bir arayüz programı geliştirmelerini gerektirmiştir.</w:t>
      </w:r>
    </w:p>
    <w:p w14:paraId="479FA7EB" w14:textId="77777777" w:rsidR="00E52E47" w:rsidRPr="00617081" w:rsidRDefault="00E52E47" w:rsidP="004D60B0">
      <w:pPr>
        <w:pStyle w:val="JuPara"/>
        <w:numPr>
          <w:ilvl w:val="0"/>
          <w:numId w:val="27"/>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 xml:space="preserve">Bu koşullar altında ham verilerin tamamının başvurana açıklanması tüm kullanıcılarla ilgili verilerin paylaşılmasına yol açacak ve diğer kullanıcıların mahremiyet haklarına yönelik bir müdahale teşkil etmenin yanı sıra bir güvenlik riski oluşturacak ve soruşturmalara halel gelebilecektir. </w:t>
      </w:r>
    </w:p>
    <w:p w14:paraId="52F9C786" w14:textId="77777777" w:rsidR="00E52E47" w:rsidRPr="00617081" w:rsidRDefault="00E52E47" w:rsidP="004D60B0">
      <w:pPr>
        <w:pStyle w:val="JuPara"/>
        <w:numPr>
          <w:ilvl w:val="0"/>
          <w:numId w:val="27"/>
        </w:numPr>
        <w:tabs>
          <w:tab w:val="left" w:pos="709"/>
        </w:tabs>
        <w:spacing w:after="160" w:line="271" w:lineRule="auto"/>
        <w:ind w:left="0" w:firstLine="709"/>
        <w:rPr>
          <w:rFonts w:ascii="Palatino Linotype" w:hAnsi="Palatino Linotype"/>
          <w:sz w:val="22"/>
          <w:szCs w:val="22"/>
          <w:lang w:val="tr-TR"/>
        </w:rPr>
      </w:pPr>
      <w:r w:rsidRPr="00617081">
        <w:rPr>
          <w:rFonts w:ascii="Palatino Linotype" w:hAnsi="Palatino Linotype"/>
          <w:sz w:val="22"/>
          <w:szCs w:val="22"/>
          <w:lang w:val="tr-TR"/>
        </w:rPr>
        <w:t>Ham verilerin anlamlandırılabilmesi için özel yazılım kullanılması gerekmiştir. Başvuran, ham verilerin tamamının bir kopyasını edinememesinin kendisini ne şekilde dezavantajlı bir konuma düşürdüğü ve söz konusu verilerin kendisi hakkında verilecek kararı nasıl etkileyeceğini açıklamamıştır.</w:t>
      </w:r>
    </w:p>
    <w:p w14:paraId="536841C3" w14:textId="6718CAD2" w:rsidR="00E52E47" w:rsidRPr="00617081" w:rsidRDefault="00E52E47" w:rsidP="004D60B0">
      <w:pPr>
        <w:pStyle w:val="Balk1"/>
        <w:rPr>
          <w:rFonts w:ascii="Palatino Linotype" w:hAnsi="Palatino Linotype"/>
        </w:rPr>
      </w:pPr>
      <w:bookmarkStart w:id="12" w:name="_Toc151927094"/>
      <w:r w:rsidRPr="00617081">
        <w:rPr>
          <w:rFonts w:ascii="Palatino Linotype" w:hAnsi="Palatino Linotype"/>
        </w:rPr>
        <w:t>AİHM’İN DEĞERLENDİRMESİ VE İHLAL GEREKÇELERİ</w:t>
      </w:r>
      <w:bookmarkEnd w:id="12"/>
    </w:p>
    <w:p w14:paraId="61AFA6C3" w14:textId="77777777" w:rsidR="00E52E47" w:rsidRPr="00617081" w:rsidRDefault="00E52E47" w:rsidP="004D60B0">
      <w:pPr>
        <w:pStyle w:val="Balk2"/>
        <w:rPr>
          <w:rFonts w:ascii="Palatino Linotype" w:hAnsi="Palatino Linotype"/>
        </w:rPr>
      </w:pPr>
      <w:bookmarkStart w:id="13" w:name="_Toc151927095"/>
      <w:r w:rsidRPr="00617081">
        <w:rPr>
          <w:rFonts w:ascii="Palatino Linotype" w:hAnsi="Palatino Linotype"/>
        </w:rPr>
        <w:t>1. AİHM’in Delil Değerlendirme Yetkisi</w:t>
      </w:r>
      <w:bookmarkEnd w:id="13"/>
    </w:p>
    <w:p w14:paraId="2A9D6746" w14:textId="77777777" w:rsidR="00E52E47" w:rsidRPr="00617081" w:rsidRDefault="00E52E47" w:rsidP="004D60B0">
      <w:pPr>
        <w:tabs>
          <w:tab w:val="clear" w:pos="1134"/>
          <w:tab w:val="left" w:pos="709"/>
        </w:tabs>
        <w:spacing w:line="271" w:lineRule="auto"/>
        <w:ind w:firstLine="709"/>
      </w:pPr>
      <w:r w:rsidRPr="00617081">
        <w:t xml:space="preserve">AİHM, bir delilin geçerliliğini belirleme ya da ulusal mahkemeler tarafından yapılan değerlendirmeyi gözden geçirme konusunda </w:t>
      </w:r>
      <w:r w:rsidRPr="00617081">
        <w:rPr>
          <w:b/>
          <w:bCs/>
        </w:rPr>
        <w:t>sınırlı bir role sahip olduğunu</w:t>
      </w:r>
      <w:r w:rsidRPr="00617081">
        <w:t xml:space="preserve"> ve bu nedenle, ulusal mahkemelerin değerlendirmelerini ve </w:t>
      </w:r>
      <w:r w:rsidRPr="00617081">
        <w:rPr>
          <w:b/>
          <w:bCs/>
        </w:rPr>
        <w:t>delilin yasal olarak elde edilip edilmediğini belirlemeye gerek duymadığını belirtmiştir.</w:t>
      </w:r>
      <w:r w:rsidRPr="00617081">
        <w:t xml:space="preserve"> Mahkeme, temel görevinin delillerin nasıl elde edildiği ve kullanıldığı ile delillere ilişkin itirazların nasıl karşılandığı dahil olmak üzere </w:t>
      </w:r>
      <w:r w:rsidRPr="00617081">
        <w:rPr>
          <w:b/>
          <w:bCs/>
        </w:rPr>
        <w:t>yargılamanın genel olarak adil olup olmadığı olduğunu söylemiştir</w:t>
      </w:r>
      <w:r w:rsidRPr="00617081">
        <w:t xml:space="preserve"> (§ 310).</w:t>
      </w:r>
    </w:p>
    <w:p w14:paraId="738FB980" w14:textId="77777777" w:rsidR="00E52E47" w:rsidRPr="00617081" w:rsidRDefault="00E52E47" w:rsidP="004D60B0">
      <w:pPr>
        <w:pStyle w:val="Balk2"/>
        <w:rPr>
          <w:rFonts w:ascii="Palatino Linotype" w:hAnsi="Palatino Linotype"/>
        </w:rPr>
      </w:pPr>
      <w:bookmarkStart w:id="14" w:name="_Toc151927096"/>
      <w:r w:rsidRPr="00617081">
        <w:rPr>
          <w:rFonts w:ascii="Palatino Linotype" w:hAnsi="Palatino Linotype"/>
        </w:rPr>
        <w:lastRenderedPageBreak/>
        <w:t>2. Delilin Karmaşıklığı 6. Madde Gereklerine Aykırılık Bahanesi Olamaz</w:t>
      </w:r>
      <w:bookmarkEnd w:id="14"/>
      <w:r w:rsidRPr="00617081">
        <w:rPr>
          <w:rFonts w:ascii="Palatino Linotype" w:hAnsi="Palatino Linotype"/>
        </w:rPr>
        <w:t xml:space="preserve"> </w:t>
      </w:r>
    </w:p>
    <w:p w14:paraId="6BCC51DE" w14:textId="77777777" w:rsidR="00E52E47" w:rsidRPr="00617081" w:rsidRDefault="00E52E47" w:rsidP="004D60B0">
      <w:pPr>
        <w:tabs>
          <w:tab w:val="clear" w:pos="1134"/>
          <w:tab w:val="left" w:pos="709"/>
        </w:tabs>
        <w:spacing w:line="271" w:lineRule="auto"/>
        <w:ind w:firstLine="709"/>
      </w:pPr>
      <w:r w:rsidRPr="00617081">
        <w:t xml:space="preserve">AİHM’e göre; dijital deliller toplanması, güvence altına alınması, işlenmesi ve analizi için özel teknolojiler gerekmesi de dâhil olmak üzere, geleneksel delil türlerinden birçok farklılık göstermektedir. En önemlisi de bu delillerin doğaları gereği tahribata, hasara, değiştirilmeye veya manipüle edilmeye daha yatkın olmaları nedeniyle farklı güvenilirlik sorunları ortaya çıkabilir. </w:t>
      </w:r>
    </w:p>
    <w:p w14:paraId="186DA0EB"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sz w:val="22"/>
          <w:szCs w:val="22"/>
          <w:lang w:val="tr-TR"/>
        </w:rPr>
      </w:pPr>
      <w:r w:rsidRPr="00617081">
        <w:rPr>
          <w:rFonts w:ascii="Palatino Linotype" w:hAnsi="Palatino Linotype"/>
          <w:color w:val="000000" w:themeColor="text1"/>
          <w:sz w:val="22"/>
          <w:szCs w:val="22"/>
          <w:lang w:val="tr-TR"/>
        </w:rPr>
        <w:t xml:space="preserve">Mahkeme ayrıca, ceza yargılamalarında test edilmemiş elektronik delillerin kullanılmasının, bu tür delillerin toplanmasında uygulanan prosedür ve teknolojinin doğası gereği karmaşık olması ve bu nedenle ulusal hakimlerin bu delillerin gerçekliğini, doğruluğunu ve bütünlüğünü tespit etme kabiliyetini azaltması nedeniyle yargı için birtakım zorluklar içerebileceğini yinelemiştir. Aynı şekilde, dijital delillerin ele alınması, özellikle şifrelenmiş ve/veya hacim veya kapsam bakımından çok büyük veriler söz konusu olduğunda, kolluk kuvvetleri ve adli makamları hem soruşturma hem de yargılama aşamalarında uygulamaya ve usule ilişkin ciddi zorluklarla karşı karşıya bırakabilir </w:t>
      </w:r>
      <w:r w:rsidRPr="00617081">
        <w:rPr>
          <w:rFonts w:ascii="Palatino Linotype" w:hAnsi="Palatino Linotype"/>
          <w:sz w:val="22"/>
          <w:szCs w:val="22"/>
          <w:lang w:val="tr-TR"/>
        </w:rPr>
        <w:t xml:space="preserve">(§ 312). </w:t>
      </w:r>
      <w:r w:rsidRPr="00617081">
        <w:rPr>
          <w:rFonts w:ascii="Palatino Linotype" w:hAnsi="Palatino Linotype"/>
          <w:b/>
          <w:bCs/>
          <w:color w:val="000000" w:themeColor="text1"/>
          <w:sz w:val="22"/>
          <w:szCs w:val="22"/>
          <w:lang w:val="tr-TR"/>
        </w:rPr>
        <w:t xml:space="preserve">Ancak, bu faktörlerin hiç biri </w:t>
      </w:r>
      <w:r w:rsidRPr="00617081">
        <w:rPr>
          <w:rFonts w:ascii="Palatino Linotype" w:hAnsi="Palatino Linotype"/>
          <w:b/>
          <w:bCs/>
          <w:color w:val="000000"/>
          <w:sz w:val="22"/>
          <w:szCs w:val="22"/>
          <w:lang w:val="tr-TR"/>
        </w:rPr>
        <w:t>soyut olarak, 6 § 1 maddesi kapsamındaki güvencelerin daha katı veya daha yumuşak olarak farklı bir şekilde uygulanmasını gerektirmez</w:t>
      </w:r>
      <w:r w:rsidRPr="00617081">
        <w:rPr>
          <w:rFonts w:ascii="Palatino Linotype" w:hAnsi="Palatino Linotype"/>
          <w:color w:val="000000"/>
          <w:sz w:val="22"/>
          <w:szCs w:val="22"/>
          <w:lang w:val="tr-TR"/>
        </w:rPr>
        <w:t xml:space="preserve"> </w:t>
      </w:r>
      <w:r w:rsidRPr="00617081">
        <w:rPr>
          <w:rFonts w:ascii="Palatino Linotype" w:hAnsi="Palatino Linotype"/>
          <w:sz w:val="22"/>
          <w:szCs w:val="22"/>
          <w:lang w:val="tr-TR"/>
        </w:rPr>
        <w:t>(§ 312)</w:t>
      </w:r>
      <w:r w:rsidRPr="00617081">
        <w:rPr>
          <w:rFonts w:ascii="Palatino Linotype" w:hAnsi="Palatino Linotype"/>
          <w:color w:val="000000"/>
          <w:sz w:val="22"/>
          <w:szCs w:val="22"/>
          <w:lang w:val="tr-TR"/>
        </w:rPr>
        <w:t>.</w:t>
      </w:r>
    </w:p>
    <w:p w14:paraId="40C3272C" w14:textId="77777777" w:rsidR="00E52E47" w:rsidRPr="00617081" w:rsidRDefault="00E52E47" w:rsidP="004D60B0">
      <w:pPr>
        <w:pStyle w:val="Balk2"/>
        <w:rPr>
          <w:rFonts w:ascii="Palatino Linotype" w:hAnsi="Palatino Linotype"/>
        </w:rPr>
      </w:pPr>
      <w:bookmarkStart w:id="15" w:name="_Toc151927097"/>
      <w:r w:rsidRPr="00617081">
        <w:rPr>
          <w:rFonts w:ascii="Palatino Linotype" w:hAnsi="Palatino Linotype"/>
        </w:rPr>
        <w:t>3. Bylock Verilerinin Bütünlüğüne İlişkin Şüphe Sebepleri</w:t>
      </w:r>
      <w:bookmarkEnd w:id="15"/>
    </w:p>
    <w:p w14:paraId="19C2879F" w14:textId="77777777" w:rsidR="00E52E47" w:rsidRPr="00617081" w:rsidRDefault="00E52E47" w:rsidP="004D60B0">
      <w:pPr>
        <w:tabs>
          <w:tab w:val="clear" w:pos="1134"/>
          <w:tab w:val="left" w:pos="709"/>
        </w:tabs>
        <w:spacing w:line="271" w:lineRule="auto"/>
        <w:ind w:firstLine="709"/>
        <w:rPr>
          <w:rFonts w:cs="Noto Serif"/>
          <w:b/>
          <w:bCs/>
        </w:rPr>
      </w:pPr>
      <w:r w:rsidRPr="00617081">
        <w:rPr>
          <w:rFonts w:cs="Noto Serif"/>
        </w:rPr>
        <w:t>Bilgisayar ve kütüklerinden elde edilecek delillerle ilgili genel aramadan farkl</w:t>
      </w:r>
      <w:r w:rsidRPr="00617081">
        <w:rPr>
          <w:rFonts w:cs="Cambria"/>
        </w:rPr>
        <w:t>ı</w:t>
      </w:r>
      <w:r w:rsidRPr="00617081">
        <w:rPr>
          <w:rFonts w:cs="Noto Serif"/>
        </w:rPr>
        <w:t xml:space="preserve"> olarak CMK’n</w:t>
      </w:r>
      <w:r w:rsidRPr="00617081">
        <w:rPr>
          <w:rFonts w:cs="Cambria"/>
        </w:rPr>
        <w:t>ı</w:t>
      </w:r>
      <w:r w:rsidRPr="00617081">
        <w:rPr>
          <w:rFonts w:cs="Noto Serif"/>
        </w:rPr>
        <w:t>n 134. maddesinde özel bir düzenlemeye yer yerilmi</w:t>
      </w:r>
      <w:r w:rsidRPr="00617081">
        <w:rPr>
          <w:rFonts w:cs="Cambria"/>
        </w:rPr>
        <w:t>ş</w:t>
      </w:r>
      <w:r w:rsidRPr="00617081">
        <w:rPr>
          <w:rFonts w:cs="Noto Serif"/>
        </w:rPr>
        <w:t>tir. Dijital delillin en ba</w:t>
      </w:r>
      <w:r w:rsidRPr="00617081">
        <w:rPr>
          <w:rFonts w:cs="Cambria"/>
        </w:rPr>
        <w:t>ş</w:t>
      </w:r>
      <w:r w:rsidRPr="00617081">
        <w:rPr>
          <w:rFonts w:cs="Noto Serif"/>
        </w:rPr>
        <w:t>tan itibaren 134. maddeye uygun elde edilmesi gerekir. Ancak, bu çok önemli usul kural</w:t>
      </w:r>
      <w:r w:rsidRPr="00617081">
        <w:rPr>
          <w:rFonts w:cs="Cambria"/>
        </w:rPr>
        <w:t>ı</w:t>
      </w:r>
      <w:r w:rsidRPr="00617081">
        <w:rPr>
          <w:rFonts w:cs="Noto Serif"/>
        </w:rPr>
        <w:t xml:space="preserve"> Bylock’ta devre d</w:t>
      </w:r>
      <w:r w:rsidRPr="00617081">
        <w:rPr>
          <w:rFonts w:cs="Cambria"/>
        </w:rPr>
        <w:t>ışı</w:t>
      </w:r>
      <w:r w:rsidRPr="00617081">
        <w:rPr>
          <w:rFonts w:cs="Noto Serif"/>
        </w:rPr>
        <w:t xml:space="preserve"> b</w:t>
      </w:r>
      <w:r w:rsidRPr="00617081">
        <w:rPr>
          <w:rFonts w:cs="Cambria"/>
        </w:rPr>
        <w:t>ı</w:t>
      </w:r>
      <w:r w:rsidRPr="00617081">
        <w:rPr>
          <w:rFonts w:cs="Noto Serif"/>
        </w:rPr>
        <w:t>rak</w:t>
      </w:r>
      <w:r w:rsidRPr="00617081">
        <w:rPr>
          <w:rFonts w:cs="Cambria"/>
        </w:rPr>
        <w:t>ı</w:t>
      </w:r>
      <w:r w:rsidRPr="00617081">
        <w:rPr>
          <w:rFonts w:cs="Noto Serif"/>
        </w:rPr>
        <w:t>lm</w:t>
      </w:r>
      <w:r w:rsidRPr="00617081">
        <w:rPr>
          <w:rFonts w:cs="Cambria"/>
        </w:rPr>
        <w:t>ış</w:t>
      </w:r>
      <w:r w:rsidRPr="00617081">
        <w:rPr>
          <w:rFonts w:cs="Noto Serif"/>
        </w:rPr>
        <w:t xml:space="preserve"> ve bu uygulamayla ilgili süreç, verilerin </w:t>
      </w:r>
      <w:r w:rsidRPr="00617081">
        <w:rPr>
          <w:rFonts w:cs="Noto Serif"/>
          <w:b/>
          <w:bCs/>
        </w:rPr>
        <w:t>savc</w:t>
      </w:r>
      <w:r w:rsidRPr="00617081">
        <w:rPr>
          <w:rFonts w:cs="Cambria"/>
          <w:b/>
          <w:bCs/>
        </w:rPr>
        <w:t>ı</w:t>
      </w:r>
      <w:r w:rsidRPr="00617081">
        <w:rPr>
          <w:rFonts w:cs="Noto Serif"/>
          <w:b/>
          <w:bCs/>
        </w:rPr>
        <w:t>l</w:t>
      </w:r>
      <w:r w:rsidRPr="00617081">
        <w:rPr>
          <w:rFonts w:cs="Cambria"/>
          <w:b/>
          <w:bCs/>
        </w:rPr>
        <w:t>ığ</w:t>
      </w:r>
      <w:r w:rsidRPr="00617081">
        <w:rPr>
          <w:rFonts w:cs="Noto Serif"/>
          <w:b/>
          <w:bCs/>
        </w:rPr>
        <w:t>a teslimine kadar</w:t>
      </w:r>
      <w:r w:rsidRPr="00617081">
        <w:rPr>
          <w:rFonts w:cs="Noto Serif"/>
        </w:rPr>
        <w:t xml:space="preserve"> ve </w:t>
      </w:r>
      <w:r w:rsidRPr="00617081">
        <w:rPr>
          <w:rFonts w:cs="Noto Serif"/>
          <w:b/>
          <w:bCs/>
        </w:rPr>
        <w:t xml:space="preserve">teslimden sonra </w:t>
      </w:r>
      <w:r w:rsidRPr="00617081">
        <w:rPr>
          <w:rFonts w:cs="Noto Serif"/>
        </w:rPr>
        <w:t>olmak üzere ikiye ayr</w:t>
      </w:r>
      <w:r w:rsidRPr="00617081">
        <w:rPr>
          <w:rFonts w:cs="Cambria"/>
        </w:rPr>
        <w:t>ı</w:t>
      </w:r>
      <w:r w:rsidRPr="00617081">
        <w:rPr>
          <w:rFonts w:cs="Noto Serif"/>
        </w:rPr>
        <w:t>lm</w:t>
      </w:r>
      <w:r w:rsidRPr="00617081">
        <w:rPr>
          <w:rFonts w:cs="Cambria"/>
        </w:rPr>
        <w:t>ış</w:t>
      </w:r>
      <w:r w:rsidRPr="00617081">
        <w:rPr>
          <w:rFonts w:cs="Noto Serif"/>
        </w:rPr>
        <w:t>t</w:t>
      </w:r>
      <w:r w:rsidRPr="00617081">
        <w:rPr>
          <w:rFonts w:cs="Cambria"/>
        </w:rPr>
        <w:t>ı</w:t>
      </w:r>
      <w:r w:rsidRPr="00617081">
        <w:rPr>
          <w:rFonts w:cs="Noto Serif"/>
        </w:rPr>
        <w:t>r. Yarg</w:t>
      </w:r>
      <w:r w:rsidRPr="00617081">
        <w:rPr>
          <w:rFonts w:cs="Cambria"/>
        </w:rPr>
        <w:t>ı</w:t>
      </w:r>
      <w:r w:rsidRPr="00617081">
        <w:rPr>
          <w:rFonts w:cs="Noto Serif"/>
        </w:rPr>
        <w:t xml:space="preserve">tay ve AYM’de böyle bir </w:t>
      </w:r>
      <w:r w:rsidRPr="00617081">
        <w:rPr>
          <w:rFonts w:cs="Cambria"/>
        </w:rPr>
        <w:t>ş</w:t>
      </w:r>
      <w:r w:rsidRPr="00617081">
        <w:rPr>
          <w:rFonts w:cs="Noto Serif"/>
        </w:rPr>
        <w:t>ey nas</w:t>
      </w:r>
      <w:r w:rsidRPr="00617081">
        <w:rPr>
          <w:rFonts w:cs="Cambria"/>
        </w:rPr>
        <w:t>ı</w:t>
      </w:r>
      <w:r w:rsidRPr="00617081">
        <w:rPr>
          <w:rFonts w:cs="Noto Serif"/>
        </w:rPr>
        <w:t>l olabilir demek bir yana, verilerin CMK yerine 2937 say</w:t>
      </w:r>
      <w:r w:rsidRPr="00617081">
        <w:rPr>
          <w:rFonts w:cs="Cambria"/>
        </w:rPr>
        <w:t>ı</w:t>
      </w:r>
      <w:r w:rsidRPr="00617081">
        <w:rPr>
          <w:rFonts w:cs="Noto Serif"/>
        </w:rPr>
        <w:t>l</w:t>
      </w:r>
      <w:r w:rsidRPr="00617081">
        <w:rPr>
          <w:rFonts w:cs="Cambria"/>
        </w:rPr>
        <w:t>ı</w:t>
      </w:r>
      <w:r w:rsidRPr="00617081">
        <w:rPr>
          <w:rFonts w:cs="Noto Serif"/>
        </w:rPr>
        <w:t xml:space="preserve"> M</w:t>
      </w:r>
      <w:r w:rsidRPr="00617081">
        <w:rPr>
          <w:rFonts w:cs="Cambria"/>
        </w:rPr>
        <w:t>İ</w:t>
      </w:r>
      <w:r w:rsidRPr="00617081">
        <w:rPr>
          <w:rFonts w:cs="Noto Serif"/>
        </w:rPr>
        <w:t>T Kanunu’na göre elde edilmesine ve savc</w:t>
      </w:r>
      <w:r w:rsidRPr="00617081">
        <w:rPr>
          <w:rFonts w:cs="Cambria"/>
        </w:rPr>
        <w:t>ı</w:t>
      </w:r>
      <w:r w:rsidRPr="00617081">
        <w:rPr>
          <w:rFonts w:cs="Noto Serif"/>
        </w:rPr>
        <w:t>l</w:t>
      </w:r>
      <w:r w:rsidRPr="00617081">
        <w:rPr>
          <w:rFonts w:cs="Cambria"/>
        </w:rPr>
        <w:t>ığ</w:t>
      </w:r>
      <w:r w:rsidRPr="00617081">
        <w:rPr>
          <w:rFonts w:cs="Noto Serif"/>
        </w:rPr>
        <w:t>a tesliminden sonra yap</w:t>
      </w:r>
      <w:r w:rsidRPr="00617081">
        <w:rPr>
          <w:rFonts w:cs="Cambria"/>
        </w:rPr>
        <w:t>ı</w:t>
      </w:r>
      <w:r w:rsidRPr="00617081">
        <w:rPr>
          <w:rFonts w:cs="Noto Serif"/>
        </w:rPr>
        <w:t>lan i</w:t>
      </w:r>
      <w:r w:rsidRPr="00617081">
        <w:rPr>
          <w:rFonts w:cs="Cambria"/>
        </w:rPr>
        <w:t>ş</w:t>
      </w:r>
      <w:r w:rsidRPr="00617081">
        <w:rPr>
          <w:rFonts w:cs="Noto Serif"/>
        </w:rPr>
        <w:t>lemlerin CMK’n</w:t>
      </w:r>
      <w:r w:rsidRPr="00617081">
        <w:rPr>
          <w:rFonts w:cs="Cambria"/>
        </w:rPr>
        <w:t>ı</w:t>
      </w:r>
      <w:r w:rsidRPr="00617081">
        <w:rPr>
          <w:rFonts w:cs="Noto Serif"/>
        </w:rPr>
        <w:t>n 134. maddesine uydurulmaya çal</w:t>
      </w:r>
      <w:r w:rsidRPr="00617081">
        <w:rPr>
          <w:rFonts w:cs="Cambria"/>
        </w:rPr>
        <w:t>ışı</w:t>
      </w:r>
      <w:r w:rsidRPr="00617081">
        <w:rPr>
          <w:rFonts w:cs="Noto Serif"/>
        </w:rPr>
        <w:t>lmas</w:t>
      </w:r>
      <w:r w:rsidRPr="00617081">
        <w:rPr>
          <w:rFonts w:cs="Cambria"/>
        </w:rPr>
        <w:t>ı</w:t>
      </w:r>
      <w:r w:rsidRPr="00617081">
        <w:rPr>
          <w:rFonts w:cs="Noto Serif"/>
        </w:rPr>
        <w:t>na sadece göz yummam</w:t>
      </w:r>
      <w:r w:rsidRPr="00617081">
        <w:rPr>
          <w:rFonts w:cs="Cambria"/>
        </w:rPr>
        <w:t>ış</w:t>
      </w:r>
      <w:r w:rsidRPr="00617081">
        <w:rPr>
          <w:rFonts w:cs="Noto Serif"/>
        </w:rPr>
        <w:t>, bizzat destek olmu</w:t>
      </w:r>
      <w:r w:rsidRPr="00617081">
        <w:rPr>
          <w:rFonts w:cs="Cambria"/>
        </w:rPr>
        <w:t>ş</w:t>
      </w:r>
      <w:r w:rsidRPr="00617081">
        <w:rPr>
          <w:rFonts w:cs="Noto Serif"/>
        </w:rPr>
        <w:t>lard</w:t>
      </w:r>
      <w:r w:rsidRPr="00617081">
        <w:rPr>
          <w:rFonts w:cs="Cambria"/>
        </w:rPr>
        <w:t>ı</w:t>
      </w:r>
      <w:r w:rsidRPr="00617081">
        <w:rPr>
          <w:rFonts w:cs="Noto Serif"/>
        </w:rPr>
        <w:t xml:space="preserve">r. Yani, </w:t>
      </w:r>
      <w:r w:rsidRPr="00617081">
        <w:rPr>
          <w:rFonts w:cs="Noto Serif"/>
          <w:b/>
          <w:bCs/>
        </w:rPr>
        <w:t>ceza yarg</w:t>
      </w:r>
      <w:r w:rsidRPr="00617081">
        <w:rPr>
          <w:rFonts w:cs="Cambria"/>
          <w:b/>
          <w:bCs/>
        </w:rPr>
        <w:t>ı</w:t>
      </w:r>
      <w:r w:rsidRPr="00617081">
        <w:rPr>
          <w:rFonts w:cs="Noto Serif"/>
          <w:b/>
          <w:bCs/>
        </w:rPr>
        <w:t>lamas</w:t>
      </w:r>
      <w:r w:rsidRPr="00617081">
        <w:rPr>
          <w:rFonts w:cs="Cambria"/>
          <w:b/>
          <w:bCs/>
        </w:rPr>
        <w:t>ı</w:t>
      </w:r>
      <w:r w:rsidRPr="00617081">
        <w:rPr>
          <w:rFonts w:cs="Noto Serif"/>
          <w:b/>
          <w:bCs/>
        </w:rPr>
        <w:t>nda kullan</w:t>
      </w:r>
      <w:r w:rsidRPr="00617081">
        <w:rPr>
          <w:rFonts w:cs="Cambria"/>
          <w:b/>
          <w:bCs/>
        </w:rPr>
        <w:t>ı</w:t>
      </w:r>
      <w:r w:rsidRPr="00617081">
        <w:rPr>
          <w:rFonts w:cs="Noto Serif"/>
          <w:b/>
          <w:bCs/>
        </w:rPr>
        <w:t>lan ve yüz binden fazla ki</w:t>
      </w:r>
      <w:r w:rsidRPr="00617081">
        <w:rPr>
          <w:rFonts w:cs="Cambria"/>
          <w:b/>
          <w:bCs/>
        </w:rPr>
        <w:t>ş</w:t>
      </w:r>
      <w:r w:rsidRPr="00617081">
        <w:rPr>
          <w:rFonts w:cs="Noto Serif"/>
          <w:b/>
          <w:bCs/>
        </w:rPr>
        <w:t>inin cezaland</w:t>
      </w:r>
      <w:r w:rsidRPr="00617081">
        <w:rPr>
          <w:rFonts w:cs="Cambria"/>
          <w:b/>
          <w:bCs/>
        </w:rPr>
        <w:t>ı</w:t>
      </w:r>
      <w:r w:rsidRPr="00617081">
        <w:rPr>
          <w:rFonts w:cs="Noto Serif"/>
          <w:b/>
          <w:bCs/>
        </w:rPr>
        <w:t>r</w:t>
      </w:r>
      <w:r w:rsidRPr="00617081">
        <w:rPr>
          <w:rFonts w:cs="Cambria"/>
          <w:b/>
          <w:bCs/>
        </w:rPr>
        <w:t>ı</w:t>
      </w:r>
      <w:r w:rsidRPr="00617081">
        <w:rPr>
          <w:rFonts w:cs="Noto Serif"/>
          <w:b/>
          <w:bCs/>
        </w:rPr>
        <w:t>lmas</w:t>
      </w:r>
      <w:r w:rsidRPr="00617081">
        <w:rPr>
          <w:rFonts w:cs="Cambria"/>
          <w:b/>
          <w:bCs/>
        </w:rPr>
        <w:t>ı</w:t>
      </w:r>
      <w:r w:rsidRPr="00617081">
        <w:rPr>
          <w:rFonts w:cs="Noto Serif"/>
          <w:b/>
          <w:bCs/>
        </w:rPr>
        <w:t>na gerekçe yap</w:t>
      </w:r>
      <w:r w:rsidRPr="00617081">
        <w:rPr>
          <w:rFonts w:cs="Cambria"/>
          <w:b/>
          <w:bCs/>
        </w:rPr>
        <w:t>ı</w:t>
      </w:r>
      <w:r w:rsidRPr="00617081">
        <w:rPr>
          <w:rFonts w:cs="Noto Serif"/>
          <w:b/>
          <w:bCs/>
        </w:rPr>
        <w:t xml:space="preserve">lan bir delil, emsali görülmedik </w:t>
      </w:r>
      <w:r w:rsidRPr="00617081">
        <w:rPr>
          <w:rFonts w:cs="Cambria"/>
          <w:b/>
          <w:bCs/>
        </w:rPr>
        <w:t>ş</w:t>
      </w:r>
      <w:r w:rsidRPr="00617081">
        <w:rPr>
          <w:rFonts w:cs="Noto Serif"/>
          <w:b/>
          <w:bCs/>
        </w:rPr>
        <w:t>ekilde CMK yerine M</w:t>
      </w:r>
      <w:r w:rsidRPr="00617081">
        <w:rPr>
          <w:rFonts w:cs="Cambria"/>
          <w:b/>
          <w:bCs/>
        </w:rPr>
        <w:t>İ</w:t>
      </w:r>
      <w:r w:rsidRPr="00617081">
        <w:rPr>
          <w:rFonts w:cs="Noto Serif"/>
          <w:b/>
          <w:bCs/>
        </w:rPr>
        <w:t>T Kanunu’na göre ve istihbari yöntemlerle elde edilmi</w:t>
      </w:r>
      <w:r w:rsidRPr="00617081">
        <w:rPr>
          <w:rFonts w:cs="Cambria"/>
          <w:b/>
          <w:bCs/>
        </w:rPr>
        <w:t>ş</w:t>
      </w:r>
      <w:r w:rsidRPr="00617081">
        <w:rPr>
          <w:rFonts w:cs="Noto Serif"/>
          <w:b/>
          <w:bCs/>
        </w:rPr>
        <w:t>tir.</w:t>
      </w:r>
    </w:p>
    <w:p w14:paraId="56D9A0EC" w14:textId="77777777" w:rsidR="00E52E47" w:rsidRPr="00617081" w:rsidRDefault="00E52E47" w:rsidP="004D60B0">
      <w:pPr>
        <w:tabs>
          <w:tab w:val="clear" w:pos="1134"/>
          <w:tab w:val="left" w:pos="709"/>
        </w:tabs>
        <w:spacing w:line="271" w:lineRule="auto"/>
        <w:ind w:firstLine="709"/>
        <w:rPr>
          <w:rFonts w:cs="Noto Serif"/>
          <w:shd w:val="clear" w:color="auto" w:fill="FFFFFF"/>
        </w:rPr>
      </w:pPr>
      <w:r w:rsidRPr="00617081">
        <w:rPr>
          <w:rFonts w:cs="Noto Serif"/>
        </w:rPr>
        <w:t>Anayasa Mahkemesi (AYM) ve Yarg</w:t>
      </w:r>
      <w:r w:rsidRPr="00617081">
        <w:rPr>
          <w:rFonts w:cs="Cambria"/>
        </w:rPr>
        <w:t>ı</w:t>
      </w:r>
      <w:r w:rsidRPr="00617081">
        <w:rPr>
          <w:rFonts w:cs="Noto Serif"/>
        </w:rPr>
        <w:t>tay,  M</w:t>
      </w:r>
      <w:r w:rsidRPr="00617081">
        <w:rPr>
          <w:rFonts w:cs="Cambria"/>
        </w:rPr>
        <w:t>İ</w:t>
      </w:r>
      <w:r w:rsidRPr="00617081">
        <w:rPr>
          <w:rFonts w:cs="Noto Serif"/>
        </w:rPr>
        <w:t>T’in 2937 say</w:t>
      </w:r>
      <w:r w:rsidRPr="00617081">
        <w:rPr>
          <w:rFonts w:cs="Cambria"/>
        </w:rPr>
        <w:t>ı</w:t>
      </w:r>
      <w:r w:rsidRPr="00617081">
        <w:rPr>
          <w:rFonts w:cs="Noto Serif"/>
        </w:rPr>
        <w:t>l</w:t>
      </w:r>
      <w:r w:rsidRPr="00617081">
        <w:rPr>
          <w:rFonts w:cs="Cambria"/>
        </w:rPr>
        <w:t>ı</w:t>
      </w:r>
      <w:r w:rsidRPr="00617081">
        <w:rPr>
          <w:rFonts w:cs="Noto Serif"/>
        </w:rPr>
        <w:t xml:space="preserve"> Kanun’un 4 ve 6. maddeleri gere</w:t>
      </w:r>
      <w:r w:rsidRPr="00617081">
        <w:rPr>
          <w:rFonts w:cs="Cambria"/>
        </w:rPr>
        <w:t>ğ</w:t>
      </w:r>
      <w:r w:rsidRPr="00617081">
        <w:rPr>
          <w:rFonts w:cs="Noto Serif"/>
        </w:rPr>
        <w:t>ince yerine getirdi</w:t>
      </w:r>
      <w:r w:rsidRPr="00617081">
        <w:rPr>
          <w:rFonts w:cs="Cambria"/>
        </w:rPr>
        <w:t>ğ</w:t>
      </w:r>
      <w:r w:rsidRPr="00617081">
        <w:rPr>
          <w:rFonts w:cs="Noto Serif"/>
        </w:rPr>
        <w:t>i görevi s</w:t>
      </w:r>
      <w:r w:rsidRPr="00617081">
        <w:rPr>
          <w:rFonts w:cs="Cambria"/>
        </w:rPr>
        <w:t>ı</w:t>
      </w:r>
      <w:r w:rsidRPr="00617081">
        <w:rPr>
          <w:rFonts w:cs="Noto Serif"/>
        </w:rPr>
        <w:t>ras</w:t>
      </w:r>
      <w:r w:rsidRPr="00617081">
        <w:rPr>
          <w:rFonts w:cs="Cambria"/>
        </w:rPr>
        <w:t>ı</w:t>
      </w:r>
      <w:r w:rsidRPr="00617081">
        <w:rPr>
          <w:rFonts w:cs="Noto Serif"/>
        </w:rPr>
        <w:t>nda rastlad</w:t>
      </w:r>
      <w:r w:rsidRPr="00617081">
        <w:rPr>
          <w:rFonts w:cs="Cambria"/>
        </w:rPr>
        <w:t>ığı</w:t>
      </w:r>
      <w:r w:rsidRPr="00617081">
        <w:rPr>
          <w:rFonts w:cs="Noto Serif"/>
        </w:rPr>
        <w:t xml:space="preserve"> Bylock verilerini Ankara C. Ba</w:t>
      </w:r>
      <w:r w:rsidRPr="00617081">
        <w:rPr>
          <w:rFonts w:cs="Cambria"/>
        </w:rPr>
        <w:t>ş</w:t>
      </w:r>
      <w:r w:rsidRPr="00617081">
        <w:rPr>
          <w:rFonts w:cs="Noto Serif"/>
        </w:rPr>
        <w:t>savc</w:t>
      </w:r>
      <w:r w:rsidRPr="00617081">
        <w:rPr>
          <w:rFonts w:cs="Cambria"/>
        </w:rPr>
        <w:t>ı</w:t>
      </w:r>
      <w:r w:rsidRPr="00617081">
        <w:rPr>
          <w:rFonts w:cs="Noto Serif"/>
        </w:rPr>
        <w:t>l</w:t>
      </w:r>
      <w:r w:rsidRPr="00617081">
        <w:rPr>
          <w:rFonts w:cs="Cambria"/>
        </w:rPr>
        <w:t>ığı</w:t>
      </w:r>
      <w:r w:rsidRPr="00617081">
        <w:rPr>
          <w:rFonts w:cs="Noto Serif"/>
        </w:rPr>
        <w:t>na teslim etti</w:t>
      </w:r>
      <w:r w:rsidRPr="00617081">
        <w:rPr>
          <w:rFonts w:cs="Cambria"/>
        </w:rPr>
        <w:t>ğ</w:t>
      </w:r>
      <w:r w:rsidRPr="00617081">
        <w:rPr>
          <w:rFonts w:cs="Noto Serif"/>
        </w:rPr>
        <w:t>ini ve teslim an</w:t>
      </w:r>
      <w:r w:rsidRPr="00617081">
        <w:rPr>
          <w:rFonts w:cs="Cambria"/>
        </w:rPr>
        <w:t>ı</w:t>
      </w:r>
      <w:r w:rsidRPr="00617081">
        <w:rPr>
          <w:rFonts w:cs="Noto Serif"/>
        </w:rPr>
        <w:t>na kadar olan süreçle ilgili hiçbir hukuka ayk</w:t>
      </w:r>
      <w:r w:rsidRPr="00617081">
        <w:rPr>
          <w:rFonts w:cs="Cambria"/>
        </w:rPr>
        <w:t>ı</w:t>
      </w:r>
      <w:r w:rsidRPr="00617081">
        <w:rPr>
          <w:rFonts w:cs="Noto Serif"/>
        </w:rPr>
        <w:t>r</w:t>
      </w:r>
      <w:r w:rsidRPr="00617081">
        <w:rPr>
          <w:rFonts w:cs="Cambria"/>
        </w:rPr>
        <w:t>ı</w:t>
      </w:r>
      <w:r w:rsidRPr="00617081">
        <w:rPr>
          <w:rFonts w:cs="Noto Serif"/>
        </w:rPr>
        <w:t>l</w:t>
      </w:r>
      <w:r w:rsidRPr="00617081">
        <w:rPr>
          <w:rFonts w:cs="Cambria"/>
        </w:rPr>
        <w:t>ı</w:t>
      </w:r>
      <w:r w:rsidRPr="00617081">
        <w:rPr>
          <w:rFonts w:cs="Noto Serif"/>
        </w:rPr>
        <w:t>k olmad</w:t>
      </w:r>
      <w:r w:rsidRPr="00617081">
        <w:rPr>
          <w:rFonts w:cs="Cambria"/>
        </w:rPr>
        <w:t>ığı</w:t>
      </w:r>
      <w:r w:rsidRPr="00617081">
        <w:rPr>
          <w:rFonts w:cs="Noto Serif"/>
        </w:rPr>
        <w:t>n</w:t>
      </w:r>
      <w:r w:rsidRPr="00617081">
        <w:rPr>
          <w:rFonts w:cs="Cambria"/>
        </w:rPr>
        <w:t>ı</w:t>
      </w:r>
      <w:r w:rsidRPr="00617081">
        <w:rPr>
          <w:rFonts w:cs="Noto Serif"/>
        </w:rPr>
        <w:t xml:space="preserve"> söylemi</w:t>
      </w:r>
      <w:r w:rsidRPr="00617081">
        <w:rPr>
          <w:rFonts w:cs="Cambria"/>
        </w:rPr>
        <w:t>ş</w:t>
      </w:r>
      <w:r w:rsidRPr="00617081">
        <w:rPr>
          <w:rFonts w:cs="Noto Serif"/>
        </w:rPr>
        <w:t>lerdir.</w:t>
      </w:r>
      <w:r w:rsidRPr="00617081">
        <w:rPr>
          <w:rStyle w:val="DipnotBavurusu"/>
          <w:rFonts w:cs="Noto Serif"/>
        </w:rPr>
        <w:footnoteReference w:id="2"/>
      </w:r>
      <w:r w:rsidRPr="00617081">
        <w:rPr>
          <w:rFonts w:cs="Noto Serif"/>
        </w:rPr>
        <w:t xml:space="preserve"> AYM’ye göre M</w:t>
      </w:r>
      <w:r w:rsidRPr="00617081">
        <w:rPr>
          <w:rFonts w:cs="Cambria"/>
        </w:rPr>
        <w:t>İ</w:t>
      </w:r>
      <w:r w:rsidRPr="00617081">
        <w:rPr>
          <w:rFonts w:cs="Noto Serif"/>
        </w:rPr>
        <w:t>T’in Bylock’la ilgili yapt</w:t>
      </w:r>
      <w:r w:rsidRPr="00617081">
        <w:rPr>
          <w:rFonts w:cs="Cambria"/>
        </w:rPr>
        <w:t>ığı</w:t>
      </w:r>
      <w:r w:rsidRPr="00617081">
        <w:rPr>
          <w:rFonts w:cs="Noto Serif"/>
        </w:rPr>
        <w:t xml:space="preserve"> bu çal</w:t>
      </w:r>
      <w:r w:rsidRPr="00617081">
        <w:rPr>
          <w:rFonts w:cs="Cambria"/>
        </w:rPr>
        <w:t>ış</w:t>
      </w:r>
      <w:r w:rsidRPr="00617081">
        <w:rPr>
          <w:rFonts w:cs="Noto Serif"/>
        </w:rPr>
        <w:t xml:space="preserve">ma, </w:t>
      </w:r>
      <w:r w:rsidRPr="00617081">
        <w:rPr>
          <w:rFonts w:cs="Noto Serif"/>
          <w:shd w:val="clear" w:color="auto" w:fill="FFFFFF"/>
        </w:rPr>
        <w:t xml:space="preserve">görev </w:t>
      </w:r>
      <w:r w:rsidRPr="00617081">
        <w:rPr>
          <w:rFonts w:cs="Noto Serif"/>
          <w:shd w:val="clear" w:color="auto" w:fill="FFFFFF"/>
        </w:rPr>
        <w:lastRenderedPageBreak/>
        <w:t>alan</w:t>
      </w:r>
      <w:r w:rsidRPr="00617081">
        <w:rPr>
          <w:rFonts w:cs="Cambria"/>
          <w:shd w:val="clear" w:color="auto" w:fill="FFFFFF"/>
        </w:rPr>
        <w:t>ı</w:t>
      </w:r>
      <w:r w:rsidRPr="00617081">
        <w:rPr>
          <w:rFonts w:cs="Noto Serif"/>
          <w:shd w:val="clear" w:color="auto" w:fill="FFFFFF"/>
        </w:rPr>
        <w:t>ndaki bir konuyla (terörle mücadele) ba</w:t>
      </w:r>
      <w:r w:rsidRPr="00617081">
        <w:rPr>
          <w:rFonts w:cs="Cambria"/>
          <w:shd w:val="clear" w:color="auto" w:fill="FFFFFF"/>
        </w:rPr>
        <w:t>ğ</w:t>
      </w:r>
      <w:r w:rsidRPr="00617081">
        <w:rPr>
          <w:rFonts w:cs="Noto Serif"/>
          <w:shd w:val="clear" w:color="auto" w:fill="FFFFFF"/>
        </w:rPr>
        <w:t>lant</w:t>
      </w:r>
      <w:r w:rsidRPr="00617081">
        <w:rPr>
          <w:rFonts w:cs="Cambria"/>
          <w:shd w:val="clear" w:color="auto" w:fill="FFFFFF"/>
        </w:rPr>
        <w:t>ı</w:t>
      </w:r>
      <w:r w:rsidRPr="00617081">
        <w:rPr>
          <w:rFonts w:cs="Noto Serif"/>
          <w:shd w:val="clear" w:color="auto" w:fill="FFFFFF"/>
        </w:rPr>
        <w:t>l</w:t>
      </w:r>
      <w:r w:rsidRPr="00617081">
        <w:rPr>
          <w:rFonts w:cs="Cambria"/>
          <w:shd w:val="clear" w:color="auto" w:fill="FFFFFF"/>
        </w:rPr>
        <w:t>ı</w:t>
      </w:r>
      <w:r w:rsidRPr="00617081">
        <w:rPr>
          <w:rFonts w:cs="Noto Serif"/>
          <w:shd w:val="clear" w:color="auto" w:fill="FFFFFF"/>
        </w:rPr>
        <w:t xml:space="preserve"> ve bir yasal temele dayal</w:t>
      </w:r>
      <w:r w:rsidRPr="00617081">
        <w:rPr>
          <w:rFonts w:cs="Cambria"/>
          <w:shd w:val="clear" w:color="auto" w:fill="FFFFFF"/>
        </w:rPr>
        <w:t>ı</w:t>
      </w:r>
      <w:r w:rsidRPr="00617081">
        <w:rPr>
          <w:rFonts w:cs="Noto Serif"/>
          <w:shd w:val="clear" w:color="auto" w:fill="FFFFFF"/>
        </w:rPr>
        <w:t xml:space="preserve"> olarak ö</w:t>
      </w:r>
      <w:r w:rsidRPr="00617081">
        <w:rPr>
          <w:rFonts w:cs="Cambria"/>
          <w:shd w:val="clear" w:color="auto" w:fill="FFFFFF"/>
        </w:rPr>
        <w:t>ğ</w:t>
      </w:r>
      <w:r w:rsidRPr="00617081">
        <w:rPr>
          <w:rFonts w:cs="Noto Serif"/>
          <w:shd w:val="clear" w:color="auto" w:fill="FFFFFF"/>
        </w:rPr>
        <w:t xml:space="preserve">renilen </w:t>
      </w:r>
      <w:r w:rsidRPr="00617081">
        <w:rPr>
          <w:rFonts w:cs="Noto Serif"/>
          <w:b/>
          <w:bCs/>
          <w:shd w:val="clear" w:color="auto" w:fill="FFFFFF"/>
        </w:rPr>
        <w:t xml:space="preserve">somut bir verinin yetkili adli makamlara bildirilmesinden ibarettir ve bu durum </w:t>
      </w:r>
      <w:r w:rsidRPr="00617081">
        <w:rPr>
          <w:rFonts w:cs="Noto Serif"/>
          <w:shd w:val="clear" w:color="auto" w:fill="FFFFFF"/>
        </w:rPr>
        <w:t>bir istihbarat birini olan M</w:t>
      </w:r>
      <w:r w:rsidRPr="00617081">
        <w:rPr>
          <w:rFonts w:cs="Cambria"/>
          <w:shd w:val="clear" w:color="auto" w:fill="FFFFFF"/>
        </w:rPr>
        <w:t>İ</w:t>
      </w:r>
      <w:r w:rsidRPr="00617081">
        <w:rPr>
          <w:rFonts w:cs="Noto Serif"/>
          <w:shd w:val="clear" w:color="auto" w:fill="FFFFFF"/>
        </w:rPr>
        <w:t>T’in </w:t>
      </w:r>
      <w:r w:rsidRPr="00617081">
        <w:rPr>
          <w:rFonts w:cs="Noto Serif"/>
          <w:i/>
          <w:iCs/>
          <w:shd w:val="clear" w:color="auto" w:fill="FFFFFF"/>
        </w:rPr>
        <w:t>adli kolluk faaliyeti yürütüldü</w:t>
      </w:r>
      <w:r w:rsidRPr="00617081">
        <w:rPr>
          <w:rFonts w:cs="Cambria"/>
          <w:i/>
          <w:iCs/>
          <w:shd w:val="clear" w:color="auto" w:fill="FFFFFF"/>
        </w:rPr>
        <w:t>ğ</w:t>
      </w:r>
      <w:r w:rsidRPr="00617081">
        <w:rPr>
          <w:rFonts w:cs="Noto Serif"/>
          <w:i/>
          <w:iCs/>
          <w:shd w:val="clear" w:color="auto" w:fill="FFFFFF"/>
        </w:rPr>
        <w:t>ü</w:t>
      </w:r>
      <w:r w:rsidRPr="00617081">
        <w:rPr>
          <w:rFonts w:cs="Noto Serif"/>
          <w:shd w:val="clear" w:color="auto" w:fill="FFFFFF"/>
        </w:rPr>
        <w:t> </w:t>
      </w:r>
      <w:r w:rsidRPr="00617081">
        <w:rPr>
          <w:rFonts w:cs="Cambria"/>
          <w:shd w:val="clear" w:color="auto" w:fill="FFFFFF"/>
        </w:rPr>
        <w:t>ş</w:t>
      </w:r>
      <w:r w:rsidRPr="00617081">
        <w:rPr>
          <w:rFonts w:cs="Noto Serif"/>
          <w:shd w:val="clear" w:color="auto" w:fill="FFFFFF"/>
        </w:rPr>
        <w:t>eklinde yorumlanamaz. Zira M</w:t>
      </w:r>
      <w:r w:rsidRPr="00617081">
        <w:rPr>
          <w:rFonts w:cs="Cambria"/>
          <w:shd w:val="clear" w:color="auto" w:fill="FFFFFF"/>
        </w:rPr>
        <w:t>İ</w:t>
      </w:r>
      <w:r w:rsidRPr="00617081">
        <w:rPr>
          <w:rFonts w:cs="Noto Serif"/>
          <w:shd w:val="clear" w:color="auto" w:fill="FFFFFF"/>
        </w:rPr>
        <w:t>T delil toplama amac</w:t>
      </w:r>
      <w:r w:rsidRPr="00617081">
        <w:rPr>
          <w:rFonts w:cs="Cambria"/>
          <w:shd w:val="clear" w:color="auto" w:fill="FFFFFF"/>
        </w:rPr>
        <w:t>ı</w:t>
      </w:r>
      <w:r w:rsidRPr="00617081">
        <w:rPr>
          <w:rFonts w:cs="Noto Serif"/>
          <w:shd w:val="clear" w:color="auto" w:fill="FFFFFF"/>
        </w:rPr>
        <w:t>na yönelik bir çal</w:t>
      </w:r>
      <w:r w:rsidRPr="00617081">
        <w:rPr>
          <w:rFonts w:cs="Cambria"/>
          <w:shd w:val="clear" w:color="auto" w:fill="FFFFFF"/>
        </w:rPr>
        <w:t>ış</w:t>
      </w:r>
      <w:r w:rsidRPr="00617081">
        <w:rPr>
          <w:rFonts w:cs="Noto Serif"/>
          <w:shd w:val="clear" w:color="auto" w:fill="FFFFFF"/>
        </w:rPr>
        <w:t>ma sonucun de</w:t>
      </w:r>
      <w:r w:rsidRPr="00617081">
        <w:rPr>
          <w:rFonts w:cs="Cambria"/>
          <w:shd w:val="clear" w:color="auto" w:fill="FFFFFF"/>
        </w:rPr>
        <w:t>ğ</w:t>
      </w:r>
      <w:r w:rsidRPr="00617081">
        <w:rPr>
          <w:rFonts w:cs="Noto Serif"/>
          <w:shd w:val="clear" w:color="auto" w:fill="FFFFFF"/>
        </w:rPr>
        <w:t>il, yürüttü</w:t>
      </w:r>
      <w:r w:rsidRPr="00617081">
        <w:rPr>
          <w:rFonts w:cs="Cambria"/>
          <w:shd w:val="clear" w:color="auto" w:fill="FFFFFF"/>
        </w:rPr>
        <w:t>ğ</w:t>
      </w:r>
      <w:r w:rsidRPr="00617081">
        <w:rPr>
          <w:rFonts w:cs="Noto Serif"/>
          <w:shd w:val="clear" w:color="auto" w:fill="FFFFFF"/>
        </w:rPr>
        <w:t>ü istihbari çal</w:t>
      </w:r>
      <w:r w:rsidRPr="00617081">
        <w:rPr>
          <w:rFonts w:cs="Cambria"/>
          <w:shd w:val="clear" w:color="auto" w:fill="FFFFFF"/>
        </w:rPr>
        <w:t>ış</w:t>
      </w:r>
      <w:r w:rsidRPr="00617081">
        <w:rPr>
          <w:rFonts w:cs="Noto Serif"/>
          <w:shd w:val="clear" w:color="auto" w:fill="FFFFFF"/>
        </w:rPr>
        <w:t>malar s</w:t>
      </w:r>
      <w:r w:rsidRPr="00617081">
        <w:rPr>
          <w:rFonts w:cs="Cambria"/>
          <w:shd w:val="clear" w:color="auto" w:fill="FFFFFF"/>
        </w:rPr>
        <w:t>ı</w:t>
      </w:r>
      <w:r w:rsidRPr="00617081">
        <w:rPr>
          <w:rFonts w:cs="Noto Serif"/>
          <w:shd w:val="clear" w:color="auto" w:fill="FFFFFF"/>
        </w:rPr>
        <w:t>ras</w:t>
      </w:r>
      <w:r w:rsidRPr="00617081">
        <w:rPr>
          <w:rFonts w:cs="Cambria"/>
          <w:shd w:val="clear" w:color="auto" w:fill="FFFFFF"/>
        </w:rPr>
        <w:t>ı</w:t>
      </w:r>
      <w:r w:rsidRPr="00617081">
        <w:rPr>
          <w:rFonts w:cs="Noto Serif"/>
          <w:shd w:val="clear" w:color="auto" w:fill="FFFFFF"/>
        </w:rPr>
        <w:t>nda Bylock verilerine rastlam</w:t>
      </w:r>
      <w:r w:rsidRPr="00617081">
        <w:rPr>
          <w:rFonts w:cs="Cambria"/>
          <w:shd w:val="clear" w:color="auto" w:fill="FFFFFF"/>
        </w:rPr>
        <w:t>ış</w:t>
      </w:r>
      <w:r w:rsidRPr="00617081">
        <w:rPr>
          <w:rFonts w:cs="Noto Serif"/>
          <w:shd w:val="clear" w:color="auto" w:fill="FFFFFF"/>
        </w:rPr>
        <w:t>t</w:t>
      </w:r>
      <w:r w:rsidRPr="00617081">
        <w:rPr>
          <w:rFonts w:cs="Cambria"/>
          <w:shd w:val="clear" w:color="auto" w:fill="FFFFFF"/>
        </w:rPr>
        <w:t>ı</w:t>
      </w:r>
      <w:r w:rsidRPr="00617081">
        <w:rPr>
          <w:rFonts w:cs="Noto Serif"/>
          <w:shd w:val="clear" w:color="auto" w:fill="FFFFFF"/>
        </w:rPr>
        <w:t>r.</w:t>
      </w:r>
      <w:r w:rsidRPr="00617081">
        <w:rPr>
          <w:rStyle w:val="DipnotBavurusu"/>
          <w:rFonts w:cs="Noto Serif"/>
          <w:shd w:val="clear" w:color="auto" w:fill="FFFFFF"/>
        </w:rPr>
        <w:footnoteReference w:id="3"/>
      </w:r>
      <w:r w:rsidRPr="00617081">
        <w:rPr>
          <w:rFonts w:cs="Noto Serif"/>
          <w:shd w:val="clear" w:color="auto" w:fill="FFFFFF"/>
        </w:rPr>
        <w:t xml:space="preserve"> </w:t>
      </w:r>
    </w:p>
    <w:p w14:paraId="75FF667B" w14:textId="6F5B6C69" w:rsidR="00E52E47" w:rsidRPr="00617081" w:rsidRDefault="001E09BE" w:rsidP="0065557D">
      <w:pPr>
        <w:pStyle w:val="Balk3"/>
        <w:rPr>
          <w:rFonts w:ascii="Palatino Linotype" w:hAnsi="Palatino Linotype"/>
        </w:rPr>
      </w:pPr>
      <w:r w:rsidRPr="00617081">
        <w:rPr>
          <w:rFonts w:ascii="Palatino Linotype" w:hAnsi="Palatino Linotype"/>
        </w:rPr>
        <w:t xml:space="preserve"> </w:t>
      </w:r>
      <w:bookmarkStart w:id="16" w:name="_Toc151927098"/>
      <w:r w:rsidR="00E52E47" w:rsidRPr="00617081">
        <w:rPr>
          <w:rFonts w:ascii="Palatino Linotype" w:hAnsi="Palatino Linotype"/>
        </w:rPr>
        <w:t>MİT Kanunu, CMK’nın Öngördüğü Usuli Güvenceleri Sağlamamaktadır</w:t>
      </w:r>
      <w:bookmarkEnd w:id="16"/>
    </w:p>
    <w:p w14:paraId="620B7A56"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shd w:val="clear" w:color="auto" w:fill="FFFFFF"/>
        </w:rPr>
        <w:t>AYM ve Yarg</w:t>
      </w:r>
      <w:r w:rsidRPr="00617081">
        <w:rPr>
          <w:rFonts w:cs="Cambria"/>
          <w:shd w:val="clear" w:color="auto" w:fill="FFFFFF"/>
        </w:rPr>
        <w:t>ı</w:t>
      </w:r>
      <w:r w:rsidRPr="00617081">
        <w:rPr>
          <w:rFonts w:cs="Noto Serif"/>
          <w:shd w:val="clear" w:color="auto" w:fill="FFFFFF"/>
        </w:rPr>
        <w:t>tay, CMK’n</w:t>
      </w:r>
      <w:r w:rsidRPr="00617081">
        <w:rPr>
          <w:rFonts w:cs="Cambria"/>
          <w:shd w:val="clear" w:color="auto" w:fill="FFFFFF"/>
        </w:rPr>
        <w:t>ı</w:t>
      </w:r>
      <w:r w:rsidRPr="00617081">
        <w:rPr>
          <w:rFonts w:cs="Noto Serif"/>
          <w:shd w:val="clear" w:color="auto" w:fill="FFFFFF"/>
        </w:rPr>
        <w:t>n 134. maddesindeki delil elde etme yöntemine ayk</w:t>
      </w:r>
      <w:r w:rsidRPr="00617081">
        <w:rPr>
          <w:rFonts w:cs="Cambria"/>
          <w:shd w:val="clear" w:color="auto" w:fill="FFFFFF"/>
        </w:rPr>
        <w:t>ı</w:t>
      </w:r>
      <w:r w:rsidRPr="00617081">
        <w:rPr>
          <w:rFonts w:cs="Noto Serif"/>
          <w:shd w:val="clear" w:color="auto" w:fill="FFFFFF"/>
        </w:rPr>
        <w:t>r</w:t>
      </w:r>
      <w:r w:rsidRPr="00617081">
        <w:rPr>
          <w:rFonts w:cs="Cambria"/>
          <w:shd w:val="clear" w:color="auto" w:fill="FFFFFF"/>
        </w:rPr>
        <w:t>ı</w:t>
      </w:r>
      <w:r w:rsidRPr="00617081">
        <w:rPr>
          <w:rFonts w:cs="Noto Serif"/>
          <w:shd w:val="clear" w:color="auto" w:fill="FFFFFF"/>
        </w:rPr>
        <w:t xml:space="preserve"> olan uygulamay</w:t>
      </w:r>
      <w:r w:rsidRPr="00617081">
        <w:rPr>
          <w:rFonts w:cs="Cambria"/>
          <w:shd w:val="clear" w:color="auto" w:fill="FFFFFF"/>
        </w:rPr>
        <w:t>ı</w:t>
      </w:r>
      <w:r w:rsidRPr="00617081">
        <w:rPr>
          <w:rFonts w:cs="Noto Serif"/>
          <w:shd w:val="clear" w:color="auto" w:fill="FFFFFF"/>
        </w:rPr>
        <w:t xml:space="preserve"> görmezden gelseler de bunlar A</w:t>
      </w:r>
      <w:r w:rsidRPr="00617081">
        <w:rPr>
          <w:rFonts w:cs="Cambria"/>
          <w:shd w:val="clear" w:color="auto" w:fill="FFFFFF"/>
        </w:rPr>
        <w:t>İ</w:t>
      </w:r>
      <w:r w:rsidRPr="00617081">
        <w:rPr>
          <w:rFonts w:cs="Noto Serif"/>
          <w:shd w:val="clear" w:color="auto" w:fill="FFFFFF"/>
        </w:rPr>
        <w:t>HM’in gözünden kaçmam</w:t>
      </w:r>
      <w:r w:rsidRPr="00617081">
        <w:rPr>
          <w:rFonts w:cs="Cambria"/>
          <w:shd w:val="clear" w:color="auto" w:fill="FFFFFF"/>
        </w:rPr>
        <w:t>ış</w:t>
      </w:r>
      <w:r w:rsidRPr="00617081">
        <w:rPr>
          <w:rFonts w:cs="Noto Serif"/>
          <w:shd w:val="clear" w:color="auto" w:fill="FFFFFF"/>
        </w:rPr>
        <w:t xml:space="preserve"> ve bu husus 6. maddeden verilen ihlalin gerekçelerinden birini olu</w:t>
      </w:r>
      <w:r w:rsidRPr="00617081">
        <w:rPr>
          <w:rFonts w:cs="Cambria"/>
          <w:shd w:val="clear" w:color="auto" w:fill="FFFFFF"/>
        </w:rPr>
        <w:t>ş</w:t>
      </w:r>
      <w:r w:rsidRPr="00617081">
        <w:rPr>
          <w:rFonts w:cs="Noto Serif"/>
          <w:shd w:val="clear" w:color="auto" w:fill="FFFFFF"/>
        </w:rPr>
        <w:t>turmu</w:t>
      </w:r>
      <w:r w:rsidRPr="00617081">
        <w:rPr>
          <w:rFonts w:cs="Cambria"/>
          <w:shd w:val="clear" w:color="auto" w:fill="FFFFFF"/>
        </w:rPr>
        <w:t>ş</w:t>
      </w:r>
      <w:r w:rsidRPr="00617081">
        <w:rPr>
          <w:rFonts w:cs="Noto Serif"/>
          <w:shd w:val="clear" w:color="auto" w:fill="FFFFFF"/>
        </w:rPr>
        <w:t>tur. Zira A</w:t>
      </w:r>
      <w:r w:rsidRPr="00617081">
        <w:rPr>
          <w:rFonts w:cs="Cambria"/>
          <w:shd w:val="clear" w:color="auto" w:fill="FFFFFF"/>
        </w:rPr>
        <w:t>İ</w:t>
      </w:r>
      <w:r w:rsidRPr="00617081">
        <w:rPr>
          <w:rFonts w:cs="Noto Serif"/>
          <w:shd w:val="clear" w:color="auto" w:fill="FFFFFF"/>
        </w:rPr>
        <w:t xml:space="preserve">HM, </w:t>
      </w:r>
      <w:r w:rsidRPr="00617081">
        <w:rPr>
          <w:rFonts w:cs="Noto Serif"/>
        </w:rPr>
        <w:t>ulusal mahkemeler ve Hükûmet taraf</w:t>
      </w:r>
      <w:r w:rsidRPr="00617081">
        <w:rPr>
          <w:rFonts w:cs="Cambria"/>
        </w:rPr>
        <w:t>ı</w:t>
      </w:r>
      <w:r w:rsidRPr="00617081">
        <w:rPr>
          <w:rFonts w:cs="Noto Serif"/>
        </w:rPr>
        <w:t>ndan M</w:t>
      </w:r>
      <w:r w:rsidRPr="00617081">
        <w:rPr>
          <w:rFonts w:cs="Cambria"/>
        </w:rPr>
        <w:t>İ</w:t>
      </w:r>
      <w:r w:rsidRPr="00617081">
        <w:rPr>
          <w:rFonts w:cs="Noto Serif"/>
        </w:rPr>
        <w:t>T’in yapt</w:t>
      </w:r>
      <w:r w:rsidRPr="00617081">
        <w:rPr>
          <w:rFonts w:cs="Cambria"/>
        </w:rPr>
        <w:t>ığı</w:t>
      </w:r>
      <w:r w:rsidRPr="00617081">
        <w:rPr>
          <w:rFonts w:cs="Noto Serif"/>
        </w:rPr>
        <w:t xml:space="preserve"> çal</w:t>
      </w:r>
      <w:r w:rsidRPr="00617081">
        <w:rPr>
          <w:rFonts w:cs="Cambria"/>
        </w:rPr>
        <w:t>ış</w:t>
      </w:r>
      <w:r w:rsidRPr="00617081">
        <w:rPr>
          <w:rFonts w:cs="Noto Serif"/>
        </w:rPr>
        <w:t>man</w:t>
      </w:r>
      <w:r w:rsidRPr="00617081">
        <w:rPr>
          <w:rFonts w:cs="Cambria"/>
        </w:rPr>
        <w:t>ı</w:t>
      </w:r>
      <w:r w:rsidRPr="00617081">
        <w:rPr>
          <w:rFonts w:cs="Noto Serif"/>
        </w:rPr>
        <w:t>n yasal dayana</w:t>
      </w:r>
      <w:r w:rsidRPr="00617081">
        <w:rPr>
          <w:rFonts w:cs="Cambria"/>
        </w:rPr>
        <w:t>ğı</w:t>
      </w:r>
      <w:r w:rsidRPr="00617081">
        <w:rPr>
          <w:rFonts w:cs="Noto Serif"/>
        </w:rPr>
        <w:t xml:space="preserve"> gösterilen 2937 say</w:t>
      </w:r>
      <w:r w:rsidRPr="00617081">
        <w:rPr>
          <w:rFonts w:cs="Cambria"/>
        </w:rPr>
        <w:t>ı</w:t>
      </w:r>
      <w:r w:rsidRPr="00617081">
        <w:rPr>
          <w:rFonts w:cs="Noto Serif"/>
        </w:rPr>
        <w:t>l</w:t>
      </w:r>
      <w:r w:rsidRPr="00617081">
        <w:rPr>
          <w:rFonts w:cs="Cambria"/>
        </w:rPr>
        <w:t>ı</w:t>
      </w:r>
      <w:r w:rsidRPr="00617081">
        <w:rPr>
          <w:rFonts w:cs="Noto Serif"/>
        </w:rPr>
        <w:t xml:space="preserve"> M</w:t>
      </w:r>
      <w:r w:rsidRPr="00617081">
        <w:rPr>
          <w:rFonts w:cs="Cambria"/>
        </w:rPr>
        <w:t>İ</w:t>
      </w:r>
      <w:r w:rsidRPr="00617081">
        <w:rPr>
          <w:rFonts w:cs="Noto Serif"/>
        </w:rPr>
        <w:t xml:space="preserve">T Kanunu’nun 4 (1) ve 6 (1) maddelerinin, </w:t>
      </w:r>
      <w:r w:rsidRPr="00617081">
        <w:rPr>
          <w:rFonts w:cs="Noto Serif"/>
          <w:b/>
          <w:bCs/>
        </w:rPr>
        <w:t>ba</w:t>
      </w:r>
      <w:r w:rsidRPr="00617081">
        <w:rPr>
          <w:rFonts w:cs="Cambria"/>
          <w:b/>
          <w:bCs/>
        </w:rPr>
        <w:t>ğı</w:t>
      </w:r>
      <w:r w:rsidRPr="00617081">
        <w:rPr>
          <w:rFonts w:cs="Noto Serif"/>
          <w:b/>
          <w:bCs/>
        </w:rPr>
        <w:t>ms</w:t>
      </w:r>
      <w:r w:rsidRPr="00617081">
        <w:rPr>
          <w:rFonts w:cs="Cambria"/>
          <w:b/>
          <w:bCs/>
        </w:rPr>
        <w:t>ı</w:t>
      </w:r>
      <w:r w:rsidRPr="00617081">
        <w:rPr>
          <w:rFonts w:cs="Noto Serif"/>
          <w:b/>
          <w:bCs/>
        </w:rPr>
        <w:t>z izin veya denetim de dahil olmak üzere, elektronik delillerin toplanmas</w:t>
      </w:r>
      <w:r w:rsidRPr="00617081">
        <w:rPr>
          <w:rFonts w:cs="Cambria"/>
          <w:b/>
          <w:bCs/>
        </w:rPr>
        <w:t>ı</w:t>
      </w:r>
      <w:r w:rsidRPr="00617081">
        <w:rPr>
          <w:rFonts w:cs="Noto Serif"/>
          <w:b/>
          <w:bCs/>
        </w:rPr>
        <w:t>yla ilgili olarak CMK’n</w:t>
      </w:r>
      <w:r w:rsidRPr="00617081">
        <w:rPr>
          <w:rFonts w:cs="Cambria"/>
          <w:b/>
          <w:bCs/>
        </w:rPr>
        <w:t>ı</w:t>
      </w:r>
      <w:r w:rsidRPr="00617081">
        <w:rPr>
          <w:rFonts w:cs="Noto Serif"/>
          <w:b/>
          <w:bCs/>
        </w:rPr>
        <w:t>n 134. maddesinde belirtilenlere benzer usuli güvenceler bar</w:t>
      </w:r>
      <w:r w:rsidRPr="00617081">
        <w:rPr>
          <w:rFonts w:cs="Cambria"/>
          <w:b/>
          <w:bCs/>
        </w:rPr>
        <w:t>ı</w:t>
      </w:r>
      <w:r w:rsidRPr="00617081">
        <w:rPr>
          <w:rFonts w:cs="Noto Serif"/>
          <w:b/>
          <w:bCs/>
        </w:rPr>
        <w:t>nd</w:t>
      </w:r>
      <w:r w:rsidRPr="00617081">
        <w:rPr>
          <w:rFonts w:cs="Cambria"/>
          <w:b/>
          <w:bCs/>
        </w:rPr>
        <w:t>ı</w:t>
      </w:r>
      <w:r w:rsidRPr="00617081">
        <w:rPr>
          <w:rFonts w:cs="Noto Serif"/>
          <w:b/>
          <w:bCs/>
        </w:rPr>
        <w:t>rmad</w:t>
      </w:r>
      <w:r w:rsidRPr="00617081">
        <w:rPr>
          <w:rFonts w:cs="Cambria"/>
          <w:b/>
          <w:bCs/>
        </w:rPr>
        <w:t>ığı</w:t>
      </w:r>
      <w:r w:rsidRPr="00617081">
        <w:rPr>
          <w:rFonts w:cs="Noto Serif"/>
          <w:b/>
          <w:bCs/>
        </w:rPr>
        <w:t>n</w:t>
      </w:r>
      <w:r w:rsidRPr="00617081">
        <w:rPr>
          <w:rFonts w:cs="Cambria"/>
          <w:b/>
          <w:bCs/>
        </w:rPr>
        <w:t>ı</w:t>
      </w:r>
      <w:r w:rsidRPr="00617081">
        <w:rPr>
          <w:rFonts w:cs="Noto Serif"/>
          <w:b/>
          <w:bCs/>
        </w:rPr>
        <w:t xml:space="preserve"> söylemi</w:t>
      </w:r>
      <w:r w:rsidRPr="00617081">
        <w:rPr>
          <w:rFonts w:cs="Cambria"/>
          <w:b/>
          <w:bCs/>
        </w:rPr>
        <w:t>ş</w:t>
      </w:r>
      <w:r w:rsidRPr="00617081">
        <w:rPr>
          <w:rFonts w:cs="Noto Serif"/>
          <w:b/>
          <w:bCs/>
        </w:rPr>
        <w:t>tir (</w:t>
      </w:r>
      <w:r w:rsidRPr="00617081">
        <w:rPr>
          <w:rFonts w:cs="Noto Serif"/>
          <w:color w:val="000000"/>
          <w:shd w:val="clear" w:color="auto" w:fill="FFFFFF"/>
        </w:rPr>
        <w:t xml:space="preserve">§ </w:t>
      </w:r>
      <w:r w:rsidRPr="00617081">
        <w:rPr>
          <w:rFonts w:cs="Noto Serif"/>
          <w:b/>
          <w:bCs/>
        </w:rPr>
        <w:t>317).</w:t>
      </w:r>
      <w:r w:rsidRPr="00617081">
        <w:rPr>
          <w:rFonts w:cs="Noto Serif"/>
        </w:rPr>
        <w:t xml:space="preserve"> </w:t>
      </w:r>
    </w:p>
    <w:p w14:paraId="6D61269B" w14:textId="77777777" w:rsidR="00E52E47" w:rsidRPr="00617081" w:rsidRDefault="00E52E47" w:rsidP="004D60B0">
      <w:pPr>
        <w:tabs>
          <w:tab w:val="clear" w:pos="1134"/>
          <w:tab w:val="left" w:pos="709"/>
        </w:tabs>
        <w:spacing w:line="271" w:lineRule="auto"/>
        <w:ind w:firstLine="709"/>
        <w:rPr>
          <w:rFonts w:cs="Noto Serif"/>
          <w:b/>
          <w:bCs/>
        </w:rPr>
      </w:pPr>
      <w:r w:rsidRPr="00617081">
        <w:rPr>
          <w:rFonts w:cs="Noto Serif"/>
        </w:rPr>
        <w:t>Di</w:t>
      </w:r>
      <w:r w:rsidRPr="00617081">
        <w:rPr>
          <w:rFonts w:cs="Cambria"/>
        </w:rPr>
        <w:t>ğ</w:t>
      </w:r>
      <w:r w:rsidRPr="00617081">
        <w:rPr>
          <w:rFonts w:cs="Noto Serif"/>
        </w:rPr>
        <w:t>er bir ifadeyle, yasal dayanak bulunsa da 2937 say</w:t>
      </w:r>
      <w:r w:rsidRPr="00617081">
        <w:rPr>
          <w:rFonts w:cs="Cambria"/>
        </w:rPr>
        <w:t>ı</w:t>
      </w:r>
      <w:r w:rsidRPr="00617081">
        <w:rPr>
          <w:rFonts w:cs="Noto Serif"/>
        </w:rPr>
        <w:t>l</w:t>
      </w:r>
      <w:r w:rsidRPr="00617081">
        <w:rPr>
          <w:rFonts w:cs="Cambria"/>
        </w:rPr>
        <w:t>ı</w:t>
      </w:r>
      <w:r w:rsidRPr="00617081">
        <w:rPr>
          <w:rFonts w:cs="Noto Serif"/>
        </w:rPr>
        <w:t xml:space="preserve"> Yasa kapsam</w:t>
      </w:r>
      <w:r w:rsidRPr="00617081">
        <w:rPr>
          <w:rFonts w:cs="Cambria"/>
        </w:rPr>
        <w:t>ı</w:t>
      </w:r>
      <w:r w:rsidRPr="00617081">
        <w:rPr>
          <w:rFonts w:cs="Noto Serif"/>
        </w:rPr>
        <w:t>nda CMK’n</w:t>
      </w:r>
      <w:r w:rsidRPr="00617081">
        <w:rPr>
          <w:rFonts w:cs="Cambria"/>
        </w:rPr>
        <w:t>ı</w:t>
      </w:r>
      <w:r w:rsidRPr="00617081">
        <w:rPr>
          <w:rFonts w:cs="Noto Serif"/>
        </w:rPr>
        <w:t>n 134. maddesinin arad</w:t>
      </w:r>
      <w:r w:rsidRPr="00617081">
        <w:rPr>
          <w:rFonts w:cs="Cambria"/>
        </w:rPr>
        <w:t>ığı</w:t>
      </w:r>
      <w:r w:rsidRPr="00617081">
        <w:rPr>
          <w:rFonts w:cs="Noto Serif"/>
        </w:rPr>
        <w:t xml:space="preserve"> </w:t>
      </w:r>
      <w:r w:rsidRPr="00617081">
        <w:rPr>
          <w:rFonts w:cs="Cambria"/>
        </w:rPr>
        <w:t>ş</w:t>
      </w:r>
      <w:r w:rsidRPr="00617081">
        <w:rPr>
          <w:rFonts w:cs="Noto Serif"/>
        </w:rPr>
        <w:t>artlarda ve gereksinimlerde bir delilin elde edilebilmesi mümkün de</w:t>
      </w:r>
      <w:r w:rsidRPr="00617081">
        <w:rPr>
          <w:rFonts w:cs="Cambria"/>
        </w:rPr>
        <w:t>ğ</w:t>
      </w:r>
      <w:r w:rsidRPr="00617081">
        <w:rPr>
          <w:rFonts w:cs="Noto Serif"/>
        </w:rPr>
        <w:t xml:space="preserve">ildir. Zira bu Yasa, </w:t>
      </w:r>
      <w:r w:rsidRPr="00617081">
        <w:rPr>
          <w:rFonts w:cs="Noto Serif"/>
          <w:b/>
          <w:bCs/>
        </w:rPr>
        <w:t>CMK’n</w:t>
      </w:r>
      <w:r w:rsidRPr="00617081">
        <w:rPr>
          <w:rFonts w:cs="Cambria"/>
          <w:b/>
          <w:bCs/>
        </w:rPr>
        <w:t>ı</w:t>
      </w:r>
      <w:r w:rsidRPr="00617081">
        <w:rPr>
          <w:rFonts w:cs="Noto Serif"/>
          <w:b/>
          <w:bCs/>
        </w:rPr>
        <w:t>n 134. maddesindeki güvencelerin hiç birini sa</w:t>
      </w:r>
      <w:r w:rsidRPr="00617081">
        <w:rPr>
          <w:rFonts w:cs="Cambria"/>
          <w:b/>
          <w:bCs/>
        </w:rPr>
        <w:t>ğ</w:t>
      </w:r>
      <w:r w:rsidRPr="00617081">
        <w:rPr>
          <w:rFonts w:cs="Noto Serif"/>
          <w:b/>
          <w:bCs/>
        </w:rPr>
        <w:t>lamamaktad</w:t>
      </w:r>
      <w:r w:rsidRPr="00617081">
        <w:rPr>
          <w:rFonts w:cs="Cambria"/>
          <w:b/>
          <w:bCs/>
        </w:rPr>
        <w:t>ı</w:t>
      </w:r>
      <w:r w:rsidRPr="00617081">
        <w:rPr>
          <w:rFonts w:cs="Noto Serif"/>
          <w:b/>
          <w:bCs/>
        </w:rPr>
        <w:t>r.</w:t>
      </w:r>
      <w:r w:rsidRPr="00617081">
        <w:rPr>
          <w:rFonts w:cs="Noto Serif"/>
        </w:rPr>
        <w:t xml:space="preserve"> Dijital delillerin s</w:t>
      </w:r>
      <w:r w:rsidRPr="00617081">
        <w:rPr>
          <w:rFonts w:cs="Cambria"/>
        </w:rPr>
        <w:t>ı</w:t>
      </w:r>
      <w:r w:rsidRPr="00617081">
        <w:rPr>
          <w:rFonts w:cs="Noto Serif"/>
        </w:rPr>
        <w:t>hhati için CMK’n</w:t>
      </w:r>
      <w:r w:rsidRPr="00617081">
        <w:rPr>
          <w:rFonts w:cs="Cambria"/>
        </w:rPr>
        <w:t>ı</w:t>
      </w:r>
      <w:r w:rsidRPr="00617081">
        <w:rPr>
          <w:rFonts w:cs="Noto Serif"/>
        </w:rPr>
        <w:t>n 134. maddesinin arad</w:t>
      </w:r>
      <w:r w:rsidRPr="00617081">
        <w:rPr>
          <w:rFonts w:cs="Cambria"/>
        </w:rPr>
        <w:t>ığı</w:t>
      </w:r>
      <w:r w:rsidRPr="00617081">
        <w:rPr>
          <w:rFonts w:cs="Noto Serif"/>
        </w:rPr>
        <w:t xml:space="preserve"> ve son derece önemli olan </w:t>
      </w:r>
      <w:r w:rsidRPr="00617081">
        <w:rPr>
          <w:rFonts w:cs="Noto Serif"/>
          <w:b/>
          <w:bCs/>
        </w:rPr>
        <w:t>izin, denetim ve güvencelerin bulunmas</w:t>
      </w:r>
      <w:r w:rsidRPr="00617081">
        <w:rPr>
          <w:rFonts w:cs="Cambria"/>
          <w:b/>
          <w:bCs/>
        </w:rPr>
        <w:t>ı</w:t>
      </w:r>
      <w:r w:rsidRPr="00617081">
        <w:rPr>
          <w:rFonts w:cs="Noto Serif"/>
          <w:b/>
          <w:bCs/>
        </w:rPr>
        <w:t xml:space="preserve"> </w:t>
      </w:r>
      <w:r w:rsidRPr="00617081">
        <w:rPr>
          <w:rFonts w:cs="Cambria"/>
          <w:b/>
          <w:bCs/>
        </w:rPr>
        <w:t>ş</w:t>
      </w:r>
      <w:r w:rsidRPr="00617081">
        <w:rPr>
          <w:rFonts w:cs="Noto Serif"/>
          <w:b/>
          <w:bCs/>
        </w:rPr>
        <w:t>artt</w:t>
      </w:r>
      <w:r w:rsidRPr="00617081">
        <w:rPr>
          <w:rFonts w:cs="Cambria"/>
          <w:b/>
          <w:bCs/>
        </w:rPr>
        <w:t>ı</w:t>
      </w:r>
      <w:r w:rsidRPr="00617081">
        <w:rPr>
          <w:rFonts w:cs="Noto Serif"/>
          <w:b/>
          <w:bCs/>
        </w:rPr>
        <w:t>r ve bunlar olmadan elde edilen delilin güvenilir oldu</w:t>
      </w:r>
      <w:r w:rsidRPr="00617081">
        <w:rPr>
          <w:rFonts w:cs="Cambria"/>
          <w:b/>
          <w:bCs/>
        </w:rPr>
        <w:t>ğ</w:t>
      </w:r>
      <w:r w:rsidRPr="00617081">
        <w:rPr>
          <w:rFonts w:cs="Noto Serif"/>
          <w:b/>
          <w:bCs/>
        </w:rPr>
        <w:t xml:space="preserve">undan bahsedilemez. </w:t>
      </w:r>
    </w:p>
    <w:p w14:paraId="431301B1" w14:textId="77777777" w:rsidR="00E52E47" w:rsidRPr="00617081" w:rsidRDefault="00E52E47" w:rsidP="004D60B0">
      <w:pPr>
        <w:tabs>
          <w:tab w:val="clear" w:pos="1134"/>
          <w:tab w:val="left" w:pos="709"/>
        </w:tabs>
        <w:autoSpaceDE w:val="0"/>
        <w:autoSpaceDN w:val="0"/>
        <w:adjustRightInd w:val="0"/>
        <w:spacing w:line="271" w:lineRule="auto"/>
        <w:ind w:firstLine="709"/>
        <w:textAlignment w:val="center"/>
        <w:rPr>
          <w:rFonts w:cs="Noto Serif"/>
        </w:rPr>
      </w:pPr>
      <w:r w:rsidRPr="00617081">
        <w:rPr>
          <w:rFonts w:cs="Noto Serif"/>
          <w:b/>
          <w:bCs/>
        </w:rPr>
        <w:lastRenderedPageBreak/>
        <w:t>Peki bu a</w:t>
      </w:r>
      <w:r w:rsidRPr="00617081">
        <w:rPr>
          <w:rFonts w:cs="Cambria"/>
          <w:b/>
          <w:bCs/>
        </w:rPr>
        <w:t>ş</w:t>
      </w:r>
      <w:r w:rsidRPr="00617081">
        <w:rPr>
          <w:rFonts w:cs="Noto Serif"/>
          <w:b/>
          <w:bCs/>
        </w:rPr>
        <w:t>amadan sonra bu eksiklik giderilebilir mi?</w:t>
      </w:r>
      <w:r w:rsidRPr="00617081">
        <w:rPr>
          <w:rFonts w:cs="Noto Serif"/>
        </w:rPr>
        <w:t xml:space="preserve"> Hay</w:t>
      </w:r>
      <w:r w:rsidRPr="00617081">
        <w:rPr>
          <w:rFonts w:cs="Cambria"/>
        </w:rPr>
        <w:t>ı</w:t>
      </w:r>
      <w:r w:rsidRPr="00617081">
        <w:rPr>
          <w:rFonts w:cs="Noto Serif"/>
        </w:rPr>
        <w:t>r! Hem bu a</w:t>
      </w:r>
      <w:r w:rsidRPr="00617081">
        <w:rPr>
          <w:rFonts w:cs="Cambria"/>
        </w:rPr>
        <w:t>ş</w:t>
      </w:r>
      <w:r w:rsidRPr="00617081">
        <w:rPr>
          <w:rFonts w:cs="Noto Serif"/>
        </w:rPr>
        <w:t>amaya gelene kadar süreç, hem de A</w:t>
      </w:r>
      <w:r w:rsidRPr="00617081">
        <w:rPr>
          <w:rFonts w:cs="Cambria"/>
        </w:rPr>
        <w:t>İ</w:t>
      </w:r>
      <w:r w:rsidRPr="00617081">
        <w:rPr>
          <w:rFonts w:cs="Noto Serif"/>
        </w:rPr>
        <w:t>HM’in ihlal karar</w:t>
      </w:r>
      <w:r w:rsidRPr="00617081">
        <w:rPr>
          <w:rFonts w:cs="Cambria"/>
        </w:rPr>
        <w:t>ı</w:t>
      </w:r>
      <w:r w:rsidRPr="00617081">
        <w:rPr>
          <w:rFonts w:cs="Noto Serif"/>
        </w:rPr>
        <w:t>ndaki ihlal gerekçesi birlikte de</w:t>
      </w:r>
      <w:r w:rsidRPr="00617081">
        <w:rPr>
          <w:rFonts w:cs="Cambria"/>
        </w:rPr>
        <w:t>ğ</w:t>
      </w:r>
      <w:r w:rsidRPr="00617081">
        <w:rPr>
          <w:rFonts w:cs="Noto Serif"/>
        </w:rPr>
        <w:t>erlendirildi</w:t>
      </w:r>
      <w:r w:rsidRPr="00617081">
        <w:rPr>
          <w:rFonts w:cs="Cambria"/>
        </w:rPr>
        <w:t>ğ</w:t>
      </w:r>
      <w:r w:rsidRPr="00617081">
        <w:rPr>
          <w:rFonts w:cs="Noto Serif"/>
        </w:rPr>
        <w:t xml:space="preserve">inde, </w:t>
      </w:r>
      <w:r w:rsidRPr="00617081">
        <w:rPr>
          <w:rFonts w:cs="Noto Serif"/>
          <w:b/>
          <w:bCs/>
        </w:rPr>
        <w:t>Bylock ancak istihbari bir delildir ve böyle bir delilin ceza yarg</w:t>
      </w:r>
      <w:r w:rsidRPr="00617081">
        <w:rPr>
          <w:rFonts w:cs="Cambria"/>
          <w:b/>
          <w:bCs/>
        </w:rPr>
        <w:t>ı</w:t>
      </w:r>
      <w:r w:rsidRPr="00617081">
        <w:rPr>
          <w:rFonts w:cs="Noto Serif"/>
          <w:b/>
          <w:bCs/>
        </w:rPr>
        <w:t>lamas</w:t>
      </w:r>
      <w:r w:rsidRPr="00617081">
        <w:rPr>
          <w:rFonts w:cs="Cambria"/>
          <w:b/>
          <w:bCs/>
        </w:rPr>
        <w:t>ı</w:t>
      </w:r>
      <w:r w:rsidRPr="00617081">
        <w:rPr>
          <w:rFonts w:cs="Noto Serif"/>
          <w:b/>
          <w:bCs/>
        </w:rPr>
        <w:t>nda kullan</w:t>
      </w:r>
      <w:r w:rsidRPr="00617081">
        <w:rPr>
          <w:rFonts w:cs="Cambria"/>
          <w:b/>
          <w:bCs/>
        </w:rPr>
        <w:t>ı</w:t>
      </w:r>
      <w:r w:rsidRPr="00617081">
        <w:rPr>
          <w:rFonts w:cs="Noto Serif"/>
          <w:b/>
          <w:bCs/>
        </w:rPr>
        <w:t>labilmesi mümkün de</w:t>
      </w:r>
      <w:r w:rsidRPr="00617081">
        <w:rPr>
          <w:rFonts w:cs="Cambria"/>
          <w:b/>
          <w:bCs/>
        </w:rPr>
        <w:t>ğ</w:t>
      </w:r>
      <w:r w:rsidRPr="00617081">
        <w:rPr>
          <w:rFonts w:cs="Noto Serif"/>
          <w:b/>
          <w:bCs/>
        </w:rPr>
        <w:t>ildir.</w:t>
      </w:r>
      <w:r w:rsidRPr="00617081">
        <w:rPr>
          <w:rFonts w:cs="Noto Serif"/>
          <w:vertAlign w:val="superscript"/>
        </w:rPr>
        <w:footnoteReference w:id="4"/>
      </w:r>
      <w:r w:rsidRPr="00617081">
        <w:rPr>
          <w:rFonts w:cs="Noto Serif"/>
          <w:b/>
          <w:bCs/>
        </w:rPr>
        <w:t xml:space="preserve"> </w:t>
      </w:r>
      <w:r w:rsidRPr="00617081">
        <w:rPr>
          <w:rFonts w:cs="Noto Serif"/>
        </w:rPr>
        <w:t>Bylock kullan</w:t>
      </w:r>
      <w:r w:rsidRPr="00617081">
        <w:rPr>
          <w:rFonts w:cs="Cambria"/>
        </w:rPr>
        <w:t>ı</w:t>
      </w:r>
      <w:r w:rsidRPr="00617081">
        <w:rPr>
          <w:rFonts w:cs="Noto Serif"/>
        </w:rPr>
        <w:t>m</w:t>
      </w:r>
      <w:r w:rsidRPr="00617081">
        <w:rPr>
          <w:rFonts w:cs="Cambria"/>
        </w:rPr>
        <w:t>ı</w:t>
      </w:r>
      <w:r w:rsidRPr="00617081">
        <w:rPr>
          <w:rFonts w:cs="Noto Serif"/>
        </w:rPr>
        <w:t>n</w:t>
      </w:r>
      <w:r w:rsidRPr="00617081">
        <w:rPr>
          <w:rFonts w:cs="Cambria"/>
        </w:rPr>
        <w:t>ı</w:t>
      </w:r>
      <w:r w:rsidRPr="00617081">
        <w:rPr>
          <w:rFonts w:cs="Noto Serif"/>
        </w:rPr>
        <w:t xml:space="preserve"> gösterdi</w:t>
      </w:r>
      <w:r w:rsidRPr="00617081">
        <w:rPr>
          <w:rFonts w:cs="Cambria"/>
        </w:rPr>
        <w:t>ğ</w:t>
      </w:r>
      <w:r w:rsidRPr="00617081">
        <w:rPr>
          <w:rFonts w:cs="Noto Serif"/>
        </w:rPr>
        <w:t>i iddia edilen yaz</w:t>
      </w:r>
      <w:r w:rsidRPr="00617081">
        <w:rPr>
          <w:rFonts w:cs="Cambria"/>
        </w:rPr>
        <w:t>ı</w:t>
      </w:r>
      <w:r w:rsidRPr="00617081">
        <w:rPr>
          <w:rFonts w:cs="Noto Serif"/>
        </w:rPr>
        <w:t>lar</w:t>
      </w:r>
      <w:r w:rsidRPr="00617081">
        <w:rPr>
          <w:rFonts w:cs="Cambria"/>
        </w:rPr>
        <w:t>ı</w:t>
      </w:r>
      <w:r w:rsidRPr="00617081">
        <w:rPr>
          <w:rFonts w:cs="Noto Serif"/>
        </w:rPr>
        <w:t>n sonuna;</w:t>
      </w:r>
      <w:r w:rsidRPr="00617081">
        <w:rPr>
          <w:rFonts w:cs="Noto Serif"/>
          <w:b/>
          <w:bCs/>
        </w:rPr>
        <w:t xml:space="preserve"> </w:t>
      </w:r>
      <w:r w:rsidRPr="00617081">
        <w:rPr>
          <w:rFonts w:cs="Noto Serif"/>
          <w:i/>
          <w:iCs/>
        </w:rPr>
        <w:t>“ByLock modülü içerisindeki bilgiler PVSK EK-7. madde kapsam</w:t>
      </w:r>
      <w:r w:rsidRPr="00617081">
        <w:rPr>
          <w:rFonts w:cs="Cambria"/>
          <w:i/>
          <w:iCs/>
        </w:rPr>
        <w:t>ı</w:t>
      </w:r>
      <w:r w:rsidRPr="00617081">
        <w:rPr>
          <w:rFonts w:cs="Noto Serif"/>
          <w:i/>
          <w:iCs/>
        </w:rPr>
        <w:t>nda ve istihbari mahiyette oldu</w:t>
      </w:r>
      <w:r w:rsidRPr="00617081">
        <w:rPr>
          <w:rFonts w:cs="Cambria"/>
          <w:i/>
          <w:iCs/>
        </w:rPr>
        <w:t>ğ</w:t>
      </w:r>
      <w:r w:rsidRPr="00617081">
        <w:rPr>
          <w:rFonts w:cs="Noto Serif"/>
          <w:i/>
          <w:iCs/>
        </w:rPr>
        <w:t>undan hukuki delil niteli</w:t>
      </w:r>
      <w:r w:rsidRPr="00617081">
        <w:rPr>
          <w:rFonts w:cs="Cambria"/>
          <w:i/>
          <w:iCs/>
        </w:rPr>
        <w:t>ğ</w:t>
      </w:r>
      <w:r w:rsidRPr="00617081">
        <w:rPr>
          <w:rFonts w:cs="Noto Serif"/>
          <w:i/>
          <w:iCs/>
        </w:rPr>
        <w:t>i ta</w:t>
      </w:r>
      <w:r w:rsidRPr="00617081">
        <w:rPr>
          <w:rFonts w:cs="Cambria"/>
          <w:i/>
          <w:iCs/>
        </w:rPr>
        <w:t>şı</w:t>
      </w:r>
      <w:r w:rsidRPr="00617081">
        <w:rPr>
          <w:rFonts w:cs="Noto Serif"/>
          <w:i/>
          <w:iCs/>
        </w:rPr>
        <w:t>mamaktad</w:t>
      </w:r>
      <w:r w:rsidRPr="00617081">
        <w:rPr>
          <w:rFonts w:cs="Cambria"/>
          <w:i/>
          <w:iCs/>
        </w:rPr>
        <w:t>ı</w:t>
      </w:r>
      <w:r w:rsidRPr="00617081">
        <w:rPr>
          <w:rFonts w:cs="Noto Serif"/>
          <w:i/>
          <w:iCs/>
        </w:rPr>
        <w:t>r. Bu nedenle haricen delillendirilmedikçe yap</w:t>
      </w:r>
      <w:r w:rsidRPr="00617081">
        <w:rPr>
          <w:rFonts w:cs="Cambria"/>
          <w:i/>
          <w:iCs/>
        </w:rPr>
        <w:t>ı</w:t>
      </w:r>
      <w:r w:rsidRPr="00617081">
        <w:rPr>
          <w:rFonts w:cs="Noto Serif"/>
          <w:i/>
          <w:iCs/>
        </w:rPr>
        <w:t>lacak adli ve idari i</w:t>
      </w:r>
      <w:r w:rsidRPr="00617081">
        <w:rPr>
          <w:rFonts w:cs="Cambria"/>
          <w:i/>
          <w:iCs/>
        </w:rPr>
        <w:t>ş</w:t>
      </w:r>
      <w:r w:rsidRPr="00617081">
        <w:rPr>
          <w:rFonts w:cs="Noto Serif"/>
          <w:i/>
          <w:iCs/>
        </w:rPr>
        <w:t>lemlere bizzat gerekçe te</w:t>
      </w:r>
      <w:r w:rsidRPr="00617081">
        <w:rPr>
          <w:rFonts w:cs="Cambria"/>
          <w:i/>
          <w:iCs/>
        </w:rPr>
        <w:t>ş</w:t>
      </w:r>
      <w:r w:rsidRPr="00617081">
        <w:rPr>
          <w:rFonts w:cs="Noto Serif"/>
          <w:i/>
          <w:iCs/>
        </w:rPr>
        <w:t xml:space="preserve">kil etmez” </w:t>
      </w:r>
      <w:r w:rsidRPr="00617081">
        <w:rPr>
          <w:rFonts w:cs="Noto Serif"/>
        </w:rPr>
        <w:t>uyar</w:t>
      </w:r>
      <w:r w:rsidRPr="00617081">
        <w:rPr>
          <w:rFonts w:cs="Cambria"/>
        </w:rPr>
        <w:t>ı</w:t>
      </w:r>
      <w:r w:rsidRPr="00617081">
        <w:rPr>
          <w:rFonts w:cs="Noto Serif"/>
        </w:rPr>
        <w:t>s</w:t>
      </w:r>
      <w:r w:rsidRPr="00617081">
        <w:rPr>
          <w:rFonts w:cs="Cambria"/>
        </w:rPr>
        <w:t>ı</w:t>
      </w:r>
      <w:r w:rsidRPr="00617081">
        <w:rPr>
          <w:rFonts w:cs="Noto Serif"/>
        </w:rPr>
        <w:t xml:space="preserve"> eklenmesinin sebebi de budur. </w:t>
      </w:r>
    </w:p>
    <w:p w14:paraId="4B34C708" w14:textId="1C512093" w:rsidR="00E52E47" w:rsidRPr="00617081" w:rsidRDefault="001E09BE" w:rsidP="0065557D">
      <w:pPr>
        <w:pStyle w:val="Balk3"/>
        <w:rPr>
          <w:rFonts w:ascii="Palatino Linotype" w:hAnsi="Palatino Linotype"/>
        </w:rPr>
      </w:pPr>
      <w:r w:rsidRPr="00617081">
        <w:rPr>
          <w:rFonts w:ascii="Palatino Linotype" w:hAnsi="Palatino Linotype"/>
        </w:rPr>
        <w:t xml:space="preserve"> </w:t>
      </w:r>
      <w:bookmarkStart w:id="17" w:name="_Toc151927099"/>
      <w:r w:rsidR="00E52E47" w:rsidRPr="00617081">
        <w:rPr>
          <w:rFonts w:ascii="Palatino Linotype" w:hAnsi="Palatino Linotype"/>
        </w:rPr>
        <w:t>M</w:t>
      </w:r>
      <w:r w:rsidR="00E52E47" w:rsidRPr="00617081">
        <w:rPr>
          <w:rFonts w:ascii="Palatino Linotype" w:hAnsi="Palatino Linotype" w:cs="Cambria"/>
        </w:rPr>
        <w:t>İ</w:t>
      </w:r>
      <w:r w:rsidR="00E52E47" w:rsidRPr="00617081">
        <w:rPr>
          <w:rFonts w:ascii="Palatino Linotype" w:hAnsi="Palatino Linotype"/>
        </w:rPr>
        <w:t>T’in Veri Toplama Faaliyeti Yarg</w:t>
      </w:r>
      <w:r w:rsidR="00E52E47" w:rsidRPr="00617081">
        <w:rPr>
          <w:rFonts w:ascii="Palatino Linotype" w:hAnsi="Palatino Linotype" w:cs="Cambria"/>
        </w:rPr>
        <w:t>ı</w:t>
      </w:r>
      <w:r w:rsidR="00E52E47" w:rsidRPr="00617081">
        <w:rPr>
          <w:rFonts w:ascii="Palatino Linotype" w:hAnsi="Palatino Linotype"/>
        </w:rPr>
        <w:t xml:space="preserve">sal Denetim </w:t>
      </w:r>
      <w:r w:rsidR="00E52E47" w:rsidRPr="00617081">
        <w:rPr>
          <w:rFonts w:ascii="Palatino Linotype" w:hAnsi="Palatino Linotype" w:cs="Cambria"/>
        </w:rPr>
        <w:t>İ</w:t>
      </w:r>
      <w:r w:rsidR="00E52E47" w:rsidRPr="00617081">
        <w:rPr>
          <w:rFonts w:ascii="Palatino Linotype" w:hAnsi="Palatino Linotype"/>
        </w:rPr>
        <w:t>çermemektedir</w:t>
      </w:r>
      <w:bookmarkEnd w:id="17"/>
    </w:p>
    <w:p w14:paraId="42C44EAE"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shd w:val="clear" w:color="auto" w:fill="FFFFFF"/>
        </w:rPr>
        <w:t>A</w:t>
      </w:r>
      <w:r w:rsidRPr="00617081">
        <w:rPr>
          <w:rFonts w:cs="Cambria"/>
          <w:shd w:val="clear" w:color="auto" w:fill="FFFFFF"/>
        </w:rPr>
        <w:t>İ</w:t>
      </w:r>
      <w:r w:rsidRPr="00617081">
        <w:rPr>
          <w:rFonts w:cs="Noto Serif"/>
          <w:shd w:val="clear" w:color="auto" w:fill="FFFFFF"/>
        </w:rPr>
        <w:t>HM’in üzerinde durdu</w:t>
      </w:r>
      <w:r w:rsidRPr="00617081">
        <w:rPr>
          <w:rFonts w:cs="Cambria"/>
          <w:shd w:val="clear" w:color="auto" w:fill="FFFFFF"/>
        </w:rPr>
        <w:t>ğ</w:t>
      </w:r>
      <w:r w:rsidRPr="00617081">
        <w:rPr>
          <w:rFonts w:cs="Noto Serif"/>
          <w:shd w:val="clear" w:color="auto" w:fill="FFFFFF"/>
        </w:rPr>
        <w:t>u ve ihlal gerekçesi yapt</w:t>
      </w:r>
      <w:r w:rsidRPr="00617081">
        <w:rPr>
          <w:rFonts w:cs="Cambria"/>
          <w:shd w:val="clear" w:color="auto" w:fill="FFFFFF"/>
        </w:rPr>
        <w:t>ığı</w:t>
      </w:r>
      <w:r w:rsidRPr="00617081">
        <w:rPr>
          <w:rFonts w:cs="Noto Serif"/>
          <w:shd w:val="clear" w:color="auto" w:fill="FFFFFF"/>
        </w:rPr>
        <w:t xml:space="preserve"> bir di</w:t>
      </w:r>
      <w:r w:rsidRPr="00617081">
        <w:rPr>
          <w:rFonts w:cs="Cambria"/>
          <w:shd w:val="clear" w:color="auto" w:fill="FFFFFF"/>
        </w:rPr>
        <w:t>ğ</w:t>
      </w:r>
      <w:r w:rsidRPr="00617081">
        <w:rPr>
          <w:rFonts w:cs="Noto Serif"/>
          <w:shd w:val="clear" w:color="auto" w:fill="FFFFFF"/>
        </w:rPr>
        <w:t>er husus, AYM ve Yarg</w:t>
      </w:r>
      <w:r w:rsidRPr="00617081">
        <w:rPr>
          <w:rFonts w:cs="Cambria"/>
          <w:shd w:val="clear" w:color="auto" w:fill="FFFFFF"/>
        </w:rPr>
        <w:t>ı</w:t>
      </w:r>
      <w:r w:rsidRPr="00617081">
        <w:rPr>
          <w:rFonts w:cs="Noto Serif"/>
          <w:shd w:val="clear" w:color="auto" w:fill="FFFFFF"/>
        </w:rPr>
        <w:t>tay’</w:t>
      </w:r>
      <w:r w:rsidRPr="00617081">
        <w:rPr>
          <w:rFonts w:cs="Cambria"/>
          <w:shd w:val="clear" w:color="auto" w:fill="FFFFFF"/>
        </w:rPr>
        <w:t>ı</w:t>
      </w:r>
      <w:r w:rsidRPr="00617081">
        <w:rPr>
          <w:rFonts w:cs="Noto Serif"/>
          <w:shd w:val="clear" w:color="auto" w:fill="FFFFFF"/>
        </w:rPr>
        <w:t>n Bylock verilerinin teslimine kadar olan sürece hiç de</w:t>
      </w:r>
      <w:r w:rsidRPr="00617081">
        <w:rPr>
          <w:rFonts w:cs="Cambria"/>
          <w:shd w:val="clear" w:color="auto" w:fill="FFFFFF"/>
        </w:rPr>
        <w:t>ğ</w:t>
      </w:r>
      <w:r w:rsidRPr="00617081">
        <w:rPr>
          <w:rFonts w:cs="Noto Serif"/>
          <w:shd w:val="clear" w:color="auto" w:fill="FFFFFF"/>
        </w:rPr>
        <w:t>inmeyip; sanki bu veriler üzerinde aylarca çal</w:t>
      </w:r>
      <w:r w:rsidRPr="00617081">
        <w:rPr>
          <w:rFonts w:cs="Cambria"/>
          <w:shd w:val="clear" w:color="auto" w:fill="FFFFFF"/>
        </w:rPr>
        <w:t>ış</w:t>
      </w:r>
      <w:r w:rsidRPr="00617081">
        <w:rPr>
          <w:rFonts w:cs="Noto Serif"/>
          <w:shd w:val="clear" w:color="auto" w:fill="FFFFFF"/>
        </w:rPr>
        <w:t>mam</w:t>
      </w:r>
      <w:r w:rsidRPr="00617081">
        <w:rPr>
          <w:rFonts w:cs="Cambria"/>
          <w:shd w:val="clear" w:color="auto" w:fill="FFFFFF"/>
        </w:rPr>
        <w:t>ış</w:t>
      </w:r>
      <w:r w:rsidRPr="00617081">
        <w:rPr>
          <w:rFonts w:cs="Noto Serif"/>
          <w:shd w:val="clear" w:color="auto" w:fill="FFFFFF"/>
        </w:rPr>
        <w:t>, isim listeleri olu</w:t>
      </w:r>
      <w:r w:rsidRPr="00617081">
        <w:rPr>
          <w:rFonts w:cs="Cambria"/>
          <w:shd w:val="clear" w:color="auto" w:fill="FFFFFF"/>
        </w:rPr>
        <w:t>ş</w:t>
      </w:r>
      <w:r w:rsidRPr="00617081">
        <w:rPr>
          <w:rFonts w:cs="Noto Serif"/>
          <w:shd w:val="clear" w:color="auto" w:fill="FFFFFF"/>
        </w:rPr>
        <w:t>turulmam</w:t>
      </w:r>
      <w:r w:rsidRPr="00617081">
        <w:rPr>
          <w:rFonts w:cs="Cambria"/>
          <w:shd w:val="clear" w:color="auto" w:fill="FFFFFF"/>
        </w:rPr>
        <w:t>ış</w:t>
      </w:r>
      <w:r w:rsidRPr="00617081">
        <w:rPr>
          <w:rFonts w:cs="Noto Serif"/>
          <w:shd w:val="clear" w:color="auto" w:fill="FFFFFF"/>
        </w:rPr>
        <w:t xml:space="preserve"> ve elde edildi</w:t>
      </w:r>
      <w:r w:rsidRPr="00617081">
        <w:rPr>
          <w:rFonts w:cs="Cambria"/>
          <w:shd w:val="clear" w:color="auto" w:fill="FFFFFF"/>
        </w:rPr>
        <w:t>ğ</w:t>
      </w:r>
      <w:r w:rsidRPr="00617081">
        <w:rPr>
          <w:rFonts w:cs="Noto Serif"/>
          <w:shd w:val="clear" w:color="auto" w:fill="FFFFFF"/>
        </w:rPr>
        <w:t xml:space="preserve">inin </w:t>
      </w:r>
      <w:r w:rsidRPr="00617081">
        <w:rPr>
          <w:rFonts w:cs="Noto Serif"/>
          <w:b/>
          <w:bCs/>
          <w:shd w:val="clear" w:color="auto" w:fill="FFFFFF"/>
        </w:rPr>
        <w:t>ertesi günü savc</w:t>
      </w:r>
      <w:r w:rsidRPr="00617081">
        <w:rPr>
          <w:rFonts w:cs="Cambria"/>
          <w:b/>
          <w:bCs/>
          <w:shd w:val="clear" w:color="auto" w:fill="FFFFFF"/>
        </w:rPr>
        <w:t>ı</w:t>
      </w:r>
      <w:r w:rsidRPr="00617081">
        <w:rPr>
          <w:rFonts w:cs="Noto Serif"/>
          <w:b/>
          <w:bCs/>
          <w:shd w:val="clear" w:color="auto" w:fill="FFFFFF"/>
        </w:rPr>
        <w:t>l</w:t>
      </w:r>
      <w:r w:rsidRPr="00617081">
        <w:rPr>
          <w:rFonts w:cs="Cambria"/>
          <w:b/>
          <w:bCs/>
          <w:shd w:val="clear" w:color="auto" w:fill="FFFFFF"/>
        </w:rPr>
        <w:t>ığ</w:t>
      </w:r>
      <w:r w:rsidRPr="00617081">
        <w:rPr>
          <w:rFonts w:cs="Noto Serif"/>
          <w:b/>
          <w:bCs/>
          <w:shd w:val="clear" w:color="auto" w:fill="FFFFFF"/>
        </w:rPr>
        <w:t>a teslim edilmi</w:t>
      </w:r>
      <w:r w:rsidRPr="00617081">
        <w:rPr>
          <w:rFonts w:cs="Cambria"/>
          <w:b/>
          <w:bCs/>
          <w:shd w:val="clear" w:color="auto" w:fill="FFFFFF"/>
        </w:rPr>
        <w:t>ş</w:t>
      </w:r>
      <w:r w:rsidRPr="00617081">
        <w:rPr>
          <w:rFonts w:cs="Noto Serif"/>
          <w:b/>
          <w:bCs/>
          <w:shd w:val="clear" w:color="auto" w:fill="FFFFFF"/>
        </w:rPr>
        <w:t xml:space="preserve"> gibi</w:t>
      </w:r>
      <w:r w:rsidRPr="00617081">
        <w:rPr>
          <w:rFonts w:cs="Noto Serif"/>
          <w:shd w:val="clear" w:color="auto" w:fill="FFFFFF"/>
        </w:rPr>
        <w:t xml:space="preserve"> çizilen pembe tablodur. Zira AYM ve Yarg</w:t>
      </w:r>
      <w:r w:rsidRPr="00617081">
        <w:rPr>
          <w:rFonts w:cs="Cambria"/>
          <w:shd w:val="clear" w:color="auto" w:fill="FFFFFF"/>
        </w:rPr>
        <w:t>ı</w:t>
      </w:r>
      <w:r w:rsidRPr="00617081">
        <w:rPr>
          <w:rFonts w:cs="Noto Serif"/>
          <w:shd w:val="clear" w:color="auto" w:fill="FFFFFF"/>
        </w:rPr>
        <w:t xml:space="preserve">tay, </w:t>
      </w:r>
      <w:r w:rsidRPr="00617081">
        <w:rPr>
          <w:rFonts w:cs="Noto Serif"/>
          <w:b/>
          <w:bCs/>
        </w:rPr>
        <w:t>TESL</w:t>
      </w:r>
      <w:r w:rsidRPr="00617081">
        <w:rPr>
          <w:rFonts w:cs="Cambria"/>
          <w:b/>
          <w:bCs/>
        </w:rPr>
        <w:t>İ</w:t>
      </w:r>
      <w:r w:rsidRPr="00617081">
        <w:rPr>
          <w:rFonts w:cs="Noto Serif"/>
          <w:b/>
          <w:bCs/>
        </w:rPr>
        <w:t>M</w:t>
      </w:r>
      <w:r w:rsidRPr="00617081">
        <w:rPr>
          <w:rFonts w:cs="Cambria"/>
          <w:b/>
          <w:bCs/>
        </w:rPr>
        <w:t>İ</w:t>
      </w:r>
      <w:r w:rsidRPr="00617081">
        <w:rPr>
          <w:rFonts w:cs="Noto Serif"/>
          <w:b/>
          <w:bCs/>
        </w:rPr>
        <w:t>NDEN SONRA</w:t>
      </w:r>
      <w:r w:rsidRPr="00617081">
        <w:rPr>
          <w:rFonts w:cs="Noto Serif"/>
        </w:rPr>
        <w:t xml:space="preserve"> veriler üzerinde CMK’n</w:t>
      </w:r>
      <w:r w:rsidRPr="00617081">
        <w:rPr>
          <w:rFonts w:cs="Cambria"/>
        </w:rPr>
        <w:t>ı</w:t>
      </w:r>
      <w:r w:rsidRPr="00617081">
        <w:rPr>
          <w:rFonts w:cs="Noto Serif"/>
        </w:rPr>
        <w:t>n 134. maddesi gere</w:t>
      </w:r>
      <w:r w:rsidRPr="00617081">
        <w:rPr>
          <w:rFonts w:cs="Cambria"/>
        </w:rPr>
        <w:t>ğ</w:t>
      </w:r>
      <w:r w:rsidRPr="00617081">
        <w:rPr>
          <w:rFonts w:cs="Noto Serif"/>
        </w:rPr>
        <w:t xml:space="preserve">ince </w:t>
      </w:r>
      <w:r w:rsidRPr="00617081">
        <w:rPr>
          <w:rFonts w:cs="Noto Serif"/>
          <w:i/>
          <w:iCs/>
        </w:rPr>
        <w:t>“arama, inceleme, kopyalama ve çözümleme”</w:t>
      </w:r>
      <w:r w:rsidRPr="00617081">
        <w:rPr>
          <w:rFonts w:cs="Noto Serif"/>
        </w:rPr>
        <w:t xml:space="preserve"> yap</w:t>
      </w:r>
      <w:r w:rsidRPr="00617081">
        <w:rPr>
          <w:rFonts w:cs="Cambria"/>
        </w:rPr>
        <w:t>ı</w:t>
      </w:r>
      <w:r w:rsidRPr="00617081">
        <w:rPr>
          <w:rFonts w:cs="Noto Serif"/>
        </w:rPr>
        <w:t>ld</w:t>
      </w:r>
      <w:r w:rsidRPr="00617081">
        <w:rPr>
          <w:rFonts w:cs="Cambria"/>
        </w:rPr>
        <w:t>ığı</w:t>
      </w:r>
      <w:r w:rsidRPr="00617081">
        <w:rPr>
          <w:rFonts w:cs="Noto Serif"/>
        </w:rPr>
        <w:t>n</w:t>
      </w:r>
      <w:r w:rsidRPr="00617081">
        <w:rPr>
          <w:rFonts w:cs="Cambria"/>
        </w:rPr>
        <w:t>ı</w:t>
      </w:r>
      <w:r w:rsidRPr="00617081">
        <w:rPr>
          <w:rFonts w:cs="Noto Serif"/>
        </w:rPr>
        <w:t xml:space="preserve"> ve bunun hukuka uygun oldu</w:t>
      </w:r>
      <w:r w:rsidRPr="00617081">
        <w:rPr>
          <w:rFonts w:cs="Cambria"/>
        </w:rPr>
        <w:t>ğ</w:t>
      </w:r>
      <w:r w:rsidRPr="00617081">
        <w:rPr>
          <w:rFonts w:cs="Noto Serif"/>
        </w:rPr>
        <w:t>unu söylemi</w:t>
      </w:r>
      <w:r w:rsidRPr="00617081">
        <w:rPr>
          <w:rFonts w:cs="Cambria"/>
        </w:rPr>
        <w:t>ş</w:t>
      </w:r>
      <w:r w:rsidRPr="00617081">
        <w:rPr>
          <w:rFonts w:cs="Noto Serif"/>
        </w:rPr>
        <w:t xml:space="preserve">tir. </w:t>
      </w:r>
    </w:p>
    <w:p w14:paraId="000B3BB6"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rPr>
        <w:t>A</w:t>
      </w:r>
      <w:r w:rsidRPr="00617081">
        <w:rPr>
          <w:rFonts w:cs="Cambria"/>
        </w:rPr>
        <w:t>İ</w:t>
      </w:r>
      <w:r w:rsidRPr="00617081">
        <w:rPr>
          <w:rFonts w:cs="Noto Serif"/>
        </w:rPr>
        <w:t>HM’de hakl</w:t>
      </w:r>
      <w:r w:rsidRPr="00617081">
        <w:rPr>
          <w:rFonts w:cs="Cambria"/>
        </w:rPr>
        <w:t>ı</w:t>
      </w:r>
      <w:r w:rsidRPr="00617081">
        <w:rPr>
          <w:rFonts w:cs="Noto Serif"/>
        </w:rPr>
        <w:t xml:space="preserve"> olarak, teslimden önceki a</w:t>
      </w:r>
      <w:r w:rsidRPr="00617081">
        <w:rPr>
          <w:rFonts w:cs="Cambria"/>
        </w:rPr>
        <w:t>ş</w:t>
      </w:r>
      <w:r w:rsidRPr="00617081">
        <w:rPr>
          <w:rFonts w:cs="Noto Serif"/>
        </w:rPr>
        <w:t>amay</w:t>
      </w:r>
      <w:r w:rsidRPr="00617081">
        <w:rPr>
          <w:rFonts w:cs="Cambria"/>
        </w:rPr>
        <w:t>ı</w:t>
      </w:r>
      <w:r w:rsidRPr="00617081">
        <w:rPr>
          <w:rFonts w:cs="Noto Serif"/>
        </w:rPr>
        <w:t xml:space="preserve"> sormu</w:t>
      </w:r>
      <w:r w:rsidRPr="00617081">
        <w:rPr>
          <w:rFonts w:cs="Cambria"/>
        </w:rPr>
        <w:t>ş</w:t>
      </w:r>
      <w:r w:rsidRPr="00617081">
        <w:rPr>
          <w:rFonts w:cs="Noto Serif"/>
        </w:rPr>
        <w:t xml:space="preserve"> </w:t>
      </w:r>
      <w:r w:rsidRPr="00617081">
        <w:rPr>
          <w:rFonts w:cs="Noto Serif"/>
          <w:shd w:val="clear" w:color="auto" w:fill="FFFFFF"/>
        </w:rPr>
        <w:t xml:space="preserve"> ve </w:t>
      </w:r>
      <w:r w:rsidRPr="00617081">
        <w:rPr>
          <w:rFonts w:cs="Noto Serif"/>
        </w:rPr>
        <w:t>dava dosyas</w:t>
      </w:r>
      <w:r w:rsidRPr="00617081">
        <w:rPr>
          <w:rFonts w:cs="Cambria"/>
        </w:rPr>
        <w:t>ı</w:t>
      </w:r>
      <w:r w:rsidRPr="00617081">
        <w:rPr>
          <w:rFonts w:cs="Noto Serif"/>
        </w:rPr>
        <w:t xml:space="preserve">ndaki hiçbir </w:t>
      </w:r>
      <w:r w:rsidRPr="00617081">
        <w:rPr>
          <w:rFonts w:cs="Cambria"/>
        </w:rPr>
        <w:t>ş</w:t>
      </w:r>
      <w:r w:rsidRPr="00617081">
        <w:rPr>
          <w:rFonts w:cs="Noto Serif"/>
        </w:rPr>
        <w:t>eyin Ankara 4. Sulh Ceza Hâkimli</w:t>
      </w:r>
      <w:r w:rsidRPr="00617081">
        <w:rPr>
          <w:rFonts w:cs="Cambria"/>
        </w:rPr>
        <w:t>ğ</w:t>
      </w:r>
      <w:r w:rsidRPr="00617081">
        <w:rPr>
          <w:rFonts w:cs="Noto Serif"/>
        </w:rPr>
        <w:t>inin ByLock verilerinin CMK’n</w:t>
      </w:r>
      <w:r w:rsidRPr="00617081">
        <w:rPr>
          <w:rFonts w:cs="Cambria"/>
        </w:rPr>
        <w:t>ı</w:t>
      </w:r>
      <w:r w:rsidRPr="00617081">
        <w:rPr>
          <w:rFonts w:cs="Noto Serif"/>
        </w:rPr>
        <w:t>n 134. maddesi uyar</w:t>
      </w:r>
      <w:r w:rsidRPr="00617081">
        <w:rPr>
          <w:rFonts w:cs="Cambria"/>
        </w:rPr>
        <w:t>ı</w:t>
      </w:r>
      <w:r w:rsidRPr="00617081">
        <w:rPr>
          <w:rFonts w:cs="Noto Serif"/>
        </w:rPr>
        <w:t xml:space="preserve">nca incelenmesine yönelik </w:t>
      </w:r>
      <w:r w:rsidRPr="00617081">
        <w:rPr>
          <w:rFonts w:cs="Noto Serif"/>
          <w:b/>
          <w:bCs/>
        </w:rPr>
        <w:t>sonradan verdi</w:t>
      </w:r>
      <w:r w:rsidRPr="00617081">
        <w:rPr>
          <w:rFonts w:cs="Cambria"/>
          <w:b/>
          <w:bCs/>
        </w:rPr>
        <w:t>ğ</w:t>
      </w:r>
      <w:r w:rsidRPr="00617081">
        <w:rPr>
          <w:rFonts w:cs="Noto Serif"/>
          <w:b/>
          <w:bCs/>
        </w:rPr>
        <w:t>i karar</w:t>
      </w:r>
      <w:r w:rsidRPr="00617081">
        <w:rPr>
          <w:rFonts w:cs="Cambria"/>
          <w:b/>
          <w:bCs/>
        </w:rPr>
        <w:t>ı</w:t>
      </w:r>
      <w:r w:rsidRPr="00617081">
        <w:rPr>
          <w:rFonts w:cs="Noto Serif"/>
          <w:b/>
          <w:bCs/>
        </w:rPr>
        <w:t>n,</w:t>
      </w:r>
      <w:r w:rsidRPr="00617081">
        <w:rPr>
          <w:rFonts w:cs="Noto Serif"/>
        </w:rPr>
        <w:t xml:space="preserve"> M</w:t>
      </w:r>
      <w:r w:rsidRPr="00617081">
        <w:rPr>
          <w:rFonts w:cs="Cambria"/>
        </w:rPr>
        <w:t>İ</w:t>
      </w:r>
      <w:r w:rsidRPr="00617081">
        <w:rPr>
          <w:rFonts w:cs="Noto Serif"/>
        </w:rPr>
        <w:t>T’in veri toplama faaliyetinin olay sonras</w:t>
      </w:r>
      <w:r w:rsidRPr="00617081">
        <w:rPr>
          <w:rFonts w:cs="Cambria"/>
        </w:rPr>
        <w:t>ı</w:t>
      </w:r>
      <w:r w:rsidRPr="00617081">
        <w:rPr>
          <w:rFonts w:cs="Noto Serif"/>
        </w:rPr>
        <w:t xml:space="preserve"> yarg</w:t>
      </w:r>
      <w:r w:rsidRPr="00617081">
        <w:rPr>
          <w:rFonts w:cs="Cambria"/>
        </w:rPr>
        <w:t>ı</w:t>
      </w:r>
      <w:r w:rsidRPr="00617081">
        <w:rPr>
          <w:rFonts w:cs="Noto Serif"/>
        </w:rPr>
        <w:t>sal denetimi içermedi</w:t>
      </w:r>
      <w:r w:rsidRPr="00617081">
        <w:rPr>
          <w:rFonts w:cs="Cambria"/>
        </w:rPr>
        <w:t>ğ</w:t>
      </w:r>
      <w:r w:rsidRPr="00617081">
        <w:rPr>
          <w:rFonts w:cs="Noto Serif"/>
        </w:rPr>
        <w:t>ini belirtmi</w:t>
      </w:r>
      <w:r w:rsidRPr="00617081">
        <w:rPr>
          <w:rFonts w:cs="Cambria"/>
        </w:rPr>
        <w:t>ş</w:t>
      </w:r>
      <w:r w:rsidRPr="00617081">
        <w:rPr>
          <w:rFonts w:cs="Noto Serif"/>
        </w:rPr>
        <w:t>tir. Ayr</w:t>
      </w:r>
      <w:r w:rsidRPr="00617081">
        <w:rPr>
          <w:rFonts w:cs="Cambria"/>
        </w:rPr>
        <w:t>ı</w:t>
      </w:r>
      <w:r w:rsidRPr="00617081">
        <w:rPr>
          <w:rFonts w:cs="Noto Serif"/>
        </w:rPr>
        <w:t xml:space="preserve">ca </w:t>
      </w:r>
      <w:r w:rsidRPr="00617081">
        <w:rPr>
          <w:rFonts w:cs="Noto Serif"/>
          <w:b/>
          <w:bCs/>
        </w:rPr>
        <w:t>A</w:t>
      </w:r>
      <w:r w:rsidRPr="00617081">
        <w:rPr>
          <w:rFonts w:cs="Cambria"/>
          <w:b/>
          <w:bCs/>
        </w:rPr>
        <w:t>İ</w:t>
      </w:r>
      <w:r w:rsidRPr="00617081">
        <w:rPr>
          <w:rFonts w:cs="Noto Serif"/>
          <w:b/>
          <w:bCs/>
        </w:rPr>
        <w:t>HM, M</w:t>
      </w:r>
      <w:r w:rsidRPr="00617081">
        <w:rPr>
          <w:rFonts w:cs="Cambria"/>
          <w:b/>
          <w:bCs/>
        </w:rPr>
        <w:t>İ</w:t>
      </w:r>
      <w:r w:rsidRPr="00617081">
        <w:rPr>
          <w:rFonts w:cs="Noto Serif"/>
          <w:b/>
          <w:bCs/>
        </w:rPr>
        <w:t>T’in Bylock verilerini adli makamlara teslim etmeden önce aylarca tuttu</w:t>
      </w:r>
      <w:r w:rsidRPr="00617081">
        <w:rPr>
          <w:rFonts w:cs="Cambria"/>
          <w:b/>
          <w:bCs/>
        </w:rPr>
        <w:t>ğ</w:t>
      </w:r>
      <w:r w:rsidRPr="00617081">
        <w:rPr>
          <w:rFonts w:cs="Noto Serif"/>
          <w:b/>
          <w:bCs/>
        </w:rPr>
        <w:t>u göz önüne al</w:t>
      </w:r>
      <w:r w:rsidRPr="00617081">
        <w:rPr>
          <w:rFonts w:cs="Cambria"/>
          <w:b/>
          <w:bCs/>
        </w:rPr>
        <w:t>ı</w:t>
      </w:r>
      <w:r w:rsidRPr="00617081">
        <w:rPr>
          <w:rFonts w:cs="Noto Serif"/>
          <w:b/>
          <w:bCs/>
        </w:rPr>
        <w:t>nd</w:t>
      </w:r>
      <w:r w:rsidRPr="00617081">
        <w:rPr>
          <w:rFonts w:cs="Cambria"/>
          <w:b/>
          <w:bCs/>
        </w:rPr>
        <w:t>ığı</w:t>
      </w:r>
      <w:r w:rsidRPr="00617081">
        <w:rPr>
          <w:rFonts w:cs="Noto Serif"/>
          <w:b/>
          <w:bCs/>
        </w:rPr>
        <w:t>nda,</w:t>
      </w:r>
      <w:r w:rsidRPr="00617081">
        <w:rPr>
          <w:rFonts w:cs="Noto Serif"/>
        </w:rPr>
        <w:t xml:space="preserve"> ba</w:t>
      </w:r>
      <w:r w:rsidRPr="00617081">
        <w:rPr>
          <w:rFonts w:cs="Cambria"/>
        </w:rPr>
        <w:t>ş</w:t>
      </w:r>
      <w:r w:rsidRPr="00617081">
        <w:rPr>
          <w:rFonts w:cs="Noto Serif"/>
        </w:rPr>
        <w:t>vuran</w:t>
      </w:r>
      <w:r w:rsidRPr="00617081">
        <w:rPr>
          <w:rFonts w:cs="Cambria"/>
        </w:rPr>
        <w:t>ı</w:t>
      </w:r>
      <w:r w:rsidRPr="00617081">
        <w:rPr>
          <w:rFonts w:cs="Noto Serif"/>
        </w:rPr>
        <w:t>n Bylock verilerinin güvenilirli</w:t>
      </w:r>
      <w:r w:rsidRPr="00617081">
        <w:rPr>
          <w:rFonts w:cs="Cambria"/>
        </w:rPr>
        <w:t>ğ</w:t>
      </w:r>
      <w:r w:rsidRPr="00617081">
        <w:rPr>
          <w:rFonts w:cs="Noto Serif"/>
        </w:rPr>
        <w:t>ine ili</w:t>
      </w:r>
      <w:r w:rsidRPr="00617081">
        <w:rPr>
          <w:rFonts w:cs="Cambria"/>
        </w:rPr>
        <w:t>ş</w:t>
      </w:r>
      <w:r w:rsidRPr="00617081">
        <w:rPr>
          <w:rFonts w:cs="Noto Serif"/>
        </w:rPr>
        <w:t xml:space="preserve">kin </w:t>
      </w:r>
      <w:r w:rsidRPr="00617081">
        <w:rPr>
          <w:rFonts w:cs="Cambria"/>
        </w:rPr>
        <w:t>ş</w:t>
      </w:r>
      <w:r w:rsidRPr="00617081">
        <w:rPr>
          <w:rFonts w:cs="Noto Serif"/>
        </w:rPr>
        <w:t>üphelerinin soyut veya temelsiz olarak kolayca göz ard</w:t>
      </w:r>
      <w:r w:rsidRPr="00617081">
        <w:rPr>
          <w:rFonts w:cs="Cambria"/>
        </w:rPr>
        <w:t>ı</w:t>
      </w:r>
      <w:r w:rsidRPr="00617081">
        <w:rPr>
          <w:rFonts w:cs="Noto Serif"/>
        </w:rPr>
        <w:t xml:space="preserve"> edilebilece</w:t>
      </w:r>
      <w:r w:rsidRPr="00617081">
        <w:rPr>
          <w:rFonts w:cs="Cambria"/>
        </w:rPr>
        <w:t>ğ</w:t>
      </w:r>
      <w:r w:rsidRPr="00617081">
        <w:rPr>
          <w:rFonts w:cs="Noto Serif"/>
        </w:rPr>
        <w:t>i konusunda Hükûmet ile ayn</w:t>
      </w:r>
      <w:r w:rsidRPr="00617081">
        <w:rPr>
          <w:rFonts w:cs="Cambria"/>
        </w:rPr>
        <w:t>ı</w:t>
      </w:r>
      <w:r w:rsidRPr="00617081">
        <w:rPr>
          <w:rFonts w:cs="Noto Serif"/>
        </w:rPr>
        <w:t xml:space="preserve"> fikirde olmad</w:t>
      </w:r>
      <w:r w:rsidRPr="00617081">
        <w:rPr>
          <w:rFonts w:cs="Cambria"/>
        </w:rPr>
        <w:t>ığı</w:t>
      </w:r>
      <w:r w:rsidRPr="00617081">
        <w:rPr>
          <w:rFonts w:cs="Noto Serif"/>
        </w:rPr>
        <w:t>n</w:t>
      </w:r>
      <w:r w:rsidRPr="00617081">
        <w:rPr>
          <w:rFonts w:cs="Cambria"/>
        </w:rPr>
        <w:t>ı</w:t>
      </w:r>
      <w:r w:rsidRPr="00617081">
        <w:rPr>
          <w:rFonts w:cs="Noto Serif"/>
        </w:rPr>
        <w:t xml:space="preserve"> söylemi</w:t>
      </w:r>
      <w:r w:rsidRPr="00617081">
        <w:rPr>
          <w:rFonts w:cs="Cambria"/>
        </w:rPr>
        <w:t>ş</w:t>
      </w:r>
      <w:r w:rsidRPr="00617081">
        <w:rPr>
          <w:rFonts w:cs="Noto Serif"/>
        </w:rPr>
        <w:t>tir (</w:t>
      </w:r>
      <w:r w:rsidRPr="00617081">
        <w:rPr>
          <w:rFonts w:cs="Noto Serif"/>
          <w:color w:val="000000"/>
          <w:shd w:val="clear" w:color="auto" w:fill="FFFFFF"/>
        </w:rPr>
        <w:t xml:space="preserve">§ </w:t>
      </w:r>
      <w:r w:rsidRPr="00617081">
        <w:rPr>
          <w:rFonts w:cs="Noto Serif"/>
        </w:rPr>
        <w:t>317). Tam da A</w:t>
      </w:r>
      <w:r w:rsidRPr="00617081">
        <w:rPr>
          <w:rFonts w:cs="Cambria"/>
        </w:rPr>
        <w:t>İ</w:t>
      </w:r>
      <w:r w:rsidRPr="00617081">
        <w:rPr>
          <w:rFonts w:cs="Noto Serif"/>
        </w:rPr>
        <w:t>HM’in belirtti</w:t>
      </w:r>
      <w:r w:rsidRPr="00617081">
        <w:rPr>
          <w:rFonts w:cs="Cambria"/>
        </w:rPr>
        <w:t>ğ</w:t>
      </w:r>
      <w:r w:rsidRPr="00617081">
        <w:rPr>
          <w:rFonts w:cs="Noto Serif"/>
        </w:rPr>
        <w:t xml:space="preserve">i gibi verilerin tesliminden önce </w:t>
      </w:r>
      <w:r w:rsidRPr="00617081">
        <w:rPr>
          <w:rFonts w:cs="Noto Serif"/>
          <w:b/>
          <w:bCs/>
        </w:rPr>
        <w:t>M</w:t>
      </w:r>
      <w:r w:rsidRPr="00617081">
        <w:rPr>
          <w:rFonts w:cs="Cambria"/>
          <w:b/>
          <w:bCs/>
        </w:rPr>
        <w:t>İ</w:t>
      </w:r>
      <w:r w:rsidRPr="00617081">
        <w:rPr>
          <w:rFonts w:cs="Noto Serif"/>
          <w:b/>
          <w:bCs/>
        </w:rPr>
        <w:t>T’in v</w:t>
      </w:r>
      <w:r w:rsidRPr="00617081">
        <w:rPr>
          <w:rFonts w:cs="Noto Serif"/>
          <w:b/>
          <w:bCs/>
          <w:shd w:val="clear" w:color="auto" w:fill="FFFFFF"/>
        </w:rPr>
        <w:t>eriler üzerinde aylarca çal</w:t>
      </w:r>
      <w:r w:rsidRPr="00617081">
        <w:rPr>
          <w:rFonts w:cs="Cambria"/>
          <w:b/>
          <w:bCs/>
          <w:shd w:val="clear" w:color="auto" w:fill="FFFFFF"/>
        </w:rPr>
        <w:t>ışı</w:t>
      </w:r>
      <w:r w:rsidRPr="00617081">
        <w:rPr>
          <w:rFonts w:cs="Noto Serif"/>
          <w:b/>
          <w:bCs/>
          <w:shd w:val="clear" w:color="auto" w:fill="FFFFFF"/>
        </w:rPr>
        <w:t>p bütünlüklerini bozdu</w:t>
      </w:r>
      <w:r w:rsidRPr="00617081">
        <w:rPr>
          <w:rFonts w:cs="Cambria"/>
          <w:b/>
          <w:bCs/>
          <w:shd w:val="clear" w:color="auto" w:fill="FFFFFF"/>
        </w:rPr>
        <w:t>ğ</w:t>
      </w:r>
      <w:r w:rsidRPr="00617081">
        <w:rPr>
          <w:rFonts w:cs="Noto Serif"/>
          <w:b/>
          <w:bCs/>
          <w:shd w:val="clear" w:color="auto" w:fill="FFFFFF"/>
        </w:rPr>
        <w:t>u iddialar</w:t>
      </w:r>
      <w:r w:rsidRPr="00617081">
        <w:rPr>
          <w:rFonts w:cs="Cambria"/>
          <w:b/>
          <w:bCs/>
          <w:shd w:val="clear" w:color="auto" w:fill="FFFFFF"/>
        </w:rPr>
        <w:t>ı</w:t>
      </w:r>
      <w:r w:rsidRPr="00617081">
        <w:rPr>
          <w:rFonts w:cs="Noto Serif"/>
          <w:b/>
          <w:bCs/>
          <w:shd w:val="clear" w:color="auto" w:fill="FFFFFF"/>
        </w:rPr>
        <w:t xml:space="preserve"> hiçbir yarg</w:t>
      </w:r>
      <w:r w:rsidRPr="00617081">
        <w:rPr>
          <w:rFonts w:cs="Cambria"/>
          <w:b/>
          <w:bCs/>
          <w:shd w:val="clear" w:color="auto" w:fill="FFFFFF"/>
        </w:rPr>
        <w:t>ı</w:t>
      </w:r>
      <w:r w:rsidRPr="00617081">
        <w:rPr>
          <w:rFonts w:cs="Noto Serif"/>
          <w:b/>
          <w:bCs/>
          <w:shd w:val="clear" w:color="auto" w:fill="FFFFFF"/>
        </w:rPr>
        <w:t>lamada dikkate al</w:t>
      </w:r>
      <w:r w:rsidRPr="00617081">
        <w:rPr>
          <w:rFonts w:cs="Cambria"/>
          <w:b/>
          <w:bCs/>
          <w:shd w:val="clear" w:color="auto" w:fill="FFFFFF"/>
        </w:rPr>
        <w:t>ı</w:t>
      </w:r>
      <w:r w:rsidRPr="00617081">
        <w:rPr>
          <w:rFonts w:cs="Noto Serif"/>
          <w:b/>
          <w:bCs/>
          <w:shd w:val="clear" w:color="auto" w:fill="FFFFFF"/>
        </w:rPr>
        <w:t>nmam</w:t>
      </w:r>
      <w:r w:rsidRPr="00617081">
        <w:rPr>
          <w:rFonts w:cs="Cambria"/>
          <w:b/>
          <w:bCs/>
          <w:shd w:val="clear" w:color="auto" w:fill="FFFFFF"/>
        </w:rPr>
        <w:t>ış</w:t>
      </w:r>
      <w:r w:rsidRPr="00617081">
        <w:rPr>
          <w:rFonts w:cs="Noto Serif"/>
          <w:shd w:val="clear" w:color="auto" w:fill="FFFFFF"/>
        </w:rPr>
        <w:t xml:space="preserve"> ve sanki böyle bir </w:t>
      </w:r>
      <w:r w:rsidRPr="00617081">
        <w:rPr>
          <w:rFonts w:cs="Cambria"/>
          <w:shd w:val="clear" w:color="auto" w:fill="FFFFFF"/>
        </w:rPr>
        <w:t>ş</w:t>
      </w:r>
      <w:r w:rsidRPr="00617081">
        <w:rPr>
          <w:rFonts w:cs="Noto Serif"/>
          <w:shd w:val="clear" w:color="auto" w:fill="FFFFFF"/>
        </w:rPr>
        <w:t>ey olamam</w:t>
      </w:r>
      <w:r w:rsidRPr="00617081">
        <w:rPr>
          <w:rFonts w:cs="Cambria"/>
          <w:shd w:val="clear" w:color="auto" w:fill="FFFFFF"/>
        </w:rPr>
        <w:t>ış</w:t>
      </w:r>
      <w:r w:rsidRPr="00617081">
        <w:rPr>
          <w:rFonts w:cs="Noto Serif"/>
          <w:shd w:val="clear" w:color="auto" w:fill="FFFFFF"/>
        </w:rPr>
        <w:t xml:space="preserve"> gibi Bylock hukuka uygun delil kabul edilip en önemli ve hatta tek cezaland</w:t>
      </w:r>
      <w:r w:rsidRPr="00617081">
        <w:rPr>
          <w:rFonts w:cs="Cambria"/>
          <w:shd w:val="clear" w:color="auto" w:fill="FFFFFF"/>
        </w:rPr>
        <w:t>ı</w:t>
      </w:r>
      <w:r w:rsidRPr="00617081">
        <w:rPr>
          <w:rFonts w:cs="Noto Serif"/>
          <w:shd w:val="clear" w:color="auto" w:fill="FFFFFF"/>
        </w:rPr>
        <w:t>rma gerekçesi yap</w:t>
      </w:r>
      <w:r w:rsidRPr="00617081">
        <w:rPr>
          <w:rFonts w:cs="Cambria"/>
          <w:shd w:val="clear" w:color="auto" w:fill="FFFFFF"/>
        </w:rPr>
        <w:t>ı</w:t>
      </w:r>
      <w:r w:rsidRPr="00617081">
        <w:rPr>
          <w:rFonts w:cs="Noto Serif"/>
          <w:shd w:val="clear" w:color="auto" w:fill="FFFFFF"/>
        </w:rPr>
        <w:t>lm</w:t>
      </w:r>
      <w:r w:rsidRPr="00617081">
        <w:rPr>
          <w:rFonts w:cs="Cambria"/>
          <w:shd w:val="clear" w:color="auto" w:fill="FFFFFF"/>
        </w:rPr>
        <w:t>ış</w:t>
      </w:r>
      <w:r w:rsidRPr="00617081">
        <w:rPr>
          <w:rFonts w:cs="Noto Serif"/>
          <w:shd w:val="clear" w:color="auto" w:fill="FFFFFF"/>
        </w:rPr>
        <w:t>t</w:t>
      </w:r>
      <w:r w:rsidRPr="00617081">
        <w:rPr>
          <w:rFonts w:cs="Cambria"/>
          <w:shd w:val="clear" w:color="auto" w:fill="FFFFFF"/>
        </w:rPr>
        <w:t>ı</w:t>
      </w:r>
      <w:r w:rsidRPr="00617081">
        <w:rPr>
          <w:rFonts w:cs="Noto Serif"/>
          <w:shd w:val="clear" w:color="auto" w:fill="FFFFFF"/>
        </w:rPr>
        <w:t>r.</w:t>
      </w:r>
    </w:p>
    <w:p w14:paraId="49FE6811" w14:textId="466FC1A6" w:rsidR="00E52E47" w:rsidRPr="00617081" w:rsidRDefault="00E52E47" w:rsidP="0065557D">
      <w:pPr>
        <w:pStyle w:val="Balk3"/>
        <w:rPr>
          <w:rFonts w:ascii="Palatino Linotype" w:hAnsi="Palatino Linotype"/>
        </w:rPr>
      </w:pPr>
      <w:bookmarkStart w:id="18" w:name="_Toc151927100"/>
      <w:r w:rsidRPr="00617081">
        <w:rPr>
          <w:rFonts w:ascii="Palatino Linotype" w:hAnsi="Palatino Linotype"/>
        </w:rPr>
        <w:t>Verilerin Tesliminden Önce Veri Bütünlüklerin Nas</w:t>
      </w:r>
      <w:r w:rsidRPr="00617081">
        <w:rPr>
          <w:rFonts w:ascii="Palatino Linotype" w:hAnsi="Palatino Linotype" w:cs="Cambria"/>
        </w:rPr>
        <w:t>ı</w:t>
      </w:r>
      <w:r w:rsidRPr="00617081">
        <w:rPr>
          <w:rFonts w:ascii="Palatino Linotype" w:hAnsi="Palatino Linotype"/>
        </w:rPr>
        <w:t>l Sa</w:t>
      </w:r>
      <w:r w:rsidRPr="00617081">
        <w:rPr>
          <w:rFonts w:ascii="Palatino Linotype" w:hAnsi="Palatino Linotype" w:cs="Cambria"/>
        </w:rPr>
        <w:t>ğ</w:t>
      </w:r>
      <w:r w:rsidRPr="00617081">
        <w:rPr>
          <w:rFonts w:ascii="Palatino Linotype" w:hAnsi="Palatino Linotype"/>
        </w:rPr>
        <w:t>land</w:t>
      </w:r>
      <w:r w:rsidRPr="00617081">
        <w:rPr>
          <w:rFonts w:ascii="Palatino Linotype" w:hAnsi="Palatino Linotype" w:cs="Cambria"/>
        </w:rPr>
        <w:t>ığı</w:t>
      </w:r>
      <w:r w:rsidRPr="00617081">
        <w:rPr>
          <w:rFonts w:ascii="Palatino Linotype" w:hAnsi="Palatino Linotype"/>
        </w:rPr>
        <w:t xml:space="preserve"> Belli De</w:t>
      </w:r>
      <w:r w:rsidRPr="00617081">
        <w:rPr>
          <w:rFonts w:ascii="Palatino Linotype" w:hAnsi="Palatino Linotype" w:cs="Cambria"/>
        </w:rPr>
        <w:t>ğ</w:t>
      </w:r>
      <w:r w:rsidRPr="00617081">
        <w:rPr>
          <w:rFonts w:ascii="Palatino Linotype" w:hAnsi="Palatino Linotype"/>
        </w:rPr>
        <w:t>ildir</w:t>
      </w:r>
      <w:bookmarkEnd w:id="18"/>
    </w:p>
    <w:p w14:paraId="3FEB41CC"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rPr>
        <w:t>Ayn</w:t>
      </w:r>
      <w:r w:rsidRPr="00617081">
        <w:rPr>
          <w:rFonts w:cs="Cambria"/>
        </w:rPr>
        <w:t>ı</w:t>
      </w:r>
      <w:r w:rsidRPr="00617081">
        <w:rPr>
          <w:rFonts w:cs="Noto Serif"/>
        </w:rPr>
        <w:t xml:space="preserve"> </w:t>
      </w:r>
      <w:r w:rsidRPr="00617081">
        <w:rPr>
          <w:rFonts w:cs="Cambria"/>
        </w:rPr>
        <w:t>ş</w:t>
      </w:r>
      <w:r w:rsidRPr="00617081">
        <w:rPr>
          <w:rFonts w:cs="Noto Serif"/>
        </w:rPr>
        <w:t>ekilde A</w:t>
      </w:r>
      <w:r w:rsidRPr="00617081">
        <w:rPr>
          <w:rFonts w:cs="Cambria"/>
        </w:rPr>
        <w:t>İ</w:t>
      </w:r>
      <w:r w:rsidRPr="00617081">
        <w:rPr>
          <w:rFonts w:cs="Noto Serif"/>
        </w:rPr>
        <w:t>HM; ulusal mahkemelerin, sunucudan elde edilen verilerin bütünlü</w:t>
      </w:r>
      <w:r w:rsidRPr="00617081">
        <w:rPr>
          <w:rFonts w:cs="Cambria"/>
        </w:rPr>
        <w:t>ğ</w:t>
      </w:r>
      <w:r w:rsidRPr="00617081">
        <w:rPr>
          <w:rFonts w:cs="Noto Serif"/>
        </w:rPr>
        <w:t xml:space="preserve">ünün özellikle 09/12/2016’da </w:t>
      </w:r>
      <w:r w:rsidRPr="00617081">
        <w:rPr>
          <w:rFonts w:cs="Noto Serif"/>
          <w:b/>
          <w:bCs/>
        </w:rPr>
        <w:t>savc</w:t>
      </w:r>
      <w:r w:rsidRPr="00617081">
        <w:rPr>
          <w:rFonts w:cs="Cambria"/>
          <w:b/>
          <w:bCs/>
        </w:rPr>
        <w:t>ı</w:t>
      </w:r>
      <w:r w:rsidRPr="00617081">
        <w:rPr>
          <w:rFonts w:cs="Noto Serif"/>
          <w:b/>
          <w:bCs/>
        </w:rPr>
        <w:t>l</w:t>
      </w:r>
      <w:r w:rsidRPr="00617081">
        <w:rPr>
          <w:rFonts w:cs="Cambria"/>
          <w:b/>
          <w:bCs/>
        </w:rPr>
        <w:t>ığ</w:t>
      </w:r>
      <w:r w:rsidRPr="00617081">
        <w:rPr>
          <w:rFonts w:cs="Noto Serif"/>
          <w:b/>
          <w:bCs/>
        </w:rPr>
        <w:t>a tesliminden önceki dönemde nas</w:t>
      </w:r>
      <w:r w:rsidRPr="00617081">
        <w:rPr>
          <w:rFonts w:cs="Cambria"/>
          <w:b/>
          <w:bCs/>
        </w:rPr>
        <w:t>ı</w:t>
      </w:r>
      <w:r w:rsidRPr="00617081">
        <w:rPr>
          <w:rFonts w:cs="Noto Serif"/>
          <w:b/>
          <w:bCs/>
        </w:rPr>
        <w:t xml:space="preserve">l </w:t>
      </w:r>
      <w:r w:rsidRPr="00617081">
        <w:rPr>
          <w:rFonts w:cs="Noto Serif"/>
          <w:b/>
          <w:bCs/>
        </w:rPr>
        <w:lastRenderedPageBreak/>
        <w:t>sa</w:t>
      </w:r>
      <w:r w:rsidRPr="00617081">
        <w:rPr>
          <w:rFonts w:cs="Cambria"/>
          <w:b/>
          <w:bCs/>
        </w:rPr>
        <w:t>ğ</w:t>
      </w:r>
      <w:r w:rsidRPr="00617081">
        <w:rPr>
          <w:rFonts w:cs="Noto Serif"/>
          <w:b/>
          <w:bCs/>
        </w:rPr>
        <w:t>land</w:t>
      </w:r>
      <w:r w:rsidRPr="00617081">
        <w:rPr>
          <w:rFonts w:cs="Cambria"/>
          <w:b/>
          <w:bCs/>
        </w:rPr>
        <w:t>ığı</w:t>
      </w:r>
      <w:r w:rsidRPr="00617081">
        <w:rPr>
          <w:rFonts w:cs="Noto Serif"/>
          <w:b/>
          <w:bCs/>
        </w:rPr>
        <w:t xml:space="preserve"> konusuna de</w:t>
      </w:r>
      <w:r w:rsidRPr="00617081">
        <w:rPr>
          <w:rFonts w:cs="Cambria"/>
          <w:b/>
          <w:bCs/>
        </w:rPr>
        <w:t>ğ</w:t>
      </w:r>
      <w:r w:rsidRPr="00617081">
        <w:rPr>
          <w:rFonts w:cs="Noto Serif"/>
          <w:b/>
          <w:bCs/>
        </w:rPr>
        <w:t>inmediklerini ve bu konunun ele al</w:t>
      </w:r>
      <w:r w:rsidRPr="00617081">
        <w:rPr>
          <w:rFonts w:cs="Cambria"/>
          <w:b/>
          <w:bCs/>
        </w:rPr>
        <w:t>ı</w:t>
      </w:r>
      <w:r w:rsidRPr="00617081">
        <w:rPr>
          <w:rFonts w:cs="Noto Serif"/>
          <w:b/>
          <w:bCs/>
        </w:rPr>
        <w:t>nd</w:t>
      </w:r>
      <w:r w:rsidRPr="00617081">
        <w:rPr>
          <w:rFonts w:cs="Cambria"/>
          <w:b/>
          <w:bCs/>
        </w:rPr>
        <w:t>ığı</w:t>
      </w:r>
      <w:r w:rsidRPr="00617081">
        <w:rPr>
          <w:rFonts w:cs="Noto Serif"/>
          <w:b/>
          <w:bCs/>
        </w:rPr>
        <w:t xml:space="preserve"> ba</w:t>
      </w:r>
      <w:r w:rsidRPr="00617081">
        <w:rPr>
          <w:rFonts w:cs="Cambria"/>
          <w:b/>
          <w:bCs/>
        </w:rPr>
        <w:t>ş</w:t>
      </w:r>
      <w:r w:rsidRPr="00617081">
        <w:rPr>
          <w:rFonts w:cs="Noto Serif"/>
          <w:b/>
          <w:bCs/>
        </w:rPr>
        <w:t>ka herhangi bir karara veya prosedüre de at</w:t>
      </w:r>
      <w:r w:rsidRPr="00617081">
        <w:rPr>
          <w:rFonts w:cs="Cambria"/>
          <w:b/>
          <w:bCs/>
        </w:rPr>
        <w:t>ı</w:t>
      </w:r>
      <w:r w:rsidRPr="00617081">
        <w:rPr>
          <w:rFonts w:cs="Noto Serif"/>
          <w:b/>
          <w:bCs/>
        </w:rPr>
        <w:t>fta bulunulmad</w:t>
      </w:r>
      <w:r w:rsidRPr="00617081">
        <w:rPr>
          <w:rFonts w:cs="Cambria"/>
          <w:b/>
          <w:bCs/>
        </w:rPr>
        <w:t>ığı</w:t>
      </w:r>
      <w:r w:rsidRPr="00617081">
        <w:rPr>
          <w:rFonts w:cs="Noto Serif"/>
          <w:b/>
          <w:bCs/>
        </w:rPr>
        <w:t>n</w:t>
      </w:r>
      <w:r w:rsidRPr="00617081">
        <w:rPr>
          <w:rFonts w:cs="Cambria"/>
          <w:b/>
          <w:bCs/>
        </w:rPr>
        <w:t>ı</w:t>
      </w:r>
      <w:r w:rsidRPr="00617081">
        <w:rPr>
          <w:rFonts w:cs="Noto Serif"/>
        </w:rPr>
        <w:t xml:space="preserve"> da söylemi</w:t>
      </w:r>
      <w:r w:rsidRPr="00617081">
        <w:rPr>
          <w:rFonts w:cs="Cambria"/>
        </w:rPr>
        <w:t>ş</w:t>
      </w:r>
      <w:r w:rsidRPr="00617081">
        <w:rPr>
          <w:rFonts w:cs="Noto Serif"/>
        </w:rPr>
        <w:t>tir.</w:t>
      </w:r>
    </w:p>
    <w:p w14:paraId="3F480C9F"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rPr>
        <w:t>Ayr</w:t>
      </w:r>
      <w:r w:rsidRPr="00617081">
        <w:rPr>
          <w:rFonts w:cs="Cambria"/>
        </w:rPr>
        <w:t>ı</w:t>
      </w:r>
      <w:r w:rsidRPr="00617081">
        <w:rPr>
          <w:rFonts w:cs="Noto Serif"/>
        </w:rPr>
        <w:t>ca mahkemeler, ByLock verilerinin M</w:t>
      </w:r>
      <w:r w:rsidRPr="00617081">
        <w:rPr>
          <w:rFonts w:cs="Cambria"/>
        </w:rPr>
        <w:t>İ</w:t>
      </w:r>
      <w:r w:rsidRPr="00617081">
        <w:rPr>
          <w:rFonts w:cs="Noto Serif"/>
        </w:rPr>
        <w:t>T taraf</w:t>
      </w:r>
      <w:r w:rsidRPr="00617081">
        <w:rPr>
          <w:rFonts w:cs="Cambria"/>
        </w:rPr>
        <w:t>ı</w:t>
      </w:r>
      <w:r w:rsidRPr="00617081">
        <w:rPr>
          <w:rFonts w:cs="Noto Serif"/>
        </w:rPr>
        <w:t>ndan toplanmas</w:t>
      </w:r>
      <w:r w:rsidRPr="00617081">
        <w:rPr>
          <w:rFonts w:cs="Cambria"/>
        </w:rPr>
        <w:t>ı</w:t>
      </w:r>
      <w:r w:rsidRPr="00617081">
        <w:rPr>
          <w:rFonts w:cs="Noto Serif"/>
        </w:rPr>
        <w:t xml:space="preserve"> ile sulh ceza hâkimli</w:t>
      </w:r>
      <w:r w:rsidRPr="00617081">
        <w:rPr>
          <w:rFonts w:cs="Cambria"/>
        </w:rPr>
        <w:t>ğ</w:t>
      </w:r>
      <w:r w:rsidRPr="00617081">
        <w:rPr>
          <w:rFonts w:cs="Noto Serif"/>
        </w:rPr>
        <w:t>inin bunlar</w:t>
      </w:r>
      <w:r w:rsidRPr="00617081">
        <w:rPr>
          <w:rFonts w:cs="Cambria"/>
        </w:rPr>
        <w:t>ı</w:t>
      </w:r>
      <w:r w:rsidRPr="00617081">
        <w:rPr>
          <w:rFonts w:cs="Noto Serif"/>
        </w:rPr>
        <w:t>n incelenmesine yönelik müteakip karar</w:t>
      </w:r>
      <w:r w:rsidRPr="00617081">
        <w:rPr>
          <w:rFonts w:cs="Cambria"/>
        </w:rPr>
        <w:t>ı</w:t>
      </w:r>
      <w:r w:rsidRPr="00617081">
        <w:rPr>
          <w:rFonts w:cs="Noto Serif"/>
        </w:rPr>
        <w:t xml:space="preserve"> aras</w:t>
      </w:r>
      <w:r w:rsidRPr="00617081">
        <w:rPr>
          <w:rFonts w:cs="Cambria"/>
        </w:rPr>
        <w:t>ı</w:t>
      </w:r>
      <w:r w:rsidRPr="00617081">
        <w:rPr>
          <w:rFonts w:cs="Noto Serif"/>
        </w:rPr>
        <w:t xml:space="preserve">nda, </w:t>
      </w:r>
      <w:r w:rsidRPr="00617081">
        <w:rPr>
          <w:rFonts w:cs="Noto Serif"/>
          <w:b/>
          <w:bCs/>
        </w:rPr>
        <w:t>ByLock verilerinin zaten üzerinde çal</w:t>
      </w:r>
      <w:r w:rsidRPr="00617081">
        <w:rPr>
          <w:rFonts w:cs="Cambria"/>
          <w:b/>
          <w:bCs/>
        </w:rPr>
        <w:t>ışı</w:t>
      </w:r>
      <w:r w:rsidRPr="00617081">
        <w:rPr>
          <w:rFonts w:cs="Noto Serif"/>
          <w:b/>
          <w:bCs/>
        </w:rPr>
        <w:t>lm</w:t>
      </w:r>
      <w:r w:rsidRPr="00617081">
        <w:rPr>
          <w:rFonts w:cs="Cambria"/>
          <w:b/>
          <w:bCs/>
        </w:rPr>
        <w:t>ış</w:t>
      </w:r>
      <w:r w:rsidRPr="00617081">
        <w:rPr>
          <w:rFonts w:cs="Noto Serif"/>
          <w:b/>
          <w:bCs/>
        </w:rPr>
        <w:t xml:space="preserve"> oldu</w:t>
      </w:r>
      <w:r w:rsidRPr="00617081">
        <w:rPr>
          <w:rFonts w:cs="Cambria"/>
          <w:b/>
          <w:bCs/>
        </w:rPr>
        <w:t>ğ</w:t>
      </w:r>
      <w:r w:rsidRPr="00617081">
        <w:rPr>
          <w:rFonts w:cs="Noto Serif"/>
          <w:b/>
          <w:bCs/>
        </w:rPr>
        <w:t>u ve yaln</w:t>
      </w:r>
      <w:r w:rsidRPr="00617081">
        <w:rPr>
          <w:rFonts w:cs="Cambria"/>
          <w:b/>
          <w:bCs/>
        </w:rPr>
        <w:t>ı</w:t>
      </w:r>
      <w:r w:rsidRPr="00617081">
        <w:rPr>
          <w:rFonts w:cs="Noto Serif"/>
          <w:b/>
          <w:bCs/>
        </w:rPr>
        <w:t>zca istihbarat amac</w:t>
      </w:r>
      <w:r w:rsidRPr="00617081">
        <w:rPr>
          <w:rFonts w:cs="Cambria"/>
          <w:b/>
          <w:bCs/>
        </w:rPr>
        <w:t>ı</w:t>
      </w:r>
      <w:r w:rsidRPr="00617081">
        <w:rPr>
          <w:rFonts w:cs="Noto Serif"/>
          <w:b/>
          <w:bCs/>
        </w:rPr>
        <w:t>yla de</w:t>
      </w:r>
      <w:r w:rsidRPr="00617081">
        <w:rPr>
          <w:rFonts w:cs="Cambria"/>
          <w:b/>
          <w:bCs/>
        </w:rPr>
        <w:t>ğ</w:t>
      </w:r>
      <w:r w:rsidRPr="00617081">
        <w:rPr>
          <w:rFonts w:cs="Noto Serif"/>
          <w:b/>
          <w:bCs/>
        </w:rPr>
        <w:t>il, ayn</w:t>
      </w:r>
      <w:r w:rsidRPr="00617081">
        <w:rPr>
          <w:rFonts w:cs="Cambria"/>
          <w:b/>
          <w:bCs/>
        </w:rPr>
        <w:t>ı</w:t>
      </w:r>
      <w:r w:rsidRPr="00617081">
        <w:rPr>
          <w:rFonts w:cs="Noto Serif"/>
          <w:b/>
          <w:bCs/>
        </w:rPr>
        <w:t xml:space="preserve"> zamanda ba</w:t>
      </w:r>
      <w:r w:rsidRPr="00617081">
        <w:rPr>
          <w:rFonts w:cs="Cambria"/>
          <w:b/>
          <w:bCs/>
        </w:rPr>
        <w:t>ş</w:t>
      </w:r>
      <w:r w:rsidRPr="00617081">
        <w:rPr>
          <w:rFonts w:cs="Noto Serif"/>
          <w:b/>
          <w:bCs/>
        </w:rPr>
        <w:t xml:space="preserve">vuran da dahil olmak üzere </w:t>
      </w:r>
      <w:r w:rsidRPr="00617081">
        <w:rPr>
          <w:rFonts w:cs="Cambria"/>
          <w:b/>
          <w:bCs/>
        </w:rPr>
        <w:t>ş</w:t>
      </w:r>
      <w:r w:rsidRPr="00617081">
        <w:rPr>
          <w:rFonts w:cs="Noto Serif"/>
          <w:b/>
          <w:bCs/>
        </w:rPr>
        <w:t>üphelilerin soru</w:t>
      </w:r>
      <w:r w:rsidRPr="00617081">
        <w:rPr>
          <w:rFonts w:cs="Cambria"/>
          <w:b/>
          <w:bCs/>
        </w:rPr>
        <w:t>ş</w:t>
      </w:r>
      <w:r w:rsidRPr="00617081">
        <w:rPr>
          <w:rFonts w:cs="Noto Serif"/>
          <w:b/>
          <w:bCs/>
        </w:rPr>
        <w:t>turulmas</w:t>
      </w:r>
      <w:r w:rsidRPr="00617081">
        <w:rPr>
          <w:rFonts w:cs="Cambria"/>
          <w:b/>
          <w:bCs/>
        </w:rPr>
        <w:t>ı</w:t>
      </w:r>
      <w:r w:rsidRPr="00617081">
        <w:rPr>
          <w:rFonts w:cs="Noto Serif"/>
          <w:b/>
          <w:bCs/>
        </w:rPr>
        <w:t xml:space="preserve"> ve tutuklanmas</w:t>
      </w:r>
      <w:r w:rsidRPr="00617081">
        <w:rPr>
          <w:rFonts w:cs="Cambria"/>
          <w:b/>
          <w:bCs/>
        </w:rPr>
        <w:t>ı</w:t>
      </w:r>
      <w:r w:rsidRPr="00617081">
        <w:rPr>
          <w:rFonts w:cs="Noto Serif"/>
          <w:b/>
          <w:bCs/>
        </w:rPr>
        <w:t xml:space="preserve"> için suç delili olarak kullan</w:t>
      </w:r>
      <w:r w:rsidRPr="00617081">
        <w:rPr>
          <w:rFonts w:cs="Cambria"/>
          <w:b/>
          <w:bCs/>
        </w:rPr>
        <w:t>ı</w:t>
      </w:r>
      <w:r w:rsidRPr="00617081">
        <w:rPr>
          <w:rFonts w:cs="Noto Serif"/>
          <w:b/>
          <w:bCs/>
        </w:rPr>
        <w:t>ld</w:t>
      </w:r>
      <w:r w:rsidRPr="00617081">
        <w:rPr>
          <w:rFonts w:cs="Cambria"/>
          <w:b/>
          <w:bCs/>
        </w:rPr>
        <w:t>ığı</w:t>
      </w:r>
      <w:r w:rsidRPr="00617081">
        <w:rPr>
          <w:rFonts w:cs="Noto Serif"/>
          <w:b/>
          <w:bCs/>
        </w:rPr>
        <w:t xml:space="preserve"> gerçe</w:t>
      </w:r>
      <w:r w:rsidRPr="00617081">
        <w:rPr>
          <w:rFonts w:cs="Cambria"/>
          <w:b/>
          <w:bCs/>
        </w:rPr>
        <w:t>ğ</w:t>
      </w:r>
      <w:r w:rsidRPr="00617081">
        <w:rPr>
          <w:rFonts w:cs="Noto Serif"/>
          <w:b/>
          <w:bCs/>
        </w:rPr>
        <w:t>ini hesaba katmam</w:t>
      </w:r>
      <w:r w:rsidRPr="00617081">
        <w:rPr>
          <w:rFonts w:cs="Cambria"/>
          <w:b/>
          <w:bCs/>
        </w:rPr>
        <w:t>ış</w:t>
      </w:r>
      <w:r w:rsidRPr="00617081">
        <w:rPr>
          <w:rFonts w:cs="Noto Serif"/>
          <w:b/>
          <w:bCs/>
        </w:rPr>
        <w:t>lard</w:t>
      </w:r>
      <w:r w:rsidRPr="00617081">
        <w:rPr>
          <w:rFonts w:cs="Cambria"/>
          <w:b/>
          <w:bCs/>
        </w:rPr>
        <w:t>ı</w:t>
      </w:r>
      <w:r w:rsidRPr="00617081">
        <w:rPr>
          <w:rFonts w:cs="Noto Serif"/>
          <w:b/>
          <w:bCs/>
        </w:rPr>
        <w:t>r.</w:t>
      </w:r>
      <w:r w:rsidRPr="00617081">
        <w:rPr>
          <w:rFonts w:cs="Noto Serif"/>
        </w:rPr>
        <w:t xml:space="preserve"> Benzer </w:t>
      </w:r>
      <w:r w:rsidRPr="00617081">
        <w:rPr>
          <w:rFonts w:cs="Cambria"/>
        </w:rPr>
        <w:t>ş</w:t>
      </w:r>
      <w:r w:rsidRPr="00617081">
        <w:rPr>
          <w:rFonts w:cs="Noto Serif"/>
        </w:rPr>
        <w:t>ekilde, M</w:t>
      </w:r>
      <w:r w:rsidRPr="00617081">
        <w:rPr>
          <w:rFonts w:cs="Cambria"/>
        </w:rPr>
        <w:t>İ</w:t>
      </w:r>
      <w:r w:rsidRPr="00617081">
        <w:rPr>
          <w:rFonts w:cs="Noto Serif"/>
        </w:rPr>
        <w:t>T’in ceza yarg</w:t>
      </w:r>
      <w:r w:rsidRPr="00617081">
        <w:rPr>
          <w:rFonts w:cs="Cambria"/>
        </w:rPr>
        <w:t>ı</w:t>
      </w:r>
      <w:r w:rsidRPr="00617081">
        <w:rPr>
          <w:rFonts w:cs="Noto Serif"/>
        </w:rPr>
        <w:t>lamalar</w:t>
      </w:r>
      <w:r w:rsidRPr="00617081">
        <w:rPr>
          <w:rFonts w:cs="Cambria"/>
        </w:rPr>
        <w:t>ı</w:t>
      </w:r>
      <w:r w:rsidRPr="00617081">
        <w:rPr>
          <w:rFonts w:cs="Noto Serif"/>
        </w:rPr>
        <w:t>nda delil olarak kullan</w:t>
      </w:r>
      <w:r w:rsidRPr="00617081">
        <w:rPr>
          <w:rFonts w:cs="Cambria"/>
        </w:rPr>
        <w:t>ı</w:t>
      </w:r>
      <w:r w:rsidRPr="00617081">
        <w:rPr>
          <w:rFonts w:cs="Noto Serif"/>
        </w:rPr>
        <w:t xml:space="preserve">lmak üzere </w:t>
      </w:r>
      <w:r w:rsidRPr="00617081">
        <w:rPr>
          <w:rFonts w:cs="Noto Serif"/>
          <w:b/>
          <w:bCs/>
        </w:rPr>
        <w:t>veri toplama yetkisinin bulunmad</w:t>
      </w:r>
      <w:r w:rsidRPr="00617081">
        <w:rPr>
          <w:rFonts w:cs="Cambria"/>
          <w:b/>
          <w:bCs/>
        </w:rPr>
        <w:t>ığı</w:t>
      </w:r>
      <w:r w:rsidRPr="00617081">
        <w:rPr>
          <w:rFonts w:cs="Noto Serif"/>
          <w:b/>
          <w:bCs/>
        </w:rPr>
        <w:t xml:space="preserve"> ve 09/12/2016’da verilen mahkeme karar</w:t>
      </w:r>
      <w:r w:rsidRPr="00617081">
        <w:rPr>
          <w:rFonts w:cs="Cambria"/>
          <w:b/>
          <w:bCs/>
        </w:rPr>
        <w:t>ı</w:t>
      </w:r>
      <w:r w:rsidRPr="00617081">
        <w:rPr>
          <w:rFonts w:cs="Noto Serif"/>
          <w:b/>
          <w:bCs/>
        </w:rPr>
        <w:t>n</w:t>
      </w:r>
      <w:r w:rsidRPr="00617081">
        <w:rPr>
          <w:rFonts w:cs="Cambria"/>
          <w:b/>
          <w:bCs/>
        </w:rPr>
        <w:t>ı</w:t>
      </w:r>
      <w:r w:rsidRPr="00617081">
        <w:rPr>
          <w:rFonts w:cs="Noto Serif"/>
          <w:b/>
          <w:bCs/>
        </w:rPr>
        <w:t xml:space="preserve">n bu </w:t>
      </w:r>
      <w:r w:rsidRPr="00617081">
        <w:rPr>
          <w:rFonts w:cs="Cambria"/>
          <w:b/>
          <w:bCs/>
        </w:rPr>
        <w:t>ş</w:t>
      </w:r>
      <w:r w:rsidRPr="00617081">
        <w:rPr>
          <w:rFonts w:cs="Noto Serif"/>
          <w:b/>
          <w:bCs/>
        </w:rPr>
        <w:t>ekilde toplanan delilleri geriye dönük olarak "hukuka uygun" ve güvenilir k</w:t>
      </w:r>
      <w:r w:rsidRPr="00617081">
        <w:rPr>
          <w:rFonts w:cs="Cambria"/>
          <w:b/>
          <w:bCs/>
        </w:rPr>
        <w:t>ı</w:t>
      </w:r>
      <w:r w:rsidRPr="00617081">
        <w:rPr>
          <w:rFonts w:cs="Noto Serif"/>
          <w:b/>
          <w:bCs/>
        </w:rPr>
        <w:t>lamayaca</w:t>
      </w:r>
      <w:r w:rsidRPr="00617081">
        <w:rPr>
          <w:rFonts w:cs="Cambria"/>
          <w:b/>
          <w:bCs/>
        </w:rPr>
        <w:t>ğı</w:t>
      </w:r>
      <w:r w:rsidRPr="00617081">
        <w:rPr>
          <w:rFonts w:cs="Noto Serif"/>
          <w:b/>
          <w:bCs/>
        </w:rPr>
        <w:t xml:space="preserve"> </w:t>
      </w:r>
      <w:r w:rsidRPr="00617081">
        <w:rPr>
          <w:rFonts w:cs="Noto Serif"/>
        </w:rPr>
        <w:t>yönündeki iddialar</w:t>
      </w:r>
      <w:r w:rsidRPr="00617081">
        <w:rPr>
          <w:rFonts w:cs="Cambria"/>
        </w:rPr>
        <w:t>ı</w:t>
      </w:r>
      <w:r w:rsidRPr="00617081">
        <w:rPr>
          <w:rFonts w:cs="Noto Serif"/>
        </w:rPr>
        <w:t xml:space="preserve"> ne istinaf ne de Yarg</w:t>
      </w:r>
      <w:r w:rsidRPr="00617081">
        <w:rPr>
          <w:rFonts w:cs="Cambria"/>
        </w:rPr>
        <w:t>ı</w:t>
      </w:r>
      <w:r w:rsidRPr="00617081">
        <w:rPr>
          <w:rFonts w:cs="Noto Serif"/>
        </w:rPr>
        <w:t>tay taraf</w:t>
      </w:r>
      <w:r w:rsidRPr="00617081">
        <w:rPr>
          <w:rFonts w:cs="Cambria"/>
        </w:rPr>
        <w:t>ı</w:t>
      </w:r>
      <w:r w:rsidRPr="00617081">
        <w:rPr>
          <w:rFonts w:cs="Noto Serif"/>
        </w:rPr>
        <w:t>ndan incelenmemi</w:t>
      </w:r>
      <w:r w:rsidRPr="00617081">
        <w:rPr>
          <w:rFonts w:cs="Cambria"/>
        </w:rPr>
        <w:t>ş</w:t>
      </w:r>
      <w:r w:rsidRPr="00617081">
        <w:rPr>
          <w:rFonts w:cs="Noto Serif"/>
        </w:rPr>
        <w:t>tir (</w:t>
      </w:r>
      <w:r w:rsidRPr="00617081">
        <w:rPr>
          <w:rFonts w:cs="Noto Serif"/>
          <w:color w:val="000000"/>
          <w:shd w:val="clear" w:color="auto" w:fill="FFFFFF"/>
        </w:rPr>
        <w:t xml:space="preserve">§ </w:t>
      </w:r>
      <w:r w:rsidRPr="00617081">
        <w:rPr>
          <w:rFonts w:cs="Noto Serif"/>
        </w:rPr>
        <w:t>334).</w:t>
      </w:r>
    </w:p>
    <w:p w14:paraId="4A18FD9D"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rPr>
        <w:t>Ba</w:t>
      </w:r>
      <w:r w:rsidRPr="00617081">
        <w:rPr>
          <w:rFonts w:cs="Cambria"/>
        </w:rPr>
        <w:t>ş</w:t>
      </w:r>
      <w:r w:rsidRPr="00617081">
        <w:rPr>
          <w:rFonts w:cs="Noto Serif"/>
        </w:rPr>
        <w:t>ka bir ifadeyle, Bylock verilerinin 09/12/2016’da savc</w:t>
      </w:r>
      <w:r w:rsidRPr="00617081">
        <w:rPr>
          <w:rFonts w:cs="Cambria"/>
        </w:rPr>
        <w:t>ı</w:t>
      </w:r>
      <w:r w:rsidRPr="00617081">
        <w:rPr>
          <w:rFonts w:cs="Noto Serif"/>
        </w:rPr>
        <w:t>l</w:t>
      </w:r>
      <w:r w:rsidRPr="00617081">
        <w:rPr>
          <w:rFonts w:cs="Cambria"/>
        </w:rPr>
        <w:t>ığ</w:t>
      </w:r>
      <w:r w:rsidRPr="00617081">
        <w:rPr>
          <w:rFonts w:cs="Noto Serif"/>
        </w:rPr>
        <w:t xml:space="preserve">a </w:t>
      </w:r>
      <w:r w:rsidRPr="00617081">
        <w:rPr>
          <w:rFonts w:cs="Noto Serif"/>
          <w:b/>
          <w:bCs/>
        </w:rPr>
        <w:t>teslimi s</w:t>
      </w:r>
      <w:r w:rsidRPr="00617081">
        <w:rPr>
          <w:rFonts w:cs="Cambria"/>
          <w:b/>
          <w:bCs/>
        </w:rPr>
        <w:t>ı</w:t>
      </w:r>
      <w:r w:rsidRPr="00617081">
        <w:rPr>
          <w:rFonts w:cs="Noto Serif"/>
          <w:b/>
          <w:bCs/>
        </w:rPr>
        <w:t>ras</w:t>
      </w:r>
      <w:r w:rsidRPr="00617081">
        <w:rPr>
          <w:rFonts w:cs="Cambria"/>
          <w:b/>
          <w:bCs/>
        </w:rPr>
        <w:t>ı</w:t>
      </w:r>
      <w:r w:rsidRPr="00617081">
        <w:rPr>
          <w:rFonts w:cs="Noto Serif"/>
          <w:b/>
          <w:bCs/>
        </w:rPr>
        <w:t>nda ve daha sonra bütünlüklerinin do</w:t>
      </w:r>
      <w:r w:rsidRPr="00617081">
        <w:rPr>
          <w:rFonts w:cs="Cambria"/>
          <w:b/>
          <w:bCs/>
        </w:rPr>
        <w:t>ğ</w:t>
      </w:r>
      <w:r w:rsidRPr="00617081">
        <w:rPr>
          <w:rFonts w:cs="Noto Serif"/>
          <w:b/>
          <w:bCs/>
        </w:rPr>
        <w:t>rulanmas</w:t>
      </w:r>
      <w:r w:rsidRPr="00617081">
        <w:rPr>
          <w:rFonts w:cs="Cambria"/>
          <w:b/>
          <w:bCs/>
        </w:rPr>
        <w:t>ı</w:t>
      </w:r>
      <w:r w:rsidRPr="00617081">
        <w:rPr>
          <w:rFonts w:cs="Noto Serif"/>
          <w:b/>
          <w:bCs/>
        </w:rPr>
        <w:t xml:space="preserve"> amac</w:t>
      </w:r>
      <w:r w:rsidRPr="00617081">
        <w:rPr>
          <w:rFonts w:cs="Cambria"/>
          <w:b/>
          <w:bCs/>
        </w:rPr>
        <w:t>ı</w:t>
      </w:r>
      <w:r w:rsidRPr="00617081">
        <w:rPr>
          <w:rFonts w:cs="Noto Serif"/>
          <w:b/>
          <w:bCs/>
        </w:rPr>
        <w:t>yla incelemeye tabi tutulduklar</w:t>
      </w:r>
      <w:r w:rsidRPr="00617081">
        <w:rPr>
          <w:rFonts w:cs="Cambria"/>
          <w:b/>
          <w:bCs/>
        </w:rPr>
        <w:t>ı</w:t>
      </w:r>
      <w:r w:rsidRPr="00617081">
        <w:rPr>
          <w:rFonts w:cs="Noto Serif"/>
          <w:b/>
          <w:bCs/>
        </w:rPr>
        <w:t>n</w:t>
      </w:r>
      <w:r w:rsidRPr="00617081">
        <w:rPr>
          <w:rFonts w:cs="Cambria"/>
          <w:b/>
          <w:bCs/>
        </w:rPr>
        <w:t>ı</w:t>
      </w:r>
      <w:r w:rsidRPr="00617081">
        <w:rPr>
          <w:rFonts w:cs="Noto Serif"/>
          <w:b/>
          <w:bCs/>
        </w:rPr>
        <w:t xml:space="preserve"> gösteren somut bir bilgi olmad</w:t>
      </w:r>
      <w:r w:rsidRPr="00617081">
        <w:rPr>
          <w:rFonts w:cs="Cambria"/>
          <w:b/>
          <w:bCs/>
        </w:rPr>
        <w:t>ığı</w:t>
      </w:r>
      <w:r w:rsidRPr="00617081">
        <w:rPr>
          <w:rFonts w:cs="Noto Serif"/>
          <w:b/>
          <w:bCs/>
        </w:rPr>
        <w:t xml:space="preserve"> gibi; verilerin M</w:t>
      </w:r>
      <w:r w:rsidRPr="00617081">
        <w:rPr>
          <w:rFonts w:cs="Cambria"/>
          <w:b/>
          <w:bCs/>
        </w:rPr>
        <w:t>İ</w:t>
      </w:r>
      <w:r w:rsidRPr="00617081">
        <w:rPr>
          <w:rFonts w:cs="Noto Serif"/>
          <w:b/>
          <w:bCs/>
        </w:rPr>
        <w:t>T taraf</w:t>
      </w:r>
      <w:r w:rsidRPr="00617081">
        <w:rPr>
          <w:rFonts w:cs="Cambria"/>
          <w:b/>
          <w:bCs/>
        </w:rPr>
        <w:t>ı</w:t>
      </w:r>
      <w:r w:rsidRPr="00617081">
        <w:rPr>
          <w:rFonts w:cs="Noto Serif"/>
          <w:b/>
          <w:bCs/>
        </w:rPr>
        <w:t>ndan tesliminden sonra adli makamlar taraf</w:t>
      </w:r>
      <w:r w:rsidRPr="00617081">
        <w:rPr>
          <w:rFonts w:cs="Cambria"/>
          <w:b/>
          <w:bCs/>
        </w:rPr>
        <w:t>ı</w:t>
      </w:r>
      <w:r w:rsidRPr="00617081">
        <w:rPr>
          <w:rFonts w:cs="Noto Serif"/>
          <w:b/>
          <w:bCs/>
        </w:rPr>
        <w:t>ndan al</w:t>
      </w:r>
      <w:r w:rsidRPr="00617081">
        <w:rPr>
          <w:rFonts w:cs="Cambria"/>
          <w:b/>
          <w:bCs/>
        </w:rPr>
        <w:t>ı</w:t>
      </w:r>
      <w:r w:rsidRPr="00617081">
        <w:rPr>
          <w:rFonts w:cs="Noto Serif"/>
          <w:b/>
          <w:bCs/>
        </w:rPr>
        <w:t>nan tedbirlere ili</w:t>
      </w:r>
      <w:r w:rsidRPr="00617081">
        <w:rPr>
          <w:rFonts w:cs="Cambria"/>
          <w:b/>
          <w:bCs/>
        </w:rPr>
        <w:t>ş</w:t>
      </w:r>
      <w:r w:rsidRPr="00617081">
        <w:rPr>
          <w:rFonts w:cs="Noto Serif"/>
          <w:b/>
          <w:bCs/>
        </w:rPr>
        <w:t>kin aç</w:t>
      </w:r>
      <w:r w:rsidRPr="00617081">
        <w:rPr>
          <w:rFonts w:cs="Cambria"/>
          <w:b/>
          <w:bCs/>
        </w:rPr>
        <w:t>ı</w:t>
      </w:r>
      <w:r w:rsidRPr="00617081">
        <w:rPr>
          <w:rFonts w:cs="Noto Serif"/>
          <w:b/>
          <w:bCs/>
        </w:rPr>
        <w:t>klamalar, ba</w:t>
      </w:r>
      <w:r w:rsidRPr="00617081">
        <w:rPr>
          <w:rFonts w:cs="Cambria"/>
          <w:b/>
          <w:bCs/>
        </w:rPr>
        <w:t>ş</w:t>
      </w:r>
      <w:r w:rsidRPr="00617081">
        <w:rPr>
          <w:rFonts w:cs="Noto Serif"/>
          <w:b/>
          <w:bCs/>
        </w:rPr>
        <w:t>vuran</w:t>
      </w:r>
      <w:r w:rsidRPr="00617081">
        <w:rPr>
          <w:rFonts w:cs="Cambria"/>
          <w:b/>
          <w:bCs/>
        </w:rPr>
        <w:t>ı</w:t>
      </w:r>
      <w:r w:rsidRPr="00617081">
        <w:rPr>
          <w:rFonts w:cs="Noto Serif"/>
          <w:b/>
          <w:bCs/>
        </w:rPr>
        <w:t>n endi</w:t>
      </w:r>
      <w:r w:rsidRPr="00617081">
        <w:rPr>
          <w:rFonts w:cs="Cambria"/>
          <w:b/>
          <w:bCs/>
        </w:rPr>
        <w:t>ş</w:t>
      </w:r>
      <w:r w:rsidRPr="00617081">
        <w:rPr>
          <w:rFonts w:cs="Noto Serif"/>
          <w:b/>
          <w:bCs/>
        </w:rPr>
        <w:t>esinin özü olan verilerin savc</w:t>
      </w:r>
      <w:r w:rsidRPr="00617081">
        <w:rPr>
          <w:rFonts w:cs="Cambria"/>
          <w:b/>
          <w:bCs/>
        </w:rPr>
        <w:t>ı</w:t>
      </w:r>
      <w:r w:rsidRPr="00617081">
        <w:rPr>
          <w:rFonts w:cs="Noto Serif"/>
          <w:b/>
          <w:bCs/>
        </w:rPr>
        <w:t>l</w:t>
      </w:r>
      <w:r w:rsidRPr="00617081">
        <w:rPr>
          <w:rFonts w:cs="Cambria"/>
          <w:b/>
          <w:bCs/>
        </w:rPr>
        <w:t>ığ</w:t>
      </w:r>
      <w:r w:rsidRPr="00617081">
        <w:rPr>
          <w:rFonts w:cs="Noto Serif"/>
          <w:b/>
          <w:bCs/>
        </w:rPr>
        <w:t>a teslimden önce bütünlü</w:t>
      </w:r>
      <w:r w:rsidRPr="00617081">
        <w:rPr>
          <w:rFonts w:cs="Cambria"/>
          <w:b/>
          <w:bCs/>
        </w:rPr>
        <w:t>ğ</w:t>
      </w:r>
      <w:r w:rsidRPr="00617081">
        <w:rPr>
          <w:rFonts w:cs="Noto Serif"/>
          <w:b/>
          <w:bCs/>
        </w:rPr>
        <w:t>ünün bozulup bozulmad</w:t>
      </w:r>
      <w:r w:rsidRPr="00617081">
        <w:rPr>
          <w:rFonts w:cs="Cambria"/>
          <w:b/>
          <w:bCs/>
        </w:rPr>
        <w:t>ığı</w:t>
      </w:r>
      <w:r w:rsidRPr="00617081">
        <w:rPr>
          <w:rFonts w:cs="Noto Serif"/>
          <w:b/>
          <w:bCs/>
        </w:rPr>
        <w:t>na ili</w:t>
      </w:r>
      <w:r w:rsidRPr="00617081">
        <w:rPr>
          <w:rFonts w:cs="Cambria"/>
          <w:b/>
          <w:bCs/>
        </w:rPr>
        <w:t>ş</w:t>
      </w:r>
      <w:r w:rsidRPr="00617081">
        <w:rPr>
          <w:rFonts w:cs="Noto Serif"/>
          <w:b/>
          <w:bCs/>
        </w:rPr>
        <w:t>kin bir de</w:t>
      </w:r>
      <w:r w:rsidRPr="00617081">
        <w:rPr>
          <w:rFonts w:cs="Cambria"/>
          <w:b/>
          <w:bCs/>
        </w:rPr>
        <w:t>ğ</w:t>
      </w:r>
      <w:r w:rsidRPr="00617081">
        <w:rPr>
          <w:rFonts w:cs="Noto Serif"/>
          <w:b/>
          <w:bCs/>
        </w:rPr>
        <w:t xml:space="preserve">erlendirmeyi de içermemektedir. </w:t>
      </w:r>
      <w:r w:rsidRPr="00617081">
        <w:rPr>
          <w:rFonts w:cs="Noto Serif"/>
        </w:rPr>
        <w:t>Zira bu tedbirler sadece verilerin tesliminden sonraki sürece ili</w:t>
      </w:r>
      <w:r w:rsidRPr="00617081">
        <w:rPr>
          <w:rFonts w:cs="Cambria"/>
        </w:rPr>
        <w:t>ş</w:t>
      </w:r>
      <w:r w:rsidRPr="00617081">
        <w:rPr>
          <w:rFonts w:cs="Noto Serif"/>
        </w:rPr>
        <w:t>kindir (</w:t>
      </w:r>
      <w:r w:rsidRPr="00617081">
        <w:rPr>
          <w:rFonts w:cs="Noto Serif"/>
          <w:color w:val="000000"/>
          <w:shd w:val="clear" w:color="auto" w:fill="FFFFFF"/>
        </w:rPr>
        <w:t xml:space="preserve">§ </w:t>
      </w:r>
      <w:r w:rsidRPr="00617081">
        <w:rPr>
          <w:rFonts w:cs="Noto Serif"/>
        </w:rPr>
        <w:t xml:space="preserve">333). Yani, Verilerin </w:t>
      </w:r>
      <w:r w:rsidRPr="00617081">
        <w:rPr>
          <w:rFonts w:cs="Noto Serif"/>
          <w:b/>
          <w:bCs/>
        </w:rPr>
        <w:t>tesliminden önceki süreçle ve veri bütünlü</w:t>
      </w:r>
      <w:r w:rsidRPr="00617081">
        <w:rPr>
          <w:rFonts w:cs="Cambria"/>
          <w:b/>
          <w:bCs/>
        </w:rPr>
        <w:t>ğ</w:t>
      </w:r>
      <w:r w:rsidRPr="00617081">
        <w:rPr>
          <w:rFonts w:cs="Noto Serif"/>
          <w:b/>
          <w:bCs/>
        </w:rPr>
        <w:t>ünün nas</w:t>
      </w:r>
      <w:r w:rsidRPr="00617081">
        <w:rPr>
          <w:rFonts w:cs="Cambria"/>
          <w:b/>
          <w:bCs/>
        </w:rPr>
        <w:t>ı</w:t>
      </w:r>
      <w:r w:rsidRPr="00617081">
        <w:rPr>
          <w:rFonts w:cs="Noto Serif"/>
          <w:b/>
          <w:bCs/>
        </w:rPr>
        <w:t>l sa</w:t>
      </w:r>
      <w:r w:rsidRPr="00617081">
        <w:rPr>
          <w:rFonts w:cs="Cambria"/>
          <w:b/>
          <w:bCs/>
        </w:rPr>
        <w:t>ğ</w:t>
      </w:r>
      <w:r w:rsidRPr="00617081">
        <w:rPr>
          <w:rFonts w:cs="Noto Serif"/>
          <w:b/>
          <w:bCs/>
        </w:rPr>
        <w:t>land</w:t>
      </w:r>
      <w:r w:rsidRPr="00617081">
        <w:rPr>
          <w:rFonts w:cs="Cambria"/>
          <w:b/>
          <w:bCs/>
        </w:rPr>
        <w:t>ığı</w:t>
      </w:r>
      <w:r w:rsidRPr="00617081">
        <w:rPr>
          <w:rFonts w:cs="Noto Serif"/>
          <w:b/>
          <w:bCs/>
        </w:rPr>
        <w:t>yla ilgili hiçbir bilgi yoktur</w:t>
      </w:r>
      <w:r w:rsidRPr="00617081">
        <w:rPr>
          <w:rFonts w:cs="Noto Serif"/>
        </w:rPr>
        <w:t xml:space="preserve"> ve bu bile asl</w:t>
      </w:r>
      <w:r w:rsidRPr="00617081">
        <w:rPr>
          <w:rFonts w:cs="Cambria"/>
        </w:rPr>
        <w:t>ı</w:t>
      </w:r>
      <w:r w:rsidRPr="00617081">
        <w:rPr>
          <w:rFonts w:cs="Noto Serif"/>
        </w:rPr>
        <w:t xml:space="preserve">nda dijital bir delilin </w:t>
      </w:r>
      <w:r w:rsidRPr="00617081">
        <w:rPr>
          <w:rFonts w:cs="Noto Serif"/>
          <w:b/>
          <w:bCs/>
        </w:rPr>
        <w:t>hukuka ayk</w:t>
      </w:r>
      <w:r w:rsidRPr="00617081">
        <w:rPr>
          <w:rFonts w:cs="Cambria"/>
          <w:b/>
          <w:bCs/>
        </w:rPr>
        <w:t>ı</w:t>
      </w:r>
      <w:r w:rsidRPr="00617081">
        <w:rPr>
          <w:rFonts w:cs="Noto Serif"/>
          <w:b/>
          <w:bCs/>
        </w:rPr>
        <w:t>r</w:t>
      </w:r>
      <w:r w:rsidRPr="00617081">
        <w:rPr>
          <w:rFonts w:cs="Cambria"/>
          <w:b/>
          <w:bCs/>
        </w:rPr>
        <w:t>ı</w:t>
      </w:r>
      <w:r w:rsidRPr="00617081">
        <w:rPr>
          <w:rFonts w:cs="Noto Serif"/>
          <w:b/>
          <w:bCs/>
        </w:rPr>
        <w:t xml:space="preserve"> hale geldi</w:t>
      </w:r>
      <w:r w:rsidRPr="00617081">
        <w:rPr>
          <w:rFonts w:cs="Cambria"/>
          <w:b/>
          <w:bCs/>
        </w:rPr>
        <w:t>ğ</w:t>
      </w:r>
      <w:r w:rsidRPr="00617081">
        <w:rPr>
          <w:rFonts w:cs="Noto Serif"/>
          <w:b/>
          <w:bCs/>
        </w:rPr>
        <w:t>inin kabulü için yeterlidir.</w:t>
      </w:r>
      <w:r w:rsidRPr="00617081">
        <w:rPr>
          <w:rFonts w:cs="Noto Serif"/>
        </w:rPr>
        <w:t xml:space="preserve"> A</w:t>
      </w:r>
      <w:r w:rsidRPr="00617081">
        <w:rPr>
          <w:rFonts w:cs="Cambria"/>
        </w:rPr>
        <w:t>İ</w:t>
      </w:r>
      <w:r w:rsidRPr="00617081">
        <w:rPr>
          <w:rFonts w:cs="Noto Serif"/>
        </w:rPr>
        <w:t>HM’in, savc</w:t>
      </w:r>
      <w:r w:rsidRPr="00617081">
        <w:rPr>
          <w:rFonts w:cs="Cambria"/>
        </w:rPr>
        <w:t>ı</w:t>
      </w:r>
      <w:r w:rsidRPr="00617081">
        <w:rPr>
          <w:rFonts w:cs="Noto Serif"/>
        </w:rPr>
        <w:t>l</w:t>
      </w:r>
      <w:r w:rsidRPr="00617081">
        <w:rPr>
          <w:rFonts w:cs="Cambria"/>
        </w:rPr>
        <w:t>ığ</w:t>
      </w:r>
      <w:r w:rsidRPr="00617081">
        <w:rPr>
          <w:rFonts w:cs="Noto Serif"/>
        </w:rPr>
        <w:t xml:space="preserve">a tesliminden önce </w:t>
      </w:r>
      <w:r w:rsidRPr="00617081">
        <w:rPr>
          <w:rFonts w:cs="Noto Serif"/>
          <w:b/>
          <w:bCs/>
        </w:rPr>
        <w:t>aylarca M</w:t>
      </w:r>
      <w:r w:rsidRPr="00617081">
        <w:rPr>
          <w:rFonts w:cs="Cambria"/>
          <w:b/>
          <w:bCs/>
        </w:rPr>
        <w:t>İ</w:t>
      </w:r>
      <w:r w:rsidRPr="00617081">
        <w:rPr>
          <w:rFonts w:cs="Noto Serif"/>
          <w:b/>
          <w:bCs/>
        </w:rPr>
        <w:t>T’in elinde kald</w:t>
      </w:r>
      <w:r w:rsidRPr="00617081">
        <w:rPr>
          <w:rFonts w:cs="Cambria"/>
          <w:b/>
          <w:bCs/>
        </w:rPr>
        <w:t>ığı</w:t>
      </w:r>
      <w:r w:rsidRPr="00617081">
        <w:rPr>
          <w:rFonts w:cs="Noto Serif"/>
          <w:b/>
          <w:bCs/>
        </w:rPr>
        <w:t>n</w:t>
      </w:r>
      <w:r w:rsidRPr="00617081">
        <w:rPr>
          <w:rFonts w:cs="Cambria"/>
          <w:b/>
          <w:bCs/>
        </w:rPr>
        <w:t>ı</w:t>
      </w:r>
      <w:r w:rsidRPr="00617081">
        <w:rPr>
          <w:rFonts w:cs="Noto Serif"/>
          <w:b/>
          <w:bCs/>
        </w:rPr>
        <w:t xml:space="preserve"> ve bu süreçte</w:t>
      </w:r>
      <w:r w:rsidRPr="00617081">
        <w:rPr>
          <w:rFonts w:cs="Noto Serif"/>
        </w:rPr>
        <w:t xml:space="preserve"> sadece istihbari amaçla de</w:t>
      </w:r>
      <w:r w:rsidRPr="00617081">
        <w:rPr>
          <w:rFonts w:cs="Cambria"/>
        </w:rPr>
        <w:t>ğ</w:t>
      </w:r>
      <w:r w:rsidRPr="00617081">
        <w:rPr>
          <w:rFonts w:cs="Noto Serif"/>
        </w:rPr>
        <w:t xml:space="preserve">il </w:t>
      </w:r>
      <w:r w:rsidRPr="00617081">
        <w:rPr>
          <w:rFonts w:cs="Noto Serif"/>
          <w:b/>
          <w:bCs/>
        </w:rPr>
        <w:t>suç delili olarak da kullan</w:t>
      </w:r>
      <w:r w:rsidRPr="00617081">
        <w:rPr>
          <w:rFonts w:cs="Cambria"/>
          <w:b/>
          <w:bCs/>
        </w:rPr>
        <w:t>ı</w:t>
      </w:r>
      <w:r w:rsidRPr="00617081">
        <w:rPr>
          <w:rFonts w:cs="Noto Serif"/>
          <w:b/>
          <w:bCs/>
        </w:rPr>
        <w:t>ld</w:t>
      </w:r>
      <w:r w:rsidRPr="00617081">
        <w:rPr>
          <w:rFonts w:cs="Cambria"/>
          <w:b/>
          <w:bCs/>
        </w:rPr>
        <w:t>ığı</w:t>
      </w:r>
      <w:r w:rsidRPr="00617081">
        <w:rPr>
          <w:rFonts w:cs="Noto Serif"/>
          <w:b/>
          <w:bCs/>
        </w:rPr>
        <w:t>n</w:t>
      </w:r>
      <w:r w:rsidRPr="00617081">
        <w:rPr>
          <w:rFonts w:cs="Cambria"/>
          <w:b/>
          <w:bCs/>
        </w:rPr>
        <w:t>ı</w:t>
      </w:r>
      <w:r w:rsidRPr="00617081">
        <w:rPr>
          <w:rFonts w:cs="Noto Serif"/>
          <w:b/>
          <w:bCs/>
        </w:rPr>
        <w:t xml:space="preserve"> belirtti</w:t>
      </w:r>
      <w:r w:rsidRPr="00617081">
        <w:rPr>
          <w:rFonts w:cs="Cambria"/>
          <w:b/>
          <w:bCs/>
        </w:rPr>
        <w:t>ğ</w:t>
      </w:r>
      <w:r w:rsidRPr="00617081">
        <w:rPr>
          <w:rFonts w:cs="Noto Serif"/>
          <w:b/>
          <w:bCs/>
        </w:rPr>
        <w:t>i bir delilin,</w:t>
      </w:r>
      <w:r w:rsidRPr="00617081">
        <w:rPr>
          <w:rFonts w:cs="Noto Serif"/>
        </w:rPr>
        <w:t xml:space="preserve"> bu saatten sonra </w:t>
      </w:r>
      <w:r w:rsidRPr="00617081">
        <w:rPr>
          <w:rFonts w:cs="Noto Serif"/>
          <w:b/>
          <w:bCs/>
        </w:rPr>
        <w:t>hukuka uygunmu</w:t>
      </w:r>
      <w:r w:rsidRPr="00617081">
        <w:rPr>
          <w:rFonts w:cs="Cambria"/>
          <w:b/>
          <w:bCs/>
        </w:rPr>
        <w:t>ş</w:t>
      </w:r>
      <w:r w:rsidRPr="00617081">
        <w:rPr>
          <w:rFonts w:cs="Noto Serif"/>
          <w:b/>
          <w:bCs/>
        </w:rPr>
        <w:t xml:space="preserve"> gibi kabul edilip cezaland</w:t>
      </w:r>
      <w:r w:rsidRPr="00617081">
        <w:rPr>
          <w:rFonts w:cs="Cambria"/>
          <w:b/>
          <w:bCs/>
        </w:rPr>
        <w:t>ı</w:t>
      </w:r>
      <w:r w:rsidRPr="00617081">
        <w:rPr>
          <w:rFonts w:cs="Noto Serif"/>
          <w:b/>
          <w:bCs/>
        </w:rPr>
        <w:t>rmaya gerekçe yap</w:t>
      </w:r>
      <w:r w:rsidRPr="00617081">
        <w:rPr>
          <w:rFonts w:cs="Cambria"/>
          <w:b/>
          <w:bCs/>
        </w:rPr>
        <w:t>ı</w:t>
      </w:r>
      <w:r w:rsidRPr="00617081">
        <w:rPr>
          <w:rFonts w:cs="Noto Serif"/>
          <w:b/>
          <w:bCs/>
        </w:rPr>
        <w:t>labilmesi mümkün de</w:t>
      </w:r>
      <w:r w:rsidRPr="00617081">
        <w:rPr>
          <w:rFonts w:cs="Cambria"/>
          <w:b/>
          <w:bCs/>
        </w:rPr>
        <w:t>ğ</w:t>
      </w:r>
      <w:r w:rsidRPr="00617081">
        <w:rPr>
          <w:rFonts w:cs="Noto Serif"/>
          <w:b/>
          <w:bCs/>
        </w:rPr>
        <w:t>ildir.</w:t>
      </w:r>
      <w:r w:rsidRPr="00617081">
        <w:rPr>
          <w:rFonts w:cs="Noto Serif"/>
        </w:rPr>
        <w:t xml:space="preserve">   </w:t>
      </w:r>
    </w:p>
    <w:p w14:paraId="3BC63F4F" w14:textId="79B3C304" w:rsidR="00E52E47" w:rsidRPr="00617081" w:rsidRDefault="001E09BE" w:rsidP="0065557D">
      <w:pPr>
        <w:pStyle w:val="Balk3"/>
        <w:rPr>
          <w:rFonts w:ascii="Palatino Linotype" w:hAnsi="Palatino Linotype"/>
        </w:rPr>
      </w:pPr>
      <w:r w:rsidRPr="00617081">
        <w:rPr>
          <w:rFonts w:ascii="Palatino Linotype" w:hAnsi="Palatino Linotype"/>
        </w:rPr>
        <w:t xml:space="preserve"> </w:t>
      </w:r>
      <w:bookmarkStart w:id="19" w:name="_Toc151927101"/>
      <w:r w:rsidR="00E52E47" w:rsidRPr="00617081">
        <w:rPr>
          <w:rFonts w:ascii="Palatino Linotype" w:hAnsi="Palatino Linotype"/>
        </w:rPr>
        <w:t>Verilerin Adli Mercilere Tesliminden Sonraki Süreçte CMK’ya Ayk</w:t>
      </w:r>
      <w:r w:rsidR="00E52E47" w:rsidRPr="00617081">
        <w:rPr>
          <w:rFonts w:ascii="Palatino Linotype" w:hAnsi="Palatino Linotype" w:cs="Cambria"/>
        </w:rPr>
        <w:t>ı</w:t>
      </w:r>
      <w:r w:rsidR="00E52E47" w:rsidRPr="00617081">
        <w:rPr>
          <w:rFonts w:ascii="Palatino Linotype" w:hAnsi="Palatino Linotype"/>
        </w:rPr>
        <w:t>r</w:t>
      </w:r>
      <w:r w:rsidR="00E52E47" w:rsidRPr="00617081">
        <w:rPr>
          <w:rFonts w:ascii="Palatino Linotype" w:hAnsi="Palatino Linotype" w:cs="Cambria"/>
        </w:rPr>
        <w:t>ı</w:t>
      </w:r>
      <w:r w:rsidR="00E52E47" w:rsidRPr="00617081">
        <w:rPr>
          <w:rFonts w:ascii="Palatino Linotype" w:hAnsi="Palatino Linotype"/>
        </w:rPr>
        <w:t>d</w:t>
      </w:r>
      <w:r w:rsidR="00E52E47" w:rsidRPr="00617081">
        <w:rPr>
          <w:rFonts w:ascii="Palatino Linotype" w:hAnsi="Palatino Linotype" w:cs="Cambria"/>
        </w:rPr>
        <w:t>ı</w:t>
      </w:r>
      <w:r w:rsidR="00E52E47" w:rsidRPr="00617081">
        <w:rPr>
          <w:rFonts w:ascii="Palatino Linotype" w:hAnsi="Palatino Linotype"/>
        </w:rPr>
        <w:t>r</w:t>
      </w:r>
      <w:bookmarkEnd w:id="19"/>
    </w:p>
    <w:p w14:paraId="3F779A48" w14:textId="77777777" w:rsidR="00E52E47" w:rsidRPr="00617081" w:rsidRDefault="00E52E47" w:rsidP="004D60B0">
      <w:pPr>
        <w:tabs>
          <w:tab w:val="clear" w:pos="1134"/>
          <w:tab w:val="left" w:pos="709"/>
        </w:tabs>
        <w:spacing w:line="271" w:lineRule="auto"/>
        <w:ind w:firstLine="709"/>
        <w:rPr>
          <w:rFonts w:cs="Noto Serif"/>
          <w:b/>
          <w:bCs/>
        </w:rPr>
      </w:pPr>
      <w:r w:rsidRPr="00617081">
        <w:rPr>
          <w:rFonts w:cs="Noto Serif"/>
        </w:rPr>
        <w:t>A</w:t>
      </w:r>
      <w:r w:rsidRPr="00617081">
        <w:rPr>
          <w:rFonts w:cs="Cambria"/>
        </w:rPr>
        <w:t>İ</w:t>
      </w:r>
      <w:r w:rsidRPr="00617081">
        <w:rPr>
          <w:rFonts w:cs="Noto Serif"/>
        </w:rPr>
        <w:t>HM’in bu ihlal gerekçesi ile AYM ve Yarg</w:t>
      </w:r>
      <w:r w:rsidRPr="00617081">
        <w:rPr>
          <w:rFonts w:cs="Cambria"/>
        </w:rPr>
        <w:t>ı</w:t>
      </w:r>
      <w:r w:rsidRPr="00617081">
        <w:rPr>
          <w:rFonts w:cs="Noto Serif"/>
        </w:rPr>
        <w:t>tay ba</w:t>
      </w:r>
      <w:r w:rsidRPr="00617081">
        <w:rPr>
          <w:rFonts w:cs="Cambria"/>
        </w:rPr>
        <w:t>ş</w:t>
      </w:r>
      <w:r w:rsidRPr="00617081">
        <w:rPr>
          <w:rFonts w:cs="Noto Serif"/>
        </w:rPr>
        <w:t>ta olmak üzere tüm mahkemelerin yapt</w:t>
      </w:r>
      <w:r w:rsidRPr="00617081">
        <w:rPr>
          <w:rFonts w:cs="Cambria"/>
        </w:rPr>
        <w:t>ı</w:t>
      </w:r>
      <w:r w:rsidRPr="00617081">
        <w:rPr>
          <w:rFonts w:cs="Noto Serif"/>
        </w:rPr>
        <w:t>klar</w:t>
      </w:r>
      <w:r w:rsidRPr="00617081">
        <w:rPr>
          <w:rFonts w:cs="Cambria"/>
        </w:rPr>
        <w:t>ı</w:t>
      </w:r>
      <w:r w:rsidRPr="00617081">
        <w:rPr>
          <w:rFonts w:cs="Noto Serif"/>
        </w:rPr>
        <w:t xml:space="preserve"> çok önemli bir alg</w:t>
      </w:r>
      <w:r w:rsidRPr="00617081">
        <w:rPr>
          <w:rFonts w:cs="Cambria"/>
        </w:rPr>
        <w:t>ı</w:t>
      </w:r>
      <w:r w:rsidRPr="00617081">
        <w:rPr>
          <w:rFonts w:cs="Noto Serif"/>
        </w:rPr>
        <w:t xml:space="preserve"> bo</w:t>
      </w:r>
      <w:r w:rsidRPr="00617081">
        <w:rPr>
          <w:rFonts w:cs="Cambria"/>
        </w:rPr>
        <w:t>ş</w:t>
      </w:r>
      <w:r w:rsidRPr="00617081">
        <w:rPr>
          <w:rFonts w:cs="Noto Serif"/>
        </w:rPr>
        <w:t>a dü</w:t>
      </w:r>
      <w:r w:rsidRPr="00617081">
        <w:rPr>
          <w:rFonts w:cs="Cambria"/>
        </w:rPr>
        <w:t>ş</w:t>
      </w:r>
      <w:r w:rsidRPr="00617081">
        <w:rPr>
          <w:rFonts w:cs="Noto Serif"/>
        </w:rPr>
        <w:t>mü</w:t>
      </w:r>
      <w:r w:rsidRPr="00617081">
        <w:rPr>
          <w:rFonts w:cs="Cambria"/>
        </w:rPr>
        <w:t>ş</w:t>
      </w:r>
      <w:r w:rsidRPr="00617081">
        <w:rPr>
          <w:rFonts w:cs="Noto Serif"/>
        </w:rPr>
        <w:t>tür. Zira yarg</w:t>
      </w:r>
      <w:r w:rsidRPr="00617081">
        <w:rPr>
          <w:rFonts w:cs="Cambria"/>
        </w:rPr>
        <w:t>ı</w:t>
      </w:r>
      <w:r w:rsidRPr="00617081">
        <w:rPr>
          <w:rFonts w:cs="Noto Serif"/>
        </w:rPr>
        <w:t xml:space="preserve"> mercileri, sanki Bylock’un elde edili</w:t>
      </w:r>
      <w:r w:rsidRPr="00617081">
        <w:rPr>
          <w:rFonts w:cs="Cambria"/>
        </w:rPr>
        <w:t>ş</w:t>
      </w:r>
      <w:r w:rsidRPr="00617081">
        <w:rPr>
          <w:rFonts w:cs="Noto Serif"/>
        </w:rPr>
        <w:t>inden savc</w:t>
      </w:r>
      <w:r w:rsidRPr="00617081">
        <w:rPr>
          <w:rFonts w:cs="Cambria"/>
        </w:rPr>
        <w:t>ı</w:t>
      </w:r>
      <w:r w:rsidRPr="00617081">
        <w:rPr>
          <w:rFonts w:cs="Noto Serif"/>
        </w:rPr>
        <w:t>l</w:t>
      </w:r>
      <w:r w:rsidRPr="00617081">
        <w:rPr>
          <w:rFonts w:cs="Cambria"/>
        </w:rPr>
        <w:t>ığ</w:t>
      </w:r>
      <w:r w:rsidRPr="00617081">
        <w:rPr>
          <w:rFonts w:cs="Noto Serif"/>
        </w:rPr>
        <w:t>a teslime kadar geçen bir y</w:t>
      </w:r>
      <w:r w:rsidRPr="00617081">
        <w:rPr>
          <w:rFonts w:cs="Cambria"/>
        </w:rPr>
        <w:t>ı</w:t>
      </w:r>
      <w:r w:rsidRPr="00617081">
        <w:rPr>
          <w:rFonts w:cs="Noto Serif"/>
        </w:rPr>
        <w:t>ll</w:t>
      </w:r>
      <w:r w:rsidRPr="00617081">
        <w:rPr>
          <w:rFonts w:cs="Cambria"/>
        </w:rPr>
        <w:t>ı</w:t>
      </w:r>
      <w:r w:rsidRPr="00617081">
        <w:rPr>
          <w:rFonts w:cs="Noto Serif"/>
        </w:rPr>
        <w:t>k sürede yap</w:t>
      </w:r>
      <w:r w:rsidRPr="00617081">
        <w:rPr>
          <w:rFonts w:cs="Cambria"/>
        </w:rPr>
        <w:t>ı</w:t>
      </w:r>
      <w:r w:rsidRPr="00617081">
        <w:rPr>
          <w:rFonts w:cs="Noto Serif"/>
        </w:rPr>
        <w:t xml:space="preserve">lan her </w:t>
      </w:r>
      <w:r w:rsidRPr="00617081">
        <w:rPr>
          <w:rFonts w:cs="Cambria"/>
        </w:rPr>
        <w:t>ş</w:t>
      </w:r>
      <w:r w:rsidRPr="00617081">
        <w:rPr>
          <w:rFonts w:cs="Noto Serif"/>
        </w:rPr>
        <w:t>ey hukuka uygunmu</w:t>
      </w:r>
      <w:r w:rsidRPr="00617081">
        <w:rPr>
          <w:rFonts w:cs="Cambria"/>
        </w:rPr>
        <w:t>ş</w:t>
      </w:r>
      <w:r w:rsidRPr="00617081">
        <w:rPr>
          <w:rFonts w:cs="Noto Serif"/>
        </w:rPr>
        <w:t xml:space="preserve"> gibi bu zaman dilimiyle ilgili bir de</w:t>
      </w:r>
      <w:r w:rsidRPr="00617081">
        <w:rPr>
          <w:rFonts w:cs="Cambria"/>
        </w:rPr>
        <w:t>ğ</w:t>
      </w:r>
      <w:r w:rsidRPr="00617081">
        <w:rPr>
          <w:rFonts w:cs="Noto Serif"/>
        </w:rPr>
        <w:t>erlendirmede bulunmam</w:t>
      </w:r>
      <w:r w:rsidRPr="00617081">
        <w:rPr>
          <w:rFonts w:cs="Cambria"/>
        </w:rPr>
        <w:t>ış</w:t>
      </w:r>
      <w:r w:rsidRPr="00617081">
        <w:rPr>
          <w:rFonts w:cs="Noto Serif"/>
        </w:rPr>
        <w:t xml:space="preserve"> ve </w:t>
      </w:r>
      <w:r w:rsidRPr="00617081">
        <w:rPr>
          <w:rFonts w:cs="Noto Serif"/>
          <w:b/>
          <w:bCs/>
        </w:rPr>
        <w:t>sadece Bylock verilerinin tesliminden sonraki süreci dikkate alm</w:t>
      </w:r>
      <w:r w:rsidRPr="00617081">
        <w:rPr>
          <w:rFonts w:cs="Cambria"/>
          <w:b/>
          <w:bCs/>
        </w:rPr>
        <w:t>ış</w:t>
      </w:r>
      <w:r w:rsidRPr="00617081">
        <w:rPr>
          <w:rFonts w:cs="Noto Serif"/>
          <w:b/>
          <w:bCs/>
        </w:rPr>
        <w:t>lard</w:t>
      </w:r>
      <w:r w:rsidRPr="00617081">
        <w:rPr>
          <w:rFonts w:cs="Cambria"/>
          <w:b/>
          <w:bCs/>
        </w:rPr>
        <w:t>ı</w:t>
      </w:r>
      <w:r w:rsidRPr="00617081">
        <w:rPr>
          <w:rFonts w:cs="Noto Serif"/>
          <w:b/>
          <w:bCs/>
        </w:rPr>
        <w:t>r.</w:t>
      </w:r>
    </w:p>
    <w:p w14:paraId="6A669B2A" w14:textId="77777777" w:rsidR="00E52E47" w:rsidRPr="00617081" w:rsidRDefault="00E52E47" w:rsidP="004D60B0">
      <w:pPr>
        <w:pStyle w:val="Default"/>
        <w:tabs>
          <w:tab w:val="left" w:pos="709"/>
        </w:tabs>
        <w:spacing w:after="160" w:line="271" w:lineRule="auto"/>
        <w:ind w:right="-22" w:firstLine="709"/>
        <w:jc w:val="both"/>
        <w:rPr>
          <w:rFonts w:ascii="Palatino Linotype" w:hAnsi="Palatino Linotype" w:cs="Noto Serif"/>
          <w:sz w:val="22"/>
          <w:szCs w:val="22"/>
        </w:rPr>
      </w:pPr>
      <w:r w:rsidRPr="00617081">
        <w:rPr>
          <w:rFonts w:ascii="Palatino Linotype" w:hAnsi="Palatino Linotype" w:cs="Noto Serif"/>
          <w:sz w:val="22"/>
          <w:szCs w:val="22"/>
        </w:rPr>
        <w:t>Ancak bu ifadeden,</w:t>
      </w:r>
      <w:r w:rsidRPr="00617081">
        <w:rPr>
          <w:rFonts w:ascii="Palatino Linotype" w:hAnsi="Palatino Linotype" w:cs="Noto Serif"/>
          <w:color w:val="auto"/>
          <w:sz w:val="22"/>
          <w:szCs w:val="22"/>
        </w:rPr>
        <w:t xml:space="preserve"> </w:t>
      </w:r>
      <w:r w:rsidRPr="00617081">
        <w:rPr>
          <w:rFonts w:ascii="Palatino Linotype" w:hAnsi="Palatino Linotype" w:cs="Noto Serif"/>
          <w:sz w:val="22"/>
          <w:szCs w:val="22"/>
        </w:rPr>
        <w:t>verilerin savc</w:t>
      </w:r>
      <w:r w:rsidRPr="00617081">
        <w:rPr>
          <w:rFonts w:ascii="Palatino Linotype" w:hAnsi="Palatino Linotype" w:cs="Cambria"/>
          <w:sz w:val="22"/>
          <w:szCs w:val="22"/>
        </w:rPr>
        <w:t>ı</w:t>
      </w:r>
      <w:r w:rsidRPr="00617081">
        <w:rPr>
          <w:rFonts w:ascii="Palatino Linotype" w:hAnsi="Palatino Linotype" w:cs="Noto Serif"/>
          <w:sz w:val="22"/>
          <w:szCs w:val="22"/>
        </w:rPr>
        <w:t>l</w:t>
      </w:r>
      <w:r w:rsidRPr="00617081">
        <w:rPr>
          <w:rFonts w:ascii="Palatino Linotype" w:hAnsi="Palatino Linotype" w:cs="Cambria"/>
          <w:sz w:val="22"/>
          <w:szCs w:val="22"/>
        </w:rPr>
        <w:t>ığ</w:t>
      </w:r>
      <w:r w:rsidRPr="00617081">
        <w:rPr>
          <w:rFonts w:ascii="Palatino Linotype" w:hAnsi="Palatino Linotype" w:cs="Noto Serif"/>
          <w:sz w:val="22"/>
          <w:szCs w:val="22"/>
        </w:rPr>
        <w:t>a tesliminden sonraki sürecin CMK’ya uygun olarak i</w:t>
      </w:r>
      <w:r w:rsidRPr="00617081">
        <w:rPr>
          <w:rFonts w:ascii="Palatino Linotype" w:hAnsi="Palatino Linotype" w:cs="Cambria"/>
          <w:sz w:val="22"/>
          <w:szCs w:val="22"/>
        </w:rPr>
        <w:t>ş</w:t>
      </w:r>
      <w:r w:rsidRPr="00617081">
        <w:rPr>
          <w:rFonts w:ascii="Palatino Linotype" w:hAnsi="Palatino Linotype" w:cs="Noto Serif"/>
          <w:sz w:val="22"/>
          <w:szCs w:val="22"/>
        </w:rPr>
        <w:t>letildi</w:t>
      </w:r>
      <w:r w:rsidRPr="00617081">
        <w:rPr>
          <w:rFonts w:ascii="Palatino Linotype" w:hAnsi="Palatino Linotype" w:cs="Cambria"/>
          <w:sz w:val="22"/>
          <w:szCs w:val="22"/>
        </w:rPr>
        <w:t>ğ</w:t>
      </w:r>
      <w:r w:rsidRPr="00617081">
        <w:rPr>
          <w:rFonts w:ascii="Palatino Linotype" w:hAnsi="Palatino Linotype" w:cs="Noto Serif"/>
          <w:sz w:val="22"/>
          <w:szCs w:val="22"/>
        </w:rPr>
        <w:t>i anlam</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 ç</w:t>
      </w:r>
      <w:r w:rsidRPr="00617081">
        <w:rPr>
          <w:rFonts w:ascii="Palatino Linotype" w:hAnsi="Palatino Linotype" w:cs="Cambria"/>
          <w:sz w:val="22"/>
          <w:szCs w:val="22"/>
        </w:rPr>
        <w:t>ı</w:t>
      </w:r>
      <w:r w:rsidRPr="00617081">
        <w:rPr>
          <w:rFonts w:ascii="Palatino Linotype" w:hAnsi="Palatino Linotype" w:cs="Noto Serif"/>
          <w:sz w:val="22"/>
          <w:szCs w:val="22"/>
        </w:rPr>
        <w:t>kmamal</w:t>
      </w:r>
      <w:r w:rsidRPr="00617081">
        <w:rPr>
          <w:rFonts w:ascii="Palatino Linotype" w:hAnsi="Palatino Linotype" w:cs="Cambria"/>
          <w:sz w:val="22"/>
          <w:szCs w:val="22"/>
        </w:rPr>
        <w:t>ı</w:t>
      </w:r>
      <w:r w:rsidRPr="00617081">
        <w:rPr>
          <w:rFonts w:ascii="Palatino Linotype" w:hAnsi="Palatino Linotype" w:cs="Noto Serif"/>
          <w:sz w:val="22"/>
          <w:szCs w:val="22"/>
        </w:rPr>
        <w:t>d</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r. </w:t>
      </w:r>
      <w:r w:rsidRPr="00617081">
        <w:rPr>
          <w:rFonts w:ascii="Palatino Linotype" w:hAnsi="Palatino Linotype" w:cs="Noto Serif"/>
          <w:b/>
          <w:bCs/>
          <w:sz w:val="22"/>
          <w:szCs w:val="22"/>
        </w:rPr>
        <w:t>Zira verilerin bütünlü</w:t>
      </w:r>
      <w:r w:rsidRPr="00617081">
        <w:rPr>
          <w:rFonts w:ascii="Palatino Linotype" w:hAnsi="Palatino Linotype" w:cs="Cambria"/>
          <w:b/>
          <w:bCs/>
          <w:sz w:val="22"/>
          <w:szCs w:val="22"/>
        </w:rPr>
        <w:t>ğ</w:t>
      </w:r>
      <w:r w:rsidRPr="00617081">
        <w:rPr>
          <w:rFonts w:ascii="Palatino Linotype" w:hAnsi="Palatino Linotype" w:cs="Noto Serif"/>
          <w:b/>
          <w:bCs/>
          <w:sz w:val="22"/>
          <w:szCs w:val="22"/>
        </w:rPr>
        <w:t>ü gibi delilin elde edili</w:t>
      </w:r>
      <w:r w:rsidRPr="00617081">
        <w:rPr>
          <w:rFonts w:ascii="Palatino Linotype" w:hAnsi="Palatino Linotype" w:cs="Cambria"/>
          <w:b/>
          <w:bCs/>
          <w:sz w:val="22"/>
          <w:szCs w:val="22"/>
        </w:rPr>
        <w:t>ş</w:t>
      </w:r>
      <w:r w:rsidRPr="00617081">
        <w:rPr>
          <w:rFonts w:ascii="Palatino Linotype" w:hAnsi="Palatino Linotype" w:cs="Noto Serif"/>
          <w:b/>
          <w:bCs/>
          <w:sz w:val="22"/>
          <w:szCs w:val="22"/>
        </w:rPr>
        <w:t xml:space="preserve"> yöntemi de bozulmu</w:t>
      </w:r>
      <w:r w:rsidRPr="00617081">
        <w:rPr>
          <w:rFonts w:ascii="Palatino Linotype" w:hAnsi="Palatino Linotype" w:cs="Cambria"/>
          <w:b/>
          <w:bCs/>
          <w:sz w:val="22"/>
          <w:szCs w:val="22"/>
        </w:rPr>
        <w:t>ş</w:t>
      </w:r>
      <w:r w:rsidRPr="00617081">
        <w:rPr>
          <w:rFonts w:ascii="Palatino Linotype" w:hAnsi="Palatino Linotype" w:cs="Noto Serif"/>
          <w:b/>
          <w:bCs/>
          <w:sz w:val="22"/>
          <w:szCs w:val="22"/>
        </w:rPr>
        <w:t xml:space="preserve">tur. </w:t>
      </w:r>
      <w:r w:rsidRPr="00617081">
        <w:rPr>
          <w:rFonts w:ascii="Palatino Linotype" w:hAnsi="Palatino Linotype" w:cs="Cambria"/>
          <w:sz w:val="22"/>
          <w:szCs w:val="22"/>
        </w:rPr>
        <w:t>Ş</w:t>
      </w:r>
      <w:r w:rsidRPr="00617081">
        <w:rPr>
          <w:rFonts w:ascii="Palatino Linotype" w:hAnsi="Palatino Linotype" w:cs="Noto Serif"/>
          <w:sz w:val="22"/>
          <w:szCs w:val="22"/>
        </w:rPr>
        <w:t>öyle ki, dijital bir delilin</w:t>
      </w:r>
      <w:r w:rsidRPr="00617081">
        <w:rPr>
          <w:rFonts w:ascii="Palatino Linotype" w:hAnsi="Palatino Linotype" w:cs="Noto Serif"/>
          <w:color w:val="auto"/>
          <w:sz w:val="22"/>
          <w:szCs w:val="22"/>
        </w:rPr>
        <w:t xml:space="preserve"> CMK’n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 134. maddesine uygun el</w:t>
      </w:r>
      <w:r w:rsidRPr="00617081">
        <w:rPr>
          <w:rFonts w:ascii="Palatino Linotype" w:hAnsi="Palatino Linotype" w:cs="Noto Serif"/>
          <w:sz w:val="22"/>
          <w:szCs w:val="22"/>
        </w:rPr>
        <w:t>de edilebilmesi için bu deliller üzerinde arama, el koyma ve kopyalama (imaj alma) i</w:t>
      </w:r>
      <w:r w:rsidRPr="00617081">
        <w:rPr>
          <w:rFonts w:ascii="Palatino Linotype" w:hAnsi="Palatino Linotype" w:cs="Cambria"/>
          <w:sz w:val="22"/>
          <w:szCs w:val="22"/>
        </w:rPr>
        <w:t>ş</w:t>
      </w:r>
      <w:r w:rsidRPr="00617081">
        <w:rPr>
          <w:rFonts w:ascii="Palatino Linotype" w:hAnsi="Palatino Linotype" w:cs="Noto Serif"/>
          <w:sz w:val="22"/>
          <w:szCs w:val="22"/>
        </w:rPr>
        <w:t>lemi gerçekle</w:t>
      </w:r>
      <w:r w:rsidRPr="00617081">
        <w:rPr>
          <w:rFonts w:ascii="Palatino Linotype" w:hAnsi="Palatino Linotype" w:cs="Cambria"/>
          <w:sz w:val="22"/>
          <w:szCs w:val="22"/>
        </w:rPr>
        <w:t>ş</w:t>
      </w:r>
      <w:r w:rsidRPr="00617081">
        <w:rPr>
          <w:rFonts w:ascii="Palatino Linotype" w:hAnsi="Palatino Linotype" w:cs="Noto Serif"/>
          <w:sz w:val="22"/>
          <w:szCs w:val="22"/>
        </w:rPr>
        <w:t xml:space="preserve">tirilmeden önce </w:t>
      </w:r>
      <w:r w:rsidRPr="00617081">
        <w:rPr>
          <w:rFonts w:ascii="Palatino Linotype" w:hAnsi="Palatino Linotype" w:cs="Noto Serif"/>
          <w:b/>
          <w:bCs/>
          <w:sz w:val="22"/>
          <w:szCs w:val="22"/>
        </w:rPr>
        <w:t>bu i</w:t>
      </w:r>
      <w:r w:rsidRPr="00617081">
        <w:rPr>
          <w:rFonts w:ascii="Palatino Linotype" w:hAnsi="Palatino Linotype" w:cs="Cambria"/>
          <w:b/>
          <w:bCs/>
          <w:sz w:val="22"/>
          <w:szCs w:val="22"/>
        </w:rPr>
        <w:t>ş</w:t>
      </w:r>
      <w:r w:rsidRPr="00617081">
        <w:rPr>
          <w:rFonts w:ascii="Palatino Linotype" w:hAnsi="Palatino Linotype" w:cs="Noto Serif"/>
          <w:b/>
          <w:bCs/>
          <w:sz w:val="22"/>
          <w:szCs w:val="22"/>
        </w:rPr>
        <w:t>lemlere izin veren bir mahkeme karar</w:t>
      </w:r>
      <w:r w:rsidRPr="00617081">
        <w:rPr>
          <w:rFonts w:ascii="Palatino Linotype" w:hAnsi="Palatino Linotype" w:cs="Cambria"/>
          <w:b/>
          <w:bCs/>
          <w:sz w:val="22"/>
          <w:szCs w:val="22"/>
        </w:rPr>
        <w:t>ı</w:t>
      </w:r>
      <w:r w:rsidRPr="00617081">
        <w:rPr>
          <w:rFonts w:ascii="Palatino Linotype" w:hAnsi="Palatino Linotype" w:cs="Noto Serif"/>
          <w:b/>
          <w:bCs/>
          <w:sz w:val="22"/>
          <w:szCs w:val="22"/>
        </w:rPr>
        <w:t>n</w:t>
      </w:r>
      <w:r w:rsidRPr="00617081">
        <w:rPr>
          <w:rFonts w:ascii="Palatino Linotype" w:hAnsi="Palatino Linotype" w:cs="Cambria"/>
          <w:b/>
          <w:bCs/>
          <w:sz w:val="22"/>
          <w:szCs w:val="22"/>
        </w:rPr>
        <w:t>ı</w:t>
      </w:r>
      <w:r w:rsidRPr="00617081">
        <w:rPr>
          <w:rFonts w:ascii="Palatino Linotype" w:hAnsi="Palatino Linotype" w:cs="Noto Serif"/>
          <w:b/>
          <w:bCs/>
          <w:sz w:val="22"/>
          <w:szCs w:val="22"/>
        </w:rPr>
        <w:t>n varl</w:t>
      </w:r>
      <w:r w:rsidRPr="00617081">
        <w:rPr>
          <w:rFonts w:ascii="Palatino Linotype" w:hAnsi="Palatino Linotype" w:cs="Cambria"/>
          <w:b/>
          <w:bCs/>
          <w:sz w:val="22"/>
          <w:szCs w:val="22"/>
        </w:rPr>
        <w:t>ığı</w:t>
      </w:r>
      <w:r w:rsidRPr="00617081">
        <w:rPr>
          <w:rFonts w:ascii="Palatino Linotype" w:hAnsi="Palatino Linotype" w:cs="Noto Serif"/>
          <w:b/>
          <w:bCs/>
          <w:sz w:val="22"/>
          <w:szCs w:val="22"/>
        </w:rPr>
        <w:t xml:space="preserve"> ve bu i</w:t>
      </w:r>
      <w:r w:rsidRPr="00617081">
        <w:rPr>
          <w:rFonts w:ascii="Palatino Linotype" w:hAnsi="Palatino Linotype" w:cs="Cambria"/>
          <w:b/>
          <w:bCs/>
          <w:sz w:val="22"/>
          <w:szCs w:val="22"/>
        </w:rPr>
        <w:t>ş</w:t>
      </w:r>
      <w:r w:rsidRPr="00617081">
        <w:rPr>
          <w:rFonts w:ascii="Palatino Linotype" w:hAnsi="Palatino Linotype" w:cs="Noto Serif"/>
          <w:b/>
          <w:bCs/>
          <w:sz w:val="22"/>
          <w:szCs w:val="22"/>
        </w:rPr>
        <w:t>lemlerin adli kolluk görevlileri taraf</w:t>
      </w:r>
      <w:r w:rsidRPr="00617081">
        <w:rPr>
          <w:rFonts w:ascii="Palatino Linotype" w:hAnsi="Palatino Linotype" w:cs="Cambria"/>
          <w:b/>
          <w:bCs/>
          <w:sz w:val="22"/>
          <w:szCs w:val="22"/>
        </w:rPr>
        <w:t>ı</w:t>
      </w:r>
      <w:r w:rsidRPr="00617081">
        <w:rPr>
          <w:rFonts w:ascii="Palatino Linotype" w:hAnsi="Palatino Linotype" w:cs="Noto Serif"/>
          <w:b/>
          <w:bCs/>
          <w:sz w:val="22"/>
          <w:szCs w:val="22"/>
        </w:rPr>
        <w:t>ndan gerçekle</w:t>
      </w:r>
      <w:r w:rsidRPr="00617081">
        <w:rPr>
          <w:rFonts w:ascii="Palatino Linotype" w:hAnsi="Palatino Linotype" w:cs="Cambria"/>
          <w:b/>
          <w:bCs/>
          <w:sz w:val="22"/>
          <w:szCs w:val="22"/>
        </w:rPr>
        <w:t>ş</w:t>
      </w:r>
      <w:r w:rsidRPr="00617081">
        <w:rPr>
          <w:rFonts w:ascii="Palatino Linotype" w:hAnsi="Palatino Linotype" w:cs="Noto Serif"/>
          <w:b/>
          <w:bCs/>
          <w:sz w:val="22"/>
          <w:szCs w:val="22"/>
        </w:rPr>
        <w:t>tirilmesi gerekir.</w:t>
      </w:r>
      <w:r w:rsidRPr="00617081">
        <w:rPr>
          <w:rFonts w:ascii="Palatino Linotype" w:hAnsi="Palatino Linotype" w:cs="Noto Serif"/>
          <w:sz w:val="22"/>
          <w:szCs w:val="22"/>
        </w:rPr>
        <w:t xml:space="preserve"> Fakat, Bylock verilerini ele geçiren </w:t>
      </w:r>
      <w:r w:rsidRPr="00617081">
        <w:rPr>
          <w:rFonts w:ascii="Palatino Linotype" w:hAnsi="Palatino Linotype" w:cs="Noto Serif"/>
          <w:b/>
          <w:bCs/>
          <w:sz w:val="22"/>
          <w:szCs w:val="22"/>
        </w:rPr>
        <w:t>M</w:t>
      </w:r>
      <w:r w:rsidRPr="00617081">
        <w:rPr>
          <w:rFonts w:ascii="Palatino Linotype" w:hAnsi="Palatino Linotype" w:cs="Cambria"/>
          <w:b/>
          <w:bCs/>
          <w:sz w:val="22"/>
          <w:szCs w:val="22"/>
        </w:rPr>
        <w:t>İ</w:t>
      </w:r>
      <w:r w:rsidRPr="00617081">
        <w:rPr>
          <w:rFonts w:ascii="Palatino Linotype" w:hAnsi="Palatino Linotype" w:cs="Noto Serif"/>
          <w:b/>
          <w:bCs/>
          <w:sz w:val="22"/>
          <w:szCs w:val="22"/>
        </w:rPr>
        <w:t>T’in adli kolluk görevi olmad</w:t>
      </w:r>
      <w:r w:rsidRPr="00617081">
        <w:rPr>
          <w:rFonts w:ascii="Palatino Linotype" w:hAnsi="Palatino Linotype" w:cs="Cambria"/>
          <w:b/>
          <w:bCs/>
          <w:sz w:val="22"/>
          <w:szCs w:val="22"/>
        </w:rPr>
        <w:t>ığı</w:t>
      </w:r>
      <w:r w:rsidRPr="00617081">
        <w:rPr>
          <w:rFonts w:ascii="Palatino Linotype" w:hAnsi="Palatino Linotype" w:cs="Noto Serif"/>
          <w:b/>
          <w:bCs/>
          <w:sz w:val="22"/>
          <w:szCs w:val="22"/>
        </w:rPr>
        <w:t xml:space="preserve"> gibi</w:t>
      </w:r>
      <w:r w:rsidRPr="00617081">
        <w:rPr>
          <w:rFonts w:ascii="Palatino Linotype" w:hAnsi="Palatino Linotype" w:cs="Noto Serif"/>
          <w:sz w:val="22"/>
          <w:szCs w:val="22"/>
        </w:rPr>
        <w:t xml:space="preserve"> bu verilere el koymas</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 ya da savc</w:t>
      </w:r>
      <w:r w:rsidRPr="00617081">
        <w:rPr>
          <w:rFonts w:ascii="Palatino Linotype" w:hAnsi="Palatino Linotype" w:cs="Cambria"/>
          <w:sz w:val="22"/>
          <w:szCs w:val="22"/>
        </w:rPr>
        <w:t>ı</w:t>
      </w:r>
      <w:r w:rsidRPr="00617081">
        <w:rPr>
          <w:rFonts w:ascii="Palatino Linotype" w:hAnsi="Palatino Linotype" w:cs="Noto Serif"/>
          <w:sz w:val="22"/>
          <w:szCs w:val="22"/>
        </w:rPr>
        <w:t>l</w:t>
      </w:r>
      <w:r w:rsidRPr="00617081">
        <w:rPr>
          <w:rFonts w:ascii="Palatino Linotype" w:hAnsi="Palatino Linotype" w:cs="Cambria"/>
          <w:sz w:val="22"/>
          <w:szCs w:val="22"/>
        </w:rPr>
        <w:t>ığ</w:t>
      </w:r>
      <w:r w:rsidRPr="00617081">
        <w:rPr>
          <w:rFonts w:ascii="Palatino Linotype" w:hAnsi="Palatino Linotype" w:cs="Noto Serif"/>
          <w:sz w:val="22"/>
          <w:szCs w:val="22"/>
        </w:rPr>
        <w:t>a tesliminden önce aylarca üzerinde çal</w:t>
      </w:r>
      <w:r w:rsidRPr="00617081">
        <w:rPr>
          <w:rFonts w:ascii="Palatino Linotype" w:hAnsi="Palatino Linotype" w:cs="Cambria"/>
          <w:sz w:val="22"/>
          <w:szCs w:val="22"/>
        </w:rPr>
        <w:t>ış</w:t>
      </w:r>
      <w:r w:rsidRPr="00617081">
        <w:rPr>
          <w:rFonts w:ascii="Palatino Linotype" w:hAnsi="Palatino Linotype" w:cs="Noto Serif"/>
          <w:sz w:val="22"/>
          <w:szCs w:val="22"/>
        </w:rPr>
        <w:t>mas</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na </w:t>
      </w:r>
      <w:r w:rsidRPr="00617081">
        <w:rPr>
          <w:rFonts w:ascii="Palatino Linotype" w:hAnsi="Palatino Linotype" w:cs="Noto Serif"/>
          <w:b/>
          <w:bCs/>
          <w:sz w:val="22"/>
          <w:szCs w:val="22"/>
        </w:rPr>
        <w:t>izin veren bir mahkeme karar</w:t>
      </w:r>
      <w:r w:rsidRPr="00617081">
        <w:rPr>
          <w:rFonts w:ascii="Palatino Linotype" w:hAnsi="Palatino Linotype" w:cs="Cambria"/>
          <w:b/>
          <w:bCs/>
          <w:sz w:val="22"/>
          <w:szCs w:val="22"/>
        </w:rPr>
        <w:t>ı</w:t>
      </w:r>
      <w:r w:rsidRPr="00617081">
        <w:rPr>
          <w:rFonts w:ascii="Palatino Linotype" w:hAnsi="Palatino Linotype" w:cs="Noto Serif"/>
          <w:b/>
          <w:bCs/>
          <w:sz w:val="22"/>
          <w:szCs w:val="22"/>
        </w:rPr>
        <w:t xml:space="preserve"> da yoktur.</w:t>
      </w:r>
      <w:r w:rsidRPr="00617081">
        <w:rPr>
          <w:rFonts w:ascii="Palatino Linotype" w:hAnsi="Palatino Linotype" w:cs="Noto Serif"/>
          <w:sz w:val="22"/>
          <w:szCs w:val="22"/>
        </w:rPr>
        <w:t xml:space="preserve"> Kald</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 ki, CMK’ya göre M</w:t>
      </w:r>
      <w:r w:rsidRPr="00617081">
        <w:rPr>
          <w:rFonts w:ascii="Palatino Linotype" w:hAnsi="Palatino Linotype" w:cs="Cambria"/>
          <w:sz w:val="22"/>
          <w:szCs w:val="22"/>
        </w:rPr>
        <w:t>İ</w:t>
      </w:r>
      <w:r w:rsidRPr="00617081">
        <w:rPr>
          <w:rFonts w:ascii="Palatino Linotype" w:hAnsi="Palatino Linotype" w:cs="Noto Serif"/>
          <w:sz w:val="22"/>
          <w:szCs w:val="22"/>
        </w:rPr>
        <w:t>T’e böyle bir yetki ve izin verilmesi mümkün de de</w:t>
      </w:r>
      <w:r w:rsidRPr="00617081">
        <w:rPr>
          <w:rFonts w:ascii="Palatino Linotype" w:hAnsi="Palatino Linotype" w:cs="Cambria"/>
          <w:sz w:val="22"/>
          <w:szCs w:val="22"/>
        </w:rPr>
        <w:t>ğ</w:t>
      </w:r>
      <w:r w:rsidRPr="00617081">
        <w:rPr>
          <w:rFonts w:ascii="Palatino Linotype" w:hAnsi="Palatino Linotype" w:cs="Noto Serif"/>
          <w:sz w:val="22"/>
          <w:szCs w:val="22"/>
        </w:rPr>
        <w:t xml:space="preserve">ildir. </w:t>
      </w:r>
    </w:p>
    <w:p w14:paraId="7D5B8062" w14:textId="706803C3" w:rsidR="00E52E47" w:rsidRPr="00617081" w:rsidRDefault="00E52E47" w:rsidP="0065557D">
      <w:pPr>
        <w:pStyle w:val="Balk3"/>
        <w:rPr>
          <w:rFonts w:ascii="Palatino Linotype" w:hAnsi="Palatino Linotype"/>
        </w:rPr>
      </w:pPr>
      <w:bookmarkStart w:id="20" w:name="_Toc151927102"/>
      <w:r w:rsidRPr="00617081">
        <w:rPr>
          <w:rFonts w:ascii="Palatino Linotype" w:hAnsi="Palatino Linotype"/>
        </w:rPr>
        <w:lastRenderedPageBreak/>
        <w:t>MİT’in Yasal Yetkisi Dahilinde Elde Ettiği Her Bilgi ve Belge Delil Olabilir mi?</w:t>
      </w:r>
      <w:bookmarkEnd w:id="20"/>
      <w:r w:rsidRPr="00617081">
        <w:rPr>
          <w:rFonts w:ascii="Palatino Linotype" w:hAnsi="Palatino Linotype"/>
        </w:rPr>
        <w:t xml:space="preserve">  </w:t>
      </w:r>
    </w:p>
    <w:p w14:paraId="3A591F8C" w14:textId="77777777" w:rsidR="00E52E47" w:rsidRPr="00617081" w:rsidRDefault="00E52E47" w:rsidP="004D60B0">
      <w:pPr>
        <w:pStyle w:val="Default"/>
        <w:tabs>
          <w:tab w:val="left" w:pos="709"/>
        </w:tabs>
        <w:spacing w:after="160" w:line="271" w:lineRule="auto"/>
        <w:ind w:right="-22" w:firstLine="709"/>
        <w:jc w:val="both"/>
        <w:rPr>
          <w:rFonts w:ascii="Palatino Linotype" w:hAnsi="Palatino Linotype" w:cs="Noto Serif"/>
          <w:color w:val="auto"/>
          <w:sz w:val="22"/>
          <w:szCs w:val="22"/>
        </w:rPr>
      </w:pPr>
      <w:r w:rsidRPr="00617081">
        <w:rPr>
          <w:rFonts w:ascii="Palatino Linotype" w:hAnsi="Palatino Linotype" w:cs="Noto Serif"/>
          <w:color w:val="auto"/>
          <w:sz w:val="22"/>
          <w:szCs w:val="22"/>
        </w:rPr>
        <w:t>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 istihbarat amaçl</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ki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ilerin bilgilerine ba</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vurabilir. Buna yasal olarak yetkilidir. Bu ba</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lamda,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 görevlilerince yurtd</w:t>
      </w:r>
      <w:r w:rsidRPr="00617081">
        <w:rPr>
          <w:rFonts w:ascii="Palatino Linotype" w:hAnsi="Palatino Linotype" w:cs="Cambria"/>
          <w:color w:val="auto"/>
          <w:sz w:val="22"/>
          <w:szCs w:val="22"/>
        </w:rPr>
        <w:t>ışı</w:t>
      </w:r>
      <w:r w:rsidRPr="00617081">
        <w:rPr>
          <w:rFonts w:ascii="Palatino Linotype" w:hAnsi="Palatino Linotype" w:cs="Noto Serif"/>
          <w:color w:val="auto"/>
          <w:sz w:val="22"/>
          <w:szCs w:val="22"/>
        </w:rPr>
        <w:t>nda ifadesi al</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nan bir ki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inin bu beyan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istihbar</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bilgi olarak kullan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labilir. </w:t>
      </w:r>
      <w:r w:rsidRPr="00617081">
        <w:rPr>
          <w:rFonts w:ascii="Palatino Linotype" w:hAnsi="Palatino Linotype" w:cs="Noto Serif"/>
          <w:b/>
          <w:bCs/>
          <w:color w:val="auto"/>
          <w:sz w:val="22"/>
          <w:szCs w:val="22"/>
        </w:rPr>
        <w:t>Ancak, bu ifade CMK anlam</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 xml:space="preserve">nda </w:t>
      </w:r>
      <w:r w:rsidRPr="00617081">
        <w:rPr>
          <w:rFonts w:ascii="Palatino Linotype" w:hAnsi="Palatino Linotype" w:cs="Noto Serif"/>
          <w:b/>
          <w:bCs/>
          <w:i/>
          <w:color w:val="auto"/>
          <w:sz w:val="22"/>
          <w:szCs w:val="22"/>
        </w:rPr>
        <w:t>“tan</w:t>
      </w:r>
      <w:r w:rsidRPr="00617081">
        <w:rPr>
          <w:rFonts w:ascii="Palatino Linotype" w:hAnsi="Palatino Linotype" w:cs="Cambria"/>
          <w:b/>
          <w:bCs/>
          <w:i/>
          <w:color w:val="auto"/>
          <w:sz w:val="22"/>
          <w:szCs w:val="22"/>
        </w:rPr>
        <w:t>ı</w:t>
      </w:r>
      <w:r w:rsidRPr="00617081">
        <w:rPr>
          <w:rFonts w:ascii="Palatino Linotype" w:hAnsi="Palatino Linotype" w:cs="Noto Serif"/>
          <w:b/>
          <w:bCs/>
          <w:i/>
          <w:color w:val="auto"/>
          <w:sz w:val="22"/>
          <w:szCs w:val="22"/>
        </w:rPr>
        <w:t>k beyan</w:t>
      </w:r>
      <w:r w:rsidRPr="00617081">
        <w:rPr>
          <w:rFonts w:ascii="Palatino Linotype" w:hAnsi="Palatino Linotype" w:cs="Cambria"/>
          <w:b/>
          <w:bCs/>
          <w:i/>
          <w:color w:val="auto"/>
          <w:sz w:val="22"/>
          <w:szCs w:val="22"/>
        </w:rPr>
        <w:t>ı</w:t>
      </w:r>
      <w:r w:rsidRPr="00617081">
        <w:rPr>
          <w:rFonts w:ascii="Palatino Linotype" w:hAnsi="Palatino Linotype" w:cs="Noto Serif"/>
          <w:b/>
          <w:bCs/>
          <w:i/>
          <w:color w:val="auto"/>
          <w:sz w:val="22"/>
          <w:szCs w:val="22"/>
        </w:rPr>
        <w:t>”</w:t>
      </w:r>
      <w:r w:rsidRPr="00617081">
        <w:rPr>
          <w:rFonts w:ascii="Palatino Linotype" w:hAnsi="Palatino Linotype" w:cs="Noto Serif"/>
          <w:b/>
          <w:bCs/>
          <w:color w:val="auto"/>
          <w:sz w:val="22"/>
          <w:szCs w:val="22"/>
        </w:rPr>
        <w:t xml:space="preserve"> olarak kabul edilemez.</w:t>
      </w:r>
      <w:r w:rsidRPr="00617081">
        <w:rPr>
          <w:rFonts w:ascii="Palatino Linotype" w:hAnsi="Palatino Linotype" w:cs="Noto Serif"/>
          <w:color w:val="auto"/>
          <w:sz w:val="22"/>
          <w:szCs w:val="22"/>
        </w:rPr>
        <w:t xml:space="preserve"> Zira kimlerin tan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k olabilece</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i ve ifadelerinin nas</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l al</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naca</w:t>
      </w:r>
      <w:r w:rsidRPr="00617081">
        <w:rPr>
          <w:rFonts w:ascii="Palatino Linotype" w:hAnsi="Palatino Linotype" w:cs="Cambria"/>
          <w:color w:val="auto"/>
          <w:sz w:val="22"/>
          <w:szCs w:val="22"/>
        </w:rPr>
        <w:t>ğı</w:t>
      </w:r>
      <w:r w:rsidRPr="00617081">
        <w:rPr>
          <w:rFonts w:ascii="Palatino Linotype" w:hAnsi="Palatino Linotype" w:cs="Noto Serif"/>
          <w:color w:val="auto"/>
          <w:sz w:val="22"/>
          <w:szCs w:val="22"/>
        </w:rPr>
        <w:t xml:space="preserve"> CMK’n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 43 ve devam</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maddelerinde düzenlenmi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 xml:space="preserve"> olup bu yasal düzenlemeye uygun olmayan hiçbir ifade ki, </w:t>
      </w:r>
      <w:r w:rsidRPr="00617081">
        <w:rPr>
          <w:rFonts w:ascii="Palatino Linotype" w:hAnsi="Palatino Linotype" w:cs="Noto Serif"/>
          <w:b/>
          <w:bCs/>
          <w:color w:val="auto"/>
          <w:sz w:val="22"/>
          <w:szCs w:val="22"/>
        </w:rPr>
        <w:t>M</w:t>
      </w:r>
      <w:r w:rsidRPr="00617081">
        <w:rPr>
          <w:rFonts w:ascii="Palatino Linotype" w:hAnsi="Palatino Linotype" w:cs="Cambria"/>
          <w:b/>
          <w:bCs/>
          <w:color w:val="auto"/>
          <w:sz w:val="22"/>
          <w:szCs w:val="22"/>
        </w:rPr>
        <w:t>İ</w:t>
      </w:r>
      <w:r w:rsidRPr="00617081">
        <w:rPr>
          <w:rFonts w:ascii="Palatino Linotype" w:hAnsi="Palatino Linotype" w:cs="Noto Serif"/>
          <w:b/>
          <w:bCs/>
          <w:color w:val="auto"/>
          <w:sz w:val="22"/>
          <w:szCs w:val="22"/>
        </w:rPr>
        <w:t>T bunu kendi yasas</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na uygun yapsa dahi mahkemeler için tan</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k ifadesi olarak kabul edilemez.</w:t>
      </w:r>
      <w:r w:rsidRPr="00617081">
        <w:rPr>
          <w:rFonts w:ascii="Palatino Linotype" w:hAnsi="Palatino Linotype" w:cs="Noto Serif"/>
          <w:color w:val="auto"/>
          <w:sz w:val="22"/>
          <w:szCs w:val="22"/>
        </w:rPr>
        <w:t xml:space="preserve"> </w:t>
      </w:r>
    </w:p>
    <w:p w14:paraId="081BFFBA" w14:textId="77777777" w:rsidR="00E52E47" w:rsidRPr="00617081" w:rsidRDefault="00E52E47" w:rsidP="004D60B0">
      <w:pPr>
        <w:pStyle w:val="Default"/>
        <w:tabs>
          <w:tab w:val="left" w:pos="709"/>
        </w:tabs>
        <w:spacing w:after="160" w:line="271" w:lineRule="auto"/>
        <w:ind w:right="-22" w:firstLine="709"/>
        <w:jc w:val="both"/>
        <w:rPr>
          <w:rFonts w:ascii="Palatino Linotype" w:hAnsi="Palatino Linotype" w:cs="Noto Serif"/>
          <w:color w:val="auto"/>
          <w:sz w:val="22"/>
          <w:szCs w:val="22"/>
        </w:rPr>
      </w:pPr>
      <w:r w:rsidRPr="00617081">
        <w:rPr>
          <w:rFonts w:ascii="Palatino Linotype" w:hAnsi="Palatino Linotype" w:cs="Noto Serif"/>
          <w:color w:val="auto"/>
          <w:sz w:val="22"/>
          <w:szCs w:val="22"/>
        </w:rPr>
        <w:t>Ayr</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ca,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T'in yasal yetkisi çerçevesinde yapt</w:t>
      </w:r>
      <w:r w:rsidRPr="00617081">
        <w:rPr>
          <w:rFonts w:ascii="Palatino Linotype" w:hAnsi="Palatino Linotype" w:cs="Cambria"/>
          <w:color w:val="auto"/>
          <w:sz w:val="22"/>
          <w:szCs w:val="22"/>
        </w:rPr>
        <w:t>ığı</w:t>
      </w:r>
      <w:r w:rsidRPr="00617081">
        <w:rPr>
          <w:rFonts w:ascii="Palatino Linotype" w:hAnsi="Palatino Linotype" w:cs="Noto Serif"/>
          <w:color w:val="auto"/>
          <w:sz w:val="22"/>
          <w:szCs w:val="22"/>
        </w:rPr>
        <w:t xml:space="preserve"> baz</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 xml:space="preserve">lemler </w:t>
      </w:r>
      <w:r w:rsidRPr="00617081">
        <w:rPr>
          <w:rFonts w:ascii="Palatino Linotype" w:hAnsi="Palatino Linotype" w:cs="Noto Serif"/>
          <w:b/>
          <w:bCs/>
          <w:color w:val="auto"/>
          <w:sz w:val="22"/>
          <w:szCs w:val="22"/>
        </w:rPr>
        <w:t>CMK ba</w:t>
      </w:r>
      <w:r w:rsidRPr="00617081">
        <w:rPr>
          <w:rFonts w:ascii="Palatino Linotype" w:hAnsi="Palatino Linotype" w:cs="Cambria"/>
          <w:b/>
          <w:bCs/>
          <w:color w:val="auto"/>
          <w:sz w:val="22"/>
          <w:szCs w:val="22"/>
        </w:rPr>
        <w:t>ğ</w:t>
      </w:r>
      <w:r w:rsidRPr="00617081">
        <w:rPr>
          <w:rFonts w:ascii="Palatino Linotype" w:hAnsi="Palatino Linotype" w:cs="Noto Serif"/>
          <w:b/>
          <w:bCs/>
          <w:color w:val="auto"/>
          <w:sz w:val="22"/>
          <w:szCs w:val="22"/>
        </w:rPr>
        <w:t>lam</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nda delil olarak kabul edilmemektedir.</w:t>
      </w:r>
      <w:r w:rsidRPr="00617081">
        <w:rPr>
          <w:rFonts w:ascii="Palatino Linotype" w:hAnsi="Palatino Linotype" w:cs="Noto Serif"/>
          <w:color w:val="auto"/>
          <w:sz w:val="22"/>
          <w:szCs w:val="22"/>
        </w:rPr>
        <w:t xml:space="preserve"> Örne</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in,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T’in 2937 say</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l</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Kanunun 6. maddesine göre ileti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imin tespiti (önleme dinlemesi) yapma yetkisi bulunmaktad</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r. </w:t>
      </w:r>
      <w:r w:rsidRPr="00617081">
        <w:rPr>
          <w:rFonts w:ascii="Palatino Linotype" w:hAnsi="Palatino Linotype" w:cs="Noto Serif"/>
          <w:b/>
          <w:bCs/>
          <w:color w:val="auto"/>
          <w:sz w:val="22"/>
          <w:szCs w:val="22"/>
        </w:rPr>
        <w:t>Ancak, M</w:t>
      </w:r>
      <w:r w:rsidRPr="00617081">
        <w:rPr>
          <w:rFonts w:ascii="Palatino Linotype" w:hAnsi="Palatino Linotype" w:cs="Cambria"/>
          <w:b/>
          <w:bCs/>
          <w:color w:val="auto"/>
          <w:sz w:val="22"/>
          <w:szCs w:val="22"/>
        </w:rPr>
        <w:t>İ</w:t>
      </w:r>
      <w:r w:rsidRPr="00617081">
        <w:rPr>
          <w:rFonts w:ascii="Palatino Linotype" w:hAnsi="Palatino Linotype" w:cs="Noto Serif"/>
          <w:b/>
          <w:bCs/>
          <w:color w:val="auto"/>
          <w:sz w:val="22"/>
          <w:szCs w:val="22"/>
        </w:rPr>
        <w:t>T’in hukuka uygun olarak elde etti</w:t>
      </w:r>
      <w:r w:rsidRPr="00617081">
        <w:rPr>
          <w:rFonts w:ascii="Palatino Linotype" w:hAnsi="Palatino Linotype" w:cs="Cambria"/>
          <w:b/>
          <w:bCs/>
          <w:color w:val="auto"/>
          <w:sz w:val="22"/>
          <w:szCs w:val="22"/>
        </w:rPr>
        <w:t>ğ</w:t>
      </w:r>
      <w:r w:rsidRPr="00617081">
        <w:rPr>
          <w:rFonts w:ascii="Palatino Linotype" w:hAnsi="Palatino Linotype" w:cs="Noto Serif"/>
          <w:b/>
          <w:bCs/>
          <w:color w:val="auto"/>
          <w:sz w:val="22"/>
          <w:szCs w:val="22"/>
        </w:rPr>
        <w:t xml:space="preserve">i bu veriler </w:t>
      </w:r>
      <w:r w:rsidRPr="00617081">
        <w:rPr>
          <w:rFonts w:ascii="Palatino Linotype" w:hAnsi="Palatino Linotype" w:cs="Noto Serif"/>
          <w:b/>
          <w:bCs/>
          <w:i/>
          <w:color w:val="auto"/>
          <w:sz w:val="22"/>
          <w:szCs w:val="22"/>
        </w:rPr>
        <w:t>“delil”</w:t>
      </w:r>
      <w:r w:rsidRPr="00617081">
        <w:rPr>
          <w:rFonts w:ascii="Palatino Linotype" w:hAnsi="Palatino Linotype" w:cs="Noto Serif"/>
          <w:b/>
          <w:bCs/>
          <w:color w:val="auto"/>
          <w:sz w:val="22"/>
          <w:szCs w:val="22"/>
        </w:rPr>
        <w:t xml:space="preserve"> olarak kullan</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lamaz. Bu husus yasada aç</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kça belirtilmi</w:t>
      </w:r>
      <w:r w:rsidRPr="00617081">
        <w:rPr>
          <w:rFonts w:ascii="Palatino Linotype" w:hAnsi="Palatino Linotype" w:cs="Cambria"/>
          <w:b/>
          <w:bCs/>
          <w:color w:val="auto"/>
          <w:sz w:val="22"/>
          <w:szCs w:val="22"/>
        </w:rPr>
        <w:t>ş</w:t>
      </w:r>
      <w:r w:rsidRPr="00617081">
        <w:rPr>
          <w:rFonts w:ascii="Palatino Linotype" w:hAnsi="Palatino Linotype" w:cs="Noto Serif"/>
          <w:b/>
          <w:bCs/>
          <w:color w:val="auto"/>
          <w:sz w:val="22"/>
          <w:szCs w:val="22"/>
        </w:rPr>
        <w:t>tir.</w:t>
      </w:r>
      <w:r w:rsidRPr="00617081">
        <w:rPr>
          <w:rFonts w:ascii="Palatino Linotype" w:hAnsi="Palatino Linotype" w:cs="Noto Serif"/>
          <w:color w:val="auto"/>
          <w:sz w:val="22"/>
          <w:szCs w:val="22"/>
        </w:rPr>
        <w:t xml:space="preserve">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T’in temin etti</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i tan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k beyan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veya önleme dinleme bilgilerinin </w:t>
      </w:r>
      <w:r w:rsidRPr="00617081">
        <w:rPr>
          <w:rFonts w:ascii="Palatino Linotype" w:hAnsi="Palatino Linotype" w:cs="Noto Serif"/>
          <w:i/>
          <w:color w:val="auto"/>
          <w:sz w:val="22"/>
          <w:szCs w:val="22"/>
        </w:rPr>
        <w:t>“delil”</w:t>
      </w:r>
      <w:r w:rsidRPr="00617081">
        <w:rPr>
          <w:rFonts w:ascii="Palatino Linotype" w:hAnsi="Palatino Linotype" w:cs="Noto Serif"/>
          <w:color w:val="auto"/>
          <w:sz w:val="22"/>
          <w:szCs w:val="22"/>
        </w:rPr>
        <w:t xml:space="preserve"> olarak kullan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lamad</w:t>
      </w:r>
      <w:r w:rsidRPr="00617081">
        <w:rPr>
          <w:rFonts w:ascii="Palatino Linotype" w:hAnsi="Palatino Linotype" w:cs="Cambria"/>
          <w:color w:val="auto"/>
          <w:sz w:val="22"/>
          <w:szCs w:val="22"/>
        </w:rPr>
        <w:t>ığı</w:t>
      </w:r>
      <w:r w:rsidRPr="00617081">
        <w:rPr>
          <w:rFonts w:ascii="Palatino Linotype" w:hAnsi="Palatino Linotype" w:cs="Noto Serif"/>
          <w:color w:val="auto"/>
          <w:sz w:val="22"/>
          <w:szCs w:val="22"/>
        </w:rPr>
        <w:t xml:space="preserve"> bir yerde dijital verilerin </w:t>
      </w:r>
      <w:r w:rsidRPr="00617081">
        <w:rPr>
          <w:rFonts w:ascii="Palatino Linotype" w:hAnsi="Palatino Linotype" w:cs="Noto Serif"/>
          <w:b/>
          <w:bCs/>
          <w:color w:val="auto"/>
          <w:sz w:val="22"/>
          <w:szCs w:val="22"/>
        </w:rPr>
        <w:t>delil olarak kullan</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lmas</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 xml:space="preserve"> mümkün de</w:t>
      </w:r>
      <w:r w:rsidRPr="00617081">
        <w:rPr>
          <w:rFonts w:ascii="Palatino Linotype" w:hAnsi="Palatino Linotype" w:cs="Cambria"/>
          <w:b/>
          <w:bCs/>
          <w:color w:val="auto"/>
          <w:sz w:val="22"/>
          <w:szCs w:val="22"/>
        </w:rPr>
        <w:t>ğ</w:t>
      </w:r>
      <w:r w:rsidRPr="00617081">
        <w:rPr>
          <w:rFonts w:ascii="Palatino Linotype" w:hAnsi="Palatino Linotype" w:cs="Noto Serif"/>
          <w:b/>
          <w:bCs/>
          <w:color w:val="auto"/>
          <w:sz w:val="22"/>
          <w:szCs w:val="22"/>
        </w:rPr>
        <w:t>ildir.</w:t>
      </w:r>
      <w:r w:rsidRPr="00617081">
        <w:rPr>
          <w:rFonts w:ascii="Palatino Linotype" w:hAnsi="Palatino Linotype" w:cs="Noto Serif"/>
          <w:color w:val="auto"/>
          <w:sz w:val="22"/>
          <w:szCs w:val="22"/>
        </w:rPr>
        <w:t xml:space="preserve"> </w:t>
      </w:r>
    </w:p>
    <w:p w14:paraId="352E2916" w14:textId="77777777" w:rsidR="00E52E47" w:rsidRPr="00617081" w:rsidRDefault="00E52E47" w:rsidP="004D60B0">
      <w:pPr>
        <w:pStyle w:val="Default"/>
        <w:tabs>
          <w:tab w:val="left" w:pos="709"/>
        </w:tabs>
        <w:spacing w:after="160" w:line="271" w:lineRule="auto"/>
        <w:ind w:right="-22" w:firstLine="709"/>
        <w:jc w:val="both"/>
        <w:rPr>
          <w:rFonts w:ascii="Palatino Linotype" w:hAnsi="Palatino Linotype" w:cs="Noto Serif"/>
          <w:b/>
          <w:bCs/>
          <w:color w:val="auto"/>
          <w:sz w:val="22"/>
          <w:szCs w:val="22"/>
        </w:rPr>
      </w:pPr>
      <w:r w:rsidRPr="00617081">
        <w:rPr>
          <w:rFonts w:ascii="Palatino Linotype" w:hAnsi="Palatino Linotype" w:cs="Noto Serif"/>
          <w:color w:val="auto"/>
          <w:sz w:val="22"/>
          <w:szCs w:val="22"/>
        </w:rPr>
        <w:t>K</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saca, bir devlet kurumunun hukuka uygun olarak elde etti</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i her bilgi CMK anlam</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nda yasal delil de</w:t>
      </w:r>
      <w:r w:rsidRPr="00617081">
        <w:rPr>
          <w:rFonts w:ascii="Palatino Linotype" w:hAnsi="Palatino Linotype" w:cs="Cambria"/>
          <w:color w:val="auto"/>
          <w:sz w:val="22"/>
          <w:szCs w:val="22"/>
        </w:rPr>
        <w:t>ğ</w:t>
      </w:r>
      <w:r w:rsidRPr="00617081">
        <w:rPr>
          <w:rFonts w:ascii="Palatino Linotype" w:hAnsi="Palatino Linotype" w:cs="Noto Serif"/>
          <w:color w:val="auto"/>
          <w:sz w:val="22"/>
          <w:szCs w:val="22"/>
        </w:rPr>
        <w:t>ildir. Bilgisayar, program veya kütüklerindeki arama ve el koyma da CMK’n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 134. maddesine uygun yap</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ld</w:t>
      </w:r>
      <w:r w:rsidRPr="00617081">
        <w:rPr>
          <w:rFonts w:ascii="Palatino Linotype" w:hAnsi="Palatino Linotype" w:cs="Cambria"/>
          <w:color w:val="auto"/>
          <w:sz w:val="22"/>
          <w:szCs w:val="22"/>
        </w:rPr>
        <w:t>ığı</w:t>
      </w:r>
      <w:r w:rsidRPr="00617081">
        <w:rPr>
          <w:rFonts w:ascii="Palatino Linotype" w:hAnsi="Palatino Linotype" w:cs="Noto Serif"/>
          <w:color w:val="auto"/>
          <w:sz w:val="22"/>
          <w:szCs w:val="22"/>
        </w:rPr>
        <w:t xml:space="preserve"> takdirde yasal delil olabilir.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T’in, CMK’n</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n 134/2. maddesindeki </w:t>
      </w:r>
      <w:r w:rsidRPr="00617081">
        <w:rPr>
          <w:rFonts w:ascii="Palatino Linotype" w:hAnsi="Palatino Linotype" w:cs="Noto Serif"/>
          <w:i/>
          <w:color w:val="auto"/>
          <w:sz w:val="22"/>
          <w:szCs w:val="22"/>
        </w:rPr>
        <w:t>“el koyma”</w:t>
      </w:r>
      <w:r w:rsidRPr="00617081">
        <w:rPr>
          <w:rFonts w:ascii="Palatino Linotype" w:hAnsi="Palatino Linotype" w:cs="Noto Serif"/>
          <w:color w:val="auto"/>
          <w:sz w:val="22"/>
          <w:szCs w:val="22"/>
        </w:rPr>
        <w:t xml:space="preserve"> 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lemini hakim (savc</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karar</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olmadan yapmas</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hukuka ayk</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r</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d</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r. Hukuka ayk</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r</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 xml:space="preserve"> </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 xml:space="preserve">ekilde </w:t>
      </w:r>
      <w:r w:rsidRPr="00617081">
        <w:rPr>
          <w:rFonts w:ascii="Palatino Linotype" w:hAnsi="Palatino Linotype" w:cs="Noto Serif"/>
          <w:i/>
          <w:color w:val="auto"/>
          <w:sz w:val="22"/>
          <w:szCs w:val="22"/>
        </w:rPr>
        <w:t>“el konulan”</w:t>
      </w:r>
      <w:r w:rsidRPr="00617081">
        <w:rPr>
          <w:rFonts w:ascii="Palatino Linotype" w:hAnsi="Palatino Linotype" w:cs="Noto Serif"/>
          <w:color w:val="auto"/>
          <w:sz w:val="22"/>
          <w:szCs w:val="22"/>
        </w:rPr>
        <w:t xml:space="preserve"> bu hard disk ve flash bellekteki veriler üzerinde </w:t>
      </w:r>
      <w:r w:rsidRPr="00617081">
        <w:rPr>
          <w:rFonts w:ascii="Palatino Linotype" w:hAnsi="Palatino Linotype" w:cs="Noto Serif"/>
          <w:b/>
          <w:bCs/>
          <w:color w:val="auto"/>
          <w:sz w:val="22"/>
          <w:szCs w:val="22"/>
        </w:rPr>
        <w:t>sonradan verilen hakim karar</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 xml:space="preserve"> ile </w:t>
      </w:r>
      <w:r w:rsidRPr="00617081">
        <w:rPr>
          <w:rFonts w:ascii="Palatino Linotype" w:hAnsi="Palatino Linotype" w:cs="Noto Serif"/>
          <w:b/>
          <w:bCs/>
          <w:i/>
          <w:color w:val="auto"/>
          <w:sz w:val="22"/>
          <w:szCs w:val="22"/>
        </w:rPr>
        <w:t>“arama”</w:t>
      </w:r>
      <w:r w:rsidRPr="00617081">
        <w:rPr>
          <w:rFonts w:ascii="Palatino Linotype" w:hAnsi="Palatino Linotype" w:cs="Noto Serif"/>
          <w:b/>
          <w:bCs/>
          <w:color w:val="auto"/>
          <w:sz w:val="22"/>
          <w:szCs w:val="22"/>
        </w:rPr>
        <w:t xml:space="preserve"> yap</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lmas</w:t>
      </w:r>
      <w:r w:rsidRPr="00617081">
        <w:rPr>
          <w:rFonts w:ascii="Palatino Linotype" w:hAnsi="Palatino Linotype" w:cs="Cambria"/>
          <w:b/>
          <w:bCs/>
          <w:color w:val="auto"/>
          <w:sz w:val="22"/>
          <w:szCs w:val="22"/>
        </w:rPr>
        <w:t>ı</w:t>
      </w:r>
      <w:r w:rsidRPr="00617081">
        <w:rPr>
          <w:rFonts w:ascii="Palatino Linotype" w:hAnsi="Palatino Linotype" w:cs="Noto Serif"/>
          <w:b/>
          <w:bCs/>
          <w:color w:val="auto"/>
          <w:sz w:val="22"/>
          <w:szCs w:val="22"/>
        </w:rPr>
        <w:t xml:space="preserve"> mümkün de</w:t>
      </w:r>
      <w:r w:rsidRPr="00617081">
        <w:rPr>
          <w:rFonts w:ascii="Palatino Linotype" w:hAnsi="Palatino Linotype" w:cs="Cambria"/>
          <w:b/>
          <w:bCs/>
          <w:color w:val="auto"/>
          <w:sz w:val="22"/>
          <w:szCs w:val="22"/>
        </w:rPr>
        <w:t>ğ</w:t>
      </w:r>
      <w:r w:rsidRPr="00617081">
        <w:rPr>
          <w:rFonts w:ascii="Palatino Linotype" w:hAnsi="Palatino Linotype" w:cs="Noto Serif"/>
          <w:b/>
          <w:bCs/>
          <w:color w:val="auto"/>
          <w:sz w:val="22"/>
          <w:szCs w:val="22"/>
        </w:rPr>
        <w:t>ildir ve sonradan verilen bu karar, i</w:t>
      </w:r>
      <w:r w:rsidRPr="00617081">
        <w:rPr>
          <w:rFonts w:ascii="Palatino Linotype" w:hAnsi="Palatino Linotype" w:cs="Cambria"/>
          <w:b/>
          <w:bCs/>
          <w:color w:val="auto"/>
          <w:sz w:val="22"/>
          <w:szCs w:val="22"/>
        </w:rPr>
        <w:t>ş</w:t>
      </w:r>
      <w:r w:rsidRPr="00617081">
        <w:rPr>
          <w:rFonts w:ascii="Palatino Linotype" w:hAnsi="Palatino Linotype" w:cs="Noto Serif"/>
          <w:b/>
          <w:bCs/>
          <w:color w:val="auto"/>
          <w:sz w:val="22"/>
          <w:szCs w:val="22"/>
        </w:rPr>
        <w:t>lemi hukuka uygun hale getirmez. Çünkü arama ve el koyma tedbiri bir bütündür ve bölünemez.</w:t>
      </w:r>
    </w:p>
    <w:p w14:paraId="46EAF268" w14:textId="77777777" w:rsidR="00E52E47" w:rsidRPr="00617081" w:rsidRDefault="00E52E47" w:rsidP="004D60B0">
      <w:pPr>
        <w:pStyle w:val="Default"/>
        <w:tabs>
          <w:tab w:val="left" w:pos="709"/>
        </w:tabs>
        <w:spacing w:after="160" w:line="271" w:lineRule="auto"/>
        <w:ind w:right="-22" w:firstLine="709"/>
        <w:jc w:val="both"/>
        <w:rPr>
          <w:rFonts w:ascii="Palatino Linotype" w:hAnsi="Palatino Linotype" w:cs="Noto Serif"/>
          <w:sz w:val="22"/>
          <w:szCs w:val="22"/>
        </w:rPr>
      </w:pPr>
      <w:r w:rsidRPr="00617081">
        <w:rPr>
          <w:rFonts w:ascii="Palatino Linotype" w:hAnsi="Palatino Linotype" w:cs="Noto Serif"/>
          <w:sz w:val="22"/>
          <w:szCs w:val="22"/>
        </w:rPr>
        <w:t>Bu hukuka ayk</w:t>
      </w:r>
      <w:r w:rsidRPr="00617081">
        <w:rPr>
          <w:rFonts w:ascii="Palatino Linotype" w:hAnsi="Palatino Linotype" w:cs="Cambria"/>
          <w:sz w:val="22"/>
          <w:szCs w:val="22"/>
        </w:rPr>
        <w:t>ı</w:t>
      </w:r>
      <w:r w:rsidRPr="00617081">
        <w:rPr>
          <w:rFonts w:ascii="Palatino Linotype" w:hAnsi="Palatino Linotype" w:cs="Noto Serif"/>
          <w:sz w:val="22"/>
          <w:szCs w:val="22"/>
        </w:rPr>
        <w:t>r</w:t>
      </w:r>
      <w:r w:rsidRPr="00617081">
        <w:rPr>
          <w:rFonts w:ascii="Palatino Linotype" w:hAnsi="Palatino Linotype" w:cs="Cambria"/>
          <w:sz w:val="22"/>
          <w:szCs w:val="22"/>
        </w:rPr>
        <w:t>ı</w:t>
      </w:r>
      <w:r w:rsidRPr="00617081">
        <w:rPr>
          <w:rFonts w:ascii="Palatino Linotype" w:hAnsi="Palatino Linotype" w:cs="Noto Serif"/>
          <w:sz w:val="22"/>
          <w:szCs w:val="22"/>
        </w:rPr>
        <w:t>l</w:t>
      </w:r>
      <w:r w:rsidRPr="00617081">
        <w:rPr>
          <w:rFonts w:ascii="Palatino Linotype" w:hAnsi="Palatino Linotype" w:cs="Cambria"/>
          <w:sz w:val="22"/>
          <w:szCs w:val="22"/>
        </w:rPr>
        <w:t>ı</w:t>
      </w:r>
      <w:r w:rsidRPr="00617081">
        <w:rPr>
          <w:rFonts w:ascii="Palatino Linotype" w:hAnsi="Palatino Linotype" w:cs="Noto Serif"/>
          <w:sz w:val="22"/>
          <w:szCs w:val="22"/>
        </w:rPr>
        <w:t>k çok iyi bilen AYM ve Yarg</w:t>
      </w:r>
      <w:r w:rsidRPr="00617081">
        <w:rPr>
          <w:rFonts w:ascii="Palatino Linotype" w:hAnsi="Palatino Linotype" w:cs="Cambria"/>
          <w:sz w:val="22"/>
          <w:szCs w:val="22"/>
        </w:rPr>
        <w:t>ı</w:t>
      </w:r>
      <w:r w:rsidRPr="00617081">
        <w:rPr>
          <w:rFonts w:ascii="Palatino Linotype" w:hAnsi="Palatino Linotype" w:cs="Noto Serif"/>
          <w:sz w:val="22"/>
          <w:szCs w:val="22"/>
        </w:rPr>
        <w:t>tay, Bylock’la ilgili hukuki süreci verilerin savc</w:t>
      </w:r>
      <w:r w:rsidRPr="00617081">
        <w:rPr>
          <w:rFonts w:ascii="Palatino Linotype" w:hAnsi="Palatino Linotype" w:cs="Cambria"/>
          <w:sz w:val="22"/>
          <w:szCs w:val="22"/>
        </w:rPr>
        <w:t>ı</w:t>
      </w:r>
      <w:r w:rsidRPr="00617081">
        <w:rPr>
          <w:rFonts w:ascii="Palatino Linotype" w:hAnsi="Palatino Linotype" w:cs="Noto Serif"/>
          <w:sz w:val="22"/>
          <w:szCs w:val="22"/>
        </w:rPr>
        <w:t>l</w:t>
      </w:r>
      <w:r w:rsidRPr="00617081">
        <w:rPr>
          <w:rFonts w:ascii="Palatino Linotype" w:hAnsi="Palatino Linotype" w:cs="Cambria"/>
          <w:sz w:val="22"/>
          <w:szCs w:val="22"/>
        </w:rPr>
        <w:t>ığ</w:t>
      </w:r>
      <w:r w:rsidRPr="00617081">
        <w:rPr>
          <w:rFonts w:ascii="Palatino Linotype" w:hAnsi="Palatino Linotype" w:cs="Noto Serif"/>
          <w:sz w:val="22"/>
          <w:szCs w:val="22"/>
        </w:rPr>
        <w:t xml:space="preserve">a </w:t>
      </w:r>
      <w:r w:rsidRPr="00617081">
        <w:rPr>
          <w:rFonts w:ascii="Palatino Linotype" w:hAnsi="Palatino Linotype" w:cs="Noto Serif"/>
          <w:b/>
          <w:bCs/>
          <w:sz w:val="22"/>
          <w:szCs w:val="22"/>
        </w:rPr>
        <w:t>tesliminden sonra ba</w:t>
      </w:r>
      <w:r w:rsidRPr="00617081">
        <w:rPr>
          <w:rFonts w:ascii="Palatino Linotype" w:hAnsi="Palatino Linotype" w:cs="Cambria"/>
          <w:b/>
          <w:bCs/>
          <w:sz w:val="22"/>
          <w:szCs w:val="22"/>
        </w:rPr>
        <w:t>ş</w:t>
      </w:r>
      <w:r w:rsidRPr="00617081">
        <w:rPr>
          <w:rFonts w:ascii="Palatino Linotype" w:hAnsi="Palatino Linotype" w:cs="Noto Serif"/>
          <w:b/>
          <w:bCs/>
          <w:sz w:val="22"/>
          <w:szCs w:val="22"/>
        </w:rPr>
        <w:t>latm</w:t>
      </w:r>
      <w:r w:rsidRPr="00617081">
        <w:rPr>
          <w:rFonts w:ascii="Palatino Linotype" w:hAnsi="Palatino Linotype" w:cs="Cambria"/>
          <w:b/>
          <w:bCs/>
          <w:sz w:val="22"/>
          <w:szCs w:val="22"/>
        </w:rPr>
        <w:t>ış</w:t>
      </w:r>
      <w:r w:rsidRPr="00617081">
        <w:rPr>
          <w:rFonts w:ascii="Palatino Linotype" w:hAnsi="Palatino Linotype" w:cs="Noto Serif"/>
          <w:b/>
          <w:bCs/>
          <w:sz w:val="22"/>
          <w:szCs w:val="22"/>
        </w:rPr>
        <w:t>lar</w:t>
      </w:r>
      <w:r w:rsidRPr="00617081">
        <w:rPr>
          <w:rFonts w:ascii="Palatino Linotype" w:hAnsi="Palatino Linotype" w:cs="Noto Serif"/>
          <w:sz w:val="22"/>
          <w:szCs w:val="22"/>
        </w:rPr>
        <w:t xml:space="preserve"> ve CMK’n</w:t>
      </w:r>
      <w:r w:rsidRPr="00617081">
        <w:rPr>
          <w:rFonts w:ascii="Palatino Linotype" w:hAnsi="Palatino Linotype" w:cs="Cambria"/>
          <w:sz w:val="22"/>
          <w:szCs w:val="22"/>
        </w:rPr>
        <w:t>ı</w:t>
      </w:r>
      <w:r w:rsidRPr="00617081">
        <w:rPr>
          <w:rFonts w:ascii="Palatino Linotype" w:hAnsi="Palatino Linotype" w:cs="Noto Serif"/>
          <w:sz w:val="22"/>
          <w:szCs w:val="22"/>
        </w:rPr>
        <w:t>n 134. maddesinde kat</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 </w:t>
      </w:r>
      <w:r w:rsidRPr="00617081">
        <w:rPr>
          <w:rFonts w:ascii="Palatino Linotype" w:hAnsi="Palatino Linotype" w:cs="Cambria"/>
          <w:sz w:val="22"/>
          <w:szCs w:val="22"/>
        </w:rPr>
        <w:t>ş</w:t>
      </w:r>
      <w:r w:rsidRPr="00617081">
        <w:rPr>
          <w:rFonts w:ascii="Palatino Linotype" w:hAnsi="Palatino Linotype" w:cs="Noto Serif"/>
          <w:sz w:val="22"/>
          <w:szCs w:val="22"/>
        </w:rPr>
        <w:t>artlara ba</w:t>
      </w:r>
      <w:r w:rsidRPr="00617081">
        <w:rPr>
          <w:rFonts w:ascii="Palatino Linotype" w:hAnsi="Palatino Linotype" w:cs="Cambria"/>
          <w:sz w:val="22"/>
          <w:szCs w:val="22"/>
        </w:rPr>
        <w:t>ğ</w:t>
      </w:r>
      <w:r w:rsidRPr="00617081">
        <w:rPr>
          <w:rFonts w:ascii="Palatino Linotype" w:hAnsi="Palatino Linotype" w:cs="Noto Serif"/>
          <w:sz w:val="22"/>
          <w:szCs w:val="22"/>
        </w:rPr>
        <w:t>lanm</w:t>
      </w:r>
      <w:r w:rsidRPr="00617081">
        <w:rPr>
          <w:rFonts w:ascii="Palatino Linotype" w:hAnsi="Palatino Linotype" w:cs="Cambria"/>
          <w:sz w:val="22"/>
          <w:szCs w:val="22"/>
        </w:rPr>
        <w:t>ış</w:t>
      </w:r>
      <w:r w:rsidRPr="00617081">
        <w:rPr>
          <w:rFonts w:ascii="Palatino Linotype" w:hAnsi="Palatino Linotype" w:cs="Noto Serif"/>
          <w:sz w:val="22"/>
          <w:szCs w:val="22"/>
        </w:rPr>
        <w:t xml:space="preserve"> hukuki süreci geçmi</w:t>
      </w:r>
      <w:r w:rsidRPr="00617081">
        <w:rPr>
          <w:rFonts w:ascii="Palatino Linotype" w:hAnsi="Palatino Linotype" w:cs="Cambria"/>
          <w:sz w:val="22"/>
          <w:szCs w:val="22"/>
        </w:rPr>
        <w:t>ş</w:t>
      </w:r>
      <w:r w:rsidRPr="00617081">
        <w:rPr>
          <w:rFonts w:ascii="Palatino Linotype" w:hAnsi="Palatino Linotype" w:cs="Noto Serif"/>
          <w:sz w:val="22"/>
          <w:szCs w:val="22"/>
        </w:rPr>
        <w:t>e dönük olarak uygulamaya çal</w:t>
      </w:r>
      <w:r w:rsidRPr="00617081">
        <w:rPr>
          <w:rFonts w:ascii="Palatino Linotype" w:hAnsi="Palatino Linotype" w:cs="Cambria"/>
          <w:sz w:val="22"/>
          <w:szCs w:val="22"/>
        </w:rPr>
        <w:t>ış</w:t>
      </w:r>
      <w:r w:rsidRPr="00617081">
        <w:rPr>
          <w:rFonts w:ascii="Palatino Linotype" w:hAnsi="Palatino Linotype" w:cs="Noto Serif"/>
          <w:sz w:val="22"/>
          <w:szCs w:val="22"/>
        </w:rPr>
        <w:t>m</w:t>
      </w:r>
      <w:r w:rsidRPr="00617081">
        <w:rPr>
          <w:rFonts w:ascii="Palatino Linotype" w:hAnsi="Palatino Linotype" w:cs="Cambria"/>
          <w:sz w:val="22"/>
          <w:szCs w:val="22"/>
        </w:rPr>
        <w:t>ış</w:t>
      </w:r>
      <w:r w:rsidRPr="00617081">
        <w:rPr>
          <w:rFonts w:ascii="Palatino Linotype" w:hAnsi="Palatino Linotype" w:cs="Noto Serif"/>
          <w:sz w:val="22"/>
          <w:szCs w:val="22"/>
        </w:rPr>
        <w:t>lard</w:t>
      </w:r>
      <w:r w:rsidRPr="00617081">
        <w:rPr>
          <w:rFonts w:ascii="Palatino Linotype" w:hAnsi="Palatino Linotype" w:cs="Cambria"/>
          <w:sz w:val="22"/>
          <w:szCs w:val="22"/>
        </w:rPr>
        <w:t>ı</w:t>
      </w:r>
      <w:r w:rsidRPr="00617081">
        <w:rPr>
          <w:rFonts w:ascii="Palatino Linotype" w:hAnsi="Palatino Linotype" w:cs="Noto Serif"/>
          <w:sz w:val="22"/>
          <w:szCs w:val="22"/>
        </w:rPr>
        <w:t>r</w:t>
      </w:r>
      <w:r w:rsidRPr="00617081">
        <w:rPr>
          <w:rFonts w:ascii="Palatino Linotype" w:hAnsi="Palatino Linotype" w:cs="Noto Serif"/>
          <w:i/>
          <w:iCs/>
          <w:sz w:val="22"/>
          <w:szCs w:val="22"/>
        </w:rPr>
        <w:t xml:space="preserve">. </w:t>
      </w:r>
      <w:r w:rsidRPr="00617081">
        <w:rPr>
          <w:rFonts w:ascii="Palatino Linotype" w:hAnsi="Palatino Linotype" w:cs="Noto Serif"/>
          <w:sz w:val="22"/>
          <w:szCs w:val="22"/>
        </w:rPr>
        <w:t>Hatta bu hukuksuzlu</w:t>
      </w:r>
      <w:r w:rsidRPr="00617081">
        <w:rPr>
          <w:rFonts w:ascii="Palatino Linotype" w:hAnsi="Palatino Linotype" w:cs="Cambria"/>
          <w:sz w:val="22"/>
          <w:szCs w:val="22"/>
        </w:rPr>
        <w:t>ğ</w:t>
      </w:r>
      <w:r w:rsidRPr="00617081">
        <w:rPr>
          <w:rFonts w:ascii="Palatino Linotype" w:hAnsi="Palatino Linotype" w:cs="Noto Serif"/>
          <w:sz w:val="22"/>
          <w:szCs w:val="22"/>
        </w:rPr>
        <w:t>a nas</w:t>
      </w:r>
      <w:r w:rsidRPr="00617081">
        <w:rPr>
          <w:rFonts w:ascii="Palatino Linotype" w:hAnsi="Palatino Linotype" w:cs="Cambria"/>
          <w:sz w:val="22"/>
          <w:szCs w:val="22"/>
        </w:rPr>
        <w:t>ı</w:t>
      </w:r>
      <w:r w:rsidRPr="00617081">
        <w:rPr>
          <w:rFonts w:ascii="Palatino Linotype" w:hAnsi="Palatino Linotype" w:cs="Noto Serif"/>
          <w:sz w:val="22"/>
          <w:szCs w:val="22"/>
        </w:rPr>
        <w:t>l k</w:t>
      </w:r>
      <w:r w:rsidRPr="00617081">
        <w:rPr>
          <w:rFonts w:ascii="Palatino Linotype" w:hAnsi="Palatino Linotype" w:cs="Cambria"/>
          <w:sz w:val="22"/>
          <w:szCs w:val="22"/>
        </w:rPr>
        <w:t>ı</w:t>
      </w:r>
      <w:r w:rsidRPr="00617081">
        <w:rPr>
          <w:rFonts w:ascii="Palatino Linotype" w:hAnsi="Palatino Linotype" w:cs="Noto Serif"/>
          <w:sz w:val="22"/>
          <w:szCs w:val="22"/>
        </w:rPr>
        <w:t>l</w:t>
      </w:r>
      <w:r w:rsidRPr="00617081">
        <w:rPr>
          <w:rFonts w:ascii="Palatino Linotype" w:hAnsi="Palatino Linotype" w:cs="Cambria"/>
          <w:sz w:val="22"/>
          <w:szCs w:val="22"/>
        </w:rPr>
        <w:t>ı</w:t>
      </w:r>
      <w:r w:rsidRPr="00617081">
        <w:rPr>
          <w:rFonts w:ascii="Palatino Linotype" w:hAnsi="Palatino Linotype" w:cs="Noto Serif"/>
          <w:sz w:val="22"/>
          <w:szCs w:val="22"/>
        </w:rPr>
        <w:t>f uyduraca</w:t>
      </w:r>
      <w:r w:rsidRPr="00617081">
        <w:rPr>
          <w:rFonts w:ascii="Palatino Linotype" w:hAnsi="Palatino Linotype" w:cs="Cambria"/>
          <w:sz w:val="22"/>
          <w:szCs w:val="22"/>
        </w:rPr>
        <w:t>ğı</w:t>
      </w:r>
      <w:r w:rsidRPr="00617081">
        <w:rPr>
          <w:rFonts w:ascii="Palatino Linotype" w:hAnsi="Palatino Linotype" w:cs="Noto Serif"/>
          <w:sz w:val="22"/>
          <w:szCs w:val="22"/>
        </w:rPr>
        <w:t>n</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 </w:t>
      </w:r>
      <w:r w:rsidRPr="00617081">
        <w:rPr>
          <w:rFonts w:ascii="Palatino Linotype" w:hAnsi="Palatino Linotype" w:cs="Cambria"/>
          <w:sz w:val="22"/>
          <w:szCs w:val="22"/>
        </w:rPr>
        <w:t>ş</w:t>
      </w:r>
      <w:r w:rsidRPr="00617081">
        <w:rPr>
          <w:rFonts w:ascii="Palatino Linotype" w:hAnsi="Palatino Linotype" w:cs="Noto Serif"/>
          <w:sz w:val="22"/>
          <w:szCs w:val="22"/>
        </w:rPr>
        <w:t>a</w:t>
      </w:r>
      <w:r w:rsidRPr="00617081">
        <w:rPr>
          <w:rFonts w:ascii="Palatino Linotype" w:hAnsi="Palatino Linotype" w:cs="Cambria"/>
          <w:sz w:val="22"/>
          <w:szCs w:val="22"/>
        </w:rPr>
        <w:t>şı</w:t>
      </w:r>
      <w:r w:rsidRPr="00617081">
        <w:rPr>
          <w:rFonts w:ascii="Palatino Linotype" w:hAnsi="Palatino Linotype" w:cs="Noto Serif"/>
          <w:sz w:val="22"/>
          <w:szCs w:val="22"/>
        </w:rPr>
        <w:t xml:space="preserve">ran Ceza Genel Kurulu; </w:t>
      </w:r>
      <w:r w:rsidRPr="00617081">
        <w:rPr>
          <w:rFonts w:ascii="Palatino Linotype" w:hAnsi="Palatino Linotype" w:cs="Noto Serif"/>
          <w:i/>
          <w:iCs/>
          <w:sz w:val="22"/>
          <w:szCs w:val="22"/>
        </w:rPr>
        <w:t>“M</w:t>
      </w:r>
      <w:r w:rsidRPr="00617081">
        <w:rPr>
          <w:rFonts w:ascii="Palatino Linotype" w:hAnsi="Palatino Linotype" w:cs="Cambria"/>
          <w:i/>
          <w:iCs/>
          <w:sz w:val="22"/>
          <w:szCs w:val="22"/>
        </w:rPr>
        <w:t>İ</w:t>
      </w:r>
      <w:r w:rsidRPr="00617081">
        <w:rPr>
          <w:rFonts w:ascii="Palatino Linotype" w:hAnsi="Palatino Linotype" w:cs="Noto Serif"/>
          <w:i/>
          <w:iCs/>
          <w:sz w:val="22"/>
          <w:szCs w:val="22"/>
        </w:rPr>
        <w:t>T'in yasal yetkisi çerçevesinde temin etti</w:t>
      </w:r>
      <w:r w:rsidRPr="00617081">
        <w:rPr>
          <w:rFonts w:ascii="Palatino Linotype" w:hAnsi="Palatino Linotype" w:cs="Cambria"/>
          <w:i/>
          <w:iCs/>
          <w:sz w:val="22"/>
          <w:szCs w:val="22"/>
        </w:rPr>
        <w:t>ğ</w:t>
      </w:r>
      <w:r w:rsidRPr="00617081">
        <w:rPr>
          <w:rFonts w:ascii="Palatino Linotype" w:hAnsi="Palatino Linotype" w:cs="Noto Serif"/>
          <w:i/>
          <w:iCs/>
          <w:sz w:val="22"/>
          <w:szCs w:val="22"/>
        </w:rPr>
        <w:t>i ByLock veri taban</w:t>
      </w:r>
      <w:r w:rsidRPr="00617081">
        <w:rPr>
          <w:rFonts w:ascii="Palatino Linotype" w:hAnsi="Palatino Linotype" w:cs="Cambria"/>
          <w:i/>
          <w:iCs/>
          <w:sz w:val="22"/>
          <w:szCs w:val="22"/>
        </w:rPr>
        <w:t>ı</w:t>
      </w:r>
      <w:r w:rsidRPr="00617081">
        <w:rPr>
          <w:rFonts w:ascii="Palatino Linotype" w:hAnsi="Palatino Linotype" w:cs="Noto Serif"/>
          <w:i/>
          <w:iCs/>
          <w:sz w:val="22"/>
          <w:szCs w:val="22"/>
        </w:rPr>
        <w:t xml:space="preserve"> üzerinde CMK'nun 134. maddesi gere</w:t>
      </w:r>
      <w:r w:rsidRPr="00617081">
        <w:rPr>
          <w:rFonts w:ascii="Palatino Linotype" w:hAnsi="Palatino Linotype" w:cs="Cambria"/>
          <w:i/>
          <w:iCs/>
          <w:sz w:val="22"/>
          <w:szCs w:val="22"/>
        </w:rPr>
        <w:t>ğ</w:t>
      </w:r>
      <w:r w:rsidRPr="00617081">
        <w:rPr>
          <w:rFonts w:ascii="Palatino Linotype" w:hAnsi="Palatino Linotype" w:cs="Noto Serif"/>
          <w:i/>
          <w:iCs/>
          <w:sz w:val="22"/>
          <w:szCs w:val="22"/>
        </w:rPr>
        <w:t xml:space="preserve">ince </w:t>
      </w:r>
      <w:r w:rsidRPr="00617081">
        <w:rPr>
          <w:rFonts w:ascii="Palatino Linotype" w:hAnsi="Palatino Linotype" w:cs="Noto Serif"/>
          <w:b/>
          <w:bCs/>
          <w:i/>
          <w:iCs/>
          <w:sz w:val="22"/>
          <w:szCs w:val="22"/>
          <w:u w:val="single"/>
        </w:rPr>
        <w:t>geçmi</w:t>
      </w:r>
      <w:r w:rsidRPr="00617081">
        <w:rPr>
          <w:rFonts w:ascii="Palatino Linotype" w:hAnsi="Palatino Linotype" w:cs="Cambria"/>
          <w:b/>
          <w:bCs/>
          <w:i/>
          <w:iCs/>
          <w:sz w:val="22"/>
          <w:szCs w:val="22"/>
          <w:u w:val="single"/>
        </w:rPr>
        <w:t>ş</w:t>
      </w:r>
      <w:r w:rsidRPr="00617081">
        <w:rPr>
          <w:rFonts w:ascii="Palatino Linotype" w:hAnsi="Palatino Linotype" w:cs="Noto Serif"/>
          <w:b/>
          <w:bCs/>
          <w:i/>
          <w:iCs/>
          <w:sz w:val="22"/>
          <w:szCs w:val="22"/>
          <w:u w:val="single"/>
        </w:rPr>
        <w:t xml:space="preserve">e dönük olarak uygulanan arama tedbirinin; </w:t>
      </w:r>
      <w:r w:rsidRPr="00617081">
        <w:rPr>
          <w:rFonts w:ascii="Palatino Linotype" w:hAnsi="Palatino Linotype" w:cs="Noto Serif"/>
          <w:i/>
          <w:iCs/>
          <w:sz w:val="22"/>
          <w:szCs w:val="22"/>
        </w:rPr>
        <w:t>“demokratik bir ülkede gereklilik” ve “orant</w:t>
      </w:r>
      <w:r w:rsidRPr="00617081">
        <w:rPr>
          <w:rFonts w:ascii="Palatino Linotype" w:hAnsi="Palatino Linotype" w:cs="Cambria"/>
          <w:i/>
          <w:iCs/>
          <w:sz w:val="22"/>
          <w:szCs w:val="22"/>
        </w:rPr>
        <w:t>ı</w:t>
      </w:r>
      <w:r w:rsidRPr="00617081">
        <w:rPr>
          <w:rFonts w:ascii="Palatino Linotype" w:hAnsi="Palatino Linotype" w:cs="Noto Serif"/>
          <w:i/>
          <w:iCs/>
          <w:sz w:val="22"/>
          <w:szCs w:val="22"/>
        </w:rPr>
        <w:t>l</w:t>
      </w:r>
      <w:r w:rsidRPr="00617081">
        <w:rPr>
          <w:rFonts w:ascii="Palatino Linotype" w:hAnsi="Palatino Linotype" w:cs="Cambria"/>
          <w:i/>
          <w:iCs/>
          <w:sz w:val="22"/>
          <w:szCs w:val="22"/>
        </w:rPr>
        <w:t>ı</w:t>
      </w:r>
      <w:r w:rsidRPr="00617081">
        <w:rPr>
          <w:rFonts w:ascii="Palatino Linotype" w:hAnsi="Palatino Linotype" w:cs="Noto Serif"/>
          <w:i/>
          <w:iCs/>
          <w:sz w:val="22"/>
          <w:szCs w:val="22"/>
        </w:rPr>
        <w:t>l</w:t>
      </w:r>
      <w:r w:rsidRPr="00617081">
        <w:rPr>
          <w:rFonts w:ascii="Palatino Linotype" w:hAnsi="Palatino Linotype" w:cs="Cambria"/>
          <w:i/>
          <w:iCs/>
          <w:sz w:val="22"/>
          <w:szCs w:val="22"/>
        </w:rPr>
        <w:t>ı</w:t>
      </w:r>
      <w:r w:rsidRPr="00617081">
        <w:rPr>
          <w:rFonts w:ascii="Palatino Linotype" w:hAnsi="Palatino Linotype" w:cs="Noto Serif"/>
          <w:i/>
          <w:iCs/>
          <w:sz w:val="22"/>
          <w:szCs w:val="22"/>
        </w:rPr>
        <w:t>k” ilkelerine uygun oldu</w:t>
      </w:r>
      <w:r w:rsidRPr="00617081">
        <w:rPr>
          <w:rFonts w:ascii="Palatino Linotype" w:hAnsi="Palatino Linotype" w:cs="Cambria"/>
          <w:i/>
          <w:iCs/>
          <w:sz w:val="22"/>
          <w:szCs w:val="22"/>
        </w:rPr>
        <w:t>ğ</w:t>
      </w:r>
      <w:r w:rsidRPr="00617081">
        <w:rPr>
          <w:rFonts w:ascii="Palatino Linotype" w:hAnsi="Palatino Linotype" w:cs="Noto Serif"/>
          <w:i/>
          <w:iCs/>
          <w:sz w:val="22"/>
          <w:szCs w:val="22"/>
        </w:rPr>
        <w:t>u ku</w:t>
      </w:r>
      <w:r w:rsidRPr="00617081">
        <w:rPr>
          <w:rFonts w:ascii="Palatino Linotype" w:hAnsi="Palatino Linotype" w:cs="Cambria"/>
          <w:i/>
          <w:iCs/>
          <w:sz w:val="22"/>
          <w:szCs w:val="22"/>
        </w:rPr>
        <w:t>ş</w:t>
      </w:r>
      <w:r w:rsidRPr="00617081">
        <w:rPr>
          <w:rFonts w:ascii="Palatino Linotype" w:hAnsi="Palatino Linotype" w:cs="Noto Serif"/>
          <w:i/>
          <w:iCs/>
          <w:sz w:val="22"/>
          <w:szCs w:val="22"/>
        </w:rPr>
        <w:t xml:space="preserve">kusuzdur” </w:t>
      </w:r>
      <w:r w:rsidRPr="00617081">
        <w:rPr>
          <w:rFonts w:ascii="Palatino Linotype" w:hAnsi="Palatino Linotype" w:cs="Noto Serif"/>
          <w:sz w:val="22"/>
          <w:szCs w:val="22"/>
        </w:rPr>
        <w:t>demi</w:t>
      </w:r>
      <w:r w:rsidRPr="00617081">
        <w:rPr>
          <w:rFonts w:ascii="Palatino Linotype" w:hAnsi="Palatino Linotype" w:cs="Cambria"/>
          <w:sz w:val="22"/>
          <w:szCs w:val="22"/>
        </w:rPr>
        <w:t>ş</w:t>
      </w:r>
      <w:r w:rsidRPr="00617081">
        <w:rPr>
          <w:rFonts w:ascii="Palatino Linotype" w:hAnsi="Palatino Linotype" w:cs="Noto Serif"/>
          <w:sz w:val="22"/>
          <w:szCs w:val="22"/>
        </w:rPr>
        <w:t>tir.</w:t>
      </w:r>
      <w:r w:rsidRPr="00617081">
        <w:rPr>
          <w:rStyle w:val="DipnotBavurusu"/>
          <w:rFonts w:ascii="Palatino Linotype" w:hAnsi="Palatino Linotype" w:cs="Noto Serif"/>
          <w:sz w:val="22"/>
          <w:szCs w:val="22"/>
        </w:rPr>
        <w:footnoteReference w:id="5"/>
      </w:r>
      <w:r w:rsidRPr="00617081">
        <w:rPr>
          <w:rFonts w:ascii="Palatino Linotype" w:hAnsi="Palatino Linotype" w:cs="Noto Serif"/>
          <w:sz w:val="22"/>
          <w:szCs w:val="22"/>
        </w:rPr>
        <w:t xml:space="preserve"> Oysa ki, </w:t>
      </w:r>
      <w:r w:rsidRPr="00617081">
        <w:rPr>
          <w:rFonts w:ascii="Palatino Linotype" w:hAnsi="Palatino Linotype" w:cs="Noto Serif"/>
          <w:b/>
          <w:bCs/>
          <w:sz w:val="22"/>
          <w:szCs w:val="22"/>
        </w:rPr>
        <w:t>arama tedbiri geçmi</w:t>
      </w:r>
      <w:r w:rsidRPr="00617081">
        <w:rPr>
          <w:rFonts w:ascii="Palatino Linotype" w:hAnsi="Palatino Linotype" w:cs="Cambria"/>
          <w:b/>
          <w:bCs/>
          <w:sz w:val="22"/>
          <w:szCs w:val="22"/>
        </w:rPr>
        <w:t>ş</w:t>
      </w:r>
      <w:r w:rsidRPr="00617081">
        <w:rPr>
          <w:rFonts w:ascii="Palatino Linotype" w:hAnsi="Palatino Linotype" w:cs="Noto Serif"/>
          <w:b/>
          <w:bCs/>
          <w:sz w:val="22"/>
          <w:szCs w:val="22"/>
        </w:rPr>
        <w:t>e de</w:t>
      </w:r>
      <w:r w:rsidRPr="00617081">
        <w:rPr>
          <w:rFonts w:ascii="Palatino Linotype" w:hAnsi="Palatino Linotype" w:cs="Cambria"/>
          <w:b/>
          <w:bCs/>
          <w:sz w:val="22"/>
          <w:szCs w:val="22"/>
        </w:rPr>
        <w:t>ğ</w:t>
      </w:r>
      <w:r w:rsidRPr="00617081">
        <w:rPr>
          <w:rFonts w:ascii="Palatino Linotype" w:hAnsi="Palatino Linotype" w:cs="Noto Serif"/>
          <w:b/>
          <w:bCs/>
          <w:sz w:val="22"/>
          <w:szCs w:val="22"/>
        </w:rPr>
        <w:t>il, ancak gelece</w:t>
      </w:r>
      <w:r w:rsidRPr="00617081">
        <w:rPr>
          <w:rFonts w:ascii="Palatino Linotype" w:hAnsi="Palatino Linotype" w:cs="Cambria"/>
          <w:b/>
          <w:bCs/>
          <w:sz w:val="22"/>
          <w:szCs w:val="22"/>
        </w:rPr>
        <w:t>ğ</w:t>
      </w:r>
      <w:r w:rsidRPr="00617081">
        <w:rPr>
          <w:rFonts w:ascii="Palatino Linotype" w:hAnsi="Palatino Linotype" w:cs="Noto Serif"/>
          <w:b/>
          <w:bCs/>
          <w:sz w:val="22"/>
          <w:szCs w:val="22"/>
        </w:rPr>
        <w:t>e dönük uygulanabilir</w:t>
      </w:r>
      <w:r w:rsidRPr="00617081">
        <w:rPr>
          <w:rFonts w:ascii="Palatino Linotype" w:hAnsi="Palatino Linotype" w:cs="Noto Serif"/>
          <w:sz w:val="22"/>
          <w:szCs w:val="22"/>
        </w:rPr>
        <w:t xml:space="preserve"> ve ceza yarg</w:t>
      </w:r>
      <w:r w:rsidRPr="00617081">
        <w:rPr>
          <w:rFonts w:ascii="Palatino Linotype" w:hAnsi="Palatino Linotype" w:cs="Cambria"/>
          <w:sz w:val="22"/>
          <w:szCs w:val="22"/>
        </w:rPr>
        <w:t>ı</w:t>
      </w:r>
      <w:r w:rsidRPr="00617081">
        <w:rPr>
          <w:rFonts w:ascii="Palatino Linotype" w:hAnsi="Palatino Linotype" w:cs="Noto Serif"/>
          <w:sz w:val="22"/>
          <w:szCs w:val="22"/>
        </w:rPr>
        <w:t>lamas</w:t>
      </w:r>
      <w:r w:rsidRPr="00617081">
        <w:rPr>
          <w:rFonts w:ascii="Palatino Linotype" w:hAnsi="Palatino Linotype" w:cs="Cambria"/>
          <w:sz w:val="22"/>
          <w:szCs w:val="22"/>
        </w:rPr>
        <w:t>ı</w:t>
      </w:r>
      <w:r w:rsidRPr="00617081">
        <w:rPr>
          <w:rFonts w:ascii="Palatino Linotype" w:hAnsi="Palatino Linotype" w:cs="Noto Serif"/>
          <w:sz w:val="22"/>
          <w:szCs w:val="22"/>
        </w:rPr>
        <w:t>nda kullan</w:t>
      </w:r>
      <w:r w:rsidRPr="00617081">
        <w:rPr>
          <w:rFonts w:ascii="Palatino Linotype" w:hAnsi="Palatino Linotype" w:cs="Cambria"/>
          <w:sz w:val="22"/>
          <w:szCs w:val="22"/>
        </w:rPr>
        <w:t>ı</w:t>
      </w:r>
      <w:r w:rsidRPr="00617081">
        <w:rPr>
          <w:rFonts w:ascii="Palatino Linotype" w:hAnsi="Palatino Linotype" w:cs="Noto Serif"/>
          <w:sz w:val="22"/>
          <w:szCs w:val="22"/>
        </w:rPr>
        <w:t xml:space="preserve">labilecek bir delil ancak ve </w:t>
      </w:r>
      <w:r w:rsidRPr="00617081">
        <w:rPr>
          <w:rFonts w:ascii="Palatino Linotype" w:hAnsi="Palatino Linotype" w:cs="Noto Serif"/>
          <w:b/>
          <w:bCs/>
          <w:sz w:val="22"/>
          <w:szCs w:val="22"/>
        </w:rPr>
        <w:t>ancak CMK’ya uygun elde edilebilir.</w:t>
      </w:r>
      <w:r w:rsidRPr="00617081">
        <w:rPr>
          <w:rFonts w:ascii="Palatino Linotype" w:hAnsi="Palatino Linotype" w:cs="Noto Serif"/>
          <w:sz w:val="22"/>
          <w:szCs w:val="22"/>
        </w:rPr>
        <w:t xml:space="preserve"> </w:t>
      </w:r>
      <w:r w:rsidRPr="00617081">
        <w:rPr>
          <w:rFonts w:ascii="Palatino Linotype" w:hAnsi="Palatino Linotype" w:cs="Noto Serif"/>
          <w:color w:val="auto"/>
          <w:sz w:val="22"/>
          <w:szCs w:val="22"/>
        </w:rPr>
        <w:t>CMK’da ne geçmi</w:t>
      </w:r>
      <w:r w:rsidRPr="00617081">
        <w:rPr>
          <w:rFonts w:ascii="Palatino Linotype" w:hAnsi="Palatino Linotype" w:cs="Cambria"/>
          <w:color w:val="auto"/>
          <w:sz w:val="22"/>
          <w:szCs w:val="22"/>
        </w:rPr>
        <w:t>ş</w:t>
      </w:r>
      <w:r w:rsidRPr="00617081">
        <w:rPr>
          <w:rFonts w:ascii="Palatino Linotype" w:hAnsi="Palatino Linotype" w:cs="Noto Serif"/>
          <w:color w:val="auto"/>
          <w:sz w:val="22"/>
          <w:szCs w:val="22"/>
        </w:rPr>
        <w:t>e dönük arama, ne de delilin M</w:t>
      </w:r>
      <w:r w:rsidRPr="00617081">
        <w:rPr>
          <w:rFonts w:ascii="Palatino Linotype" w:hAnsi="Palatino Linotype" w:cs="Cambria"/>
          <w:color w:val="auto"/>
          <w:sz w:val="22"/>
          <w:szCs w:val="22"/>
        </w:rPr>
        <w:t>İ</w:t>
      </w:r>
      <w:r w:rsidRPr="00617081">
        <w:rPr>
          <w:rFonts w:ascii="Palatino Linotype" w:hAnsi="Palatino Linotype" w:cs="Noto Serif"/>
          <w:color w:val="auto"/>
          <w:sz w:val="22"/>
          <w:szCs w:val="22"/>
        </w:rPr>
        <w:t>T Kanununa göre elde edildikten sonra üzerinde arama yap</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lmas</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na ve imaj al</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nmas</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na izin veren bir düzenleme vard</w:t>
      </w:r>
      <w:r w:rsidRPr="00617081">
        <w:rPr>
          <w:rFonts w:ascii="Palatino Linotype" w:hAnsi="Palatino Linotype" w:cs="Cambria"/>
          <w:color w:val="auto"/>
          <w:sz w:val="22"/>
          <w:szCs w:val="22"/>
        </w:rPr>
        <w:t>ı</w:t>
      </w:r>
      <w:r w:rsidRPr="00617081">
        <w:rPr>
          <w:rFonts w:ascii="Palatino Linotype" w:hAnsi="Palatino Linotype" w:cs="Noto Serif"/>
          <w:color w:val="auto"/>
          <w:sz w:val="22"/>
          <w:szCs w:val="22"/>
        </w:rPr>
        <w:t>r.</w:t>
      </w:r>
    </w:p>
    <w:p w14:paraId="3E624936" w14:textId="77777777" w:rsidR="00E52E47" w:rsidRPr="00617081" w:rsidRDefault="00E52E47" w:rsidP="004D60B0">
      <w:pPr>
        <w:tabs>
          <w:tab w:val="clear" w:pos="1134"/>
          <w:tab w:val="left" w:pos="709"/>
        </w:tabs>
        <w:spacing w:line="271" w:lineRule="auto"/>
        <w:ind w:firstLine="709"/>
        <w:rPr>
          <w:rFonts w:cs="Noto Serif"/>
        </w:rPr>
      </w:pPr>
      <w:r w:rsidRPr="00617081">
        <w:rPr>
          <w:rFonts w:cs="Noto Serif"/>
          <w:b/>
          <w:bCs/>
        </w:rPr>
        <w:lastRenderedPageBreak/>
        <w:t>Acaba bu saatten sonra bu ihlal sebebi giderilip Bylock’un hukuka uygun bir delil haline getirilebilmesi mümkün müdür?</w:t>
      </w:r>
      <w:r w:rsidRPr="00617081">
        <w:rPr>
          <w:rFonts w:cs="Noto Serif"/>
        </w:rPr>
        <w:t xml:space="preserve"> Hay</w:t>
      </w:r>
      <w:r w:rsidRPr="00617081">
        <w:rPr>
          <w:rFonts w:cs="Cambria"/>
        </w:rPr>
        <w:t>ı</w:t>
      </w:r>
      <w:r w:rsidRPr="00617081">
        <w:rPr>
          <w:rFonts w:cs="Noto Serif"/>
        </w:rPr>
        <w:t>r! Çünkü bir delil en ba</w:t>
      </w:r>
      <w:r w:rsidRPr="00617081">
        <w:rPr>
          <w:rFonts w:cs="Cambria"/>
        </w:rPr>
        <w:t>ş</w:t>
      </w:r>
      <w:r w:rsidRPr="00617081">
        <w:rPr>
          <w:rFonts w:cs="Noto Serif"/>
        </w:rPr>
        <w:t>tan itibaren CMK’da öngörülen usul kurallar</w:t>
      </w:r>
      <w:r w:rsidRPr="00617081">
        <w:rPr>
          <w:rFonts w:cs="Cambria"/>
        </w:rPr>
        <w:t>ı</w:t>
      </w:r>
      <w:r w:rsidRPr="00617081">
        <w:rPr>
          <w:rFonts w:cs="Noto Serif"/>
        </w:rPr>
        <w:t>na göre elde edilmelidir. Yamal</w:t>
      </w:r>
      <w:r w:rsidRPr="00617081">
        <w:rPr>
          <w:rFonts w:cs="Cambria"/>
        </w:rPr>
        <w:t>ı</w:t>
      </w:r>
      <w:r w:rsidRPr="00617081">
        <w:rPr>
          <w:rFonts w:cs="Noto Serif"/>
        </w:rPr>
        <w:t xml:space="preserve"> bohçaya dönen ve zaten CMK’ya uygun da elde edilmeyen Bylock’un bu saatten sonra hukuka uygun hale getirilebilmesi ve yarg</w:t>
      </w:r>
      <w:r w:rsidRPr="00617081">
        <w:rPr>
          <w:rFonts w:cs="Cambria"/>
        </w:rPr>
        <w:t>ı</w:t>
      </w:r>
      <w:r w:rsidRPr="00617081">
        <w:rPr>
          <w:rFonts w:cs="Noto Serif"/>
        </w:rPr>
        <w:t>lamalarda delil olarak kullan</w:t>
      </w:r>
      <w:r w:rsidRPr="00617081">
        <w:rPr>
          <w:rFonts w:cs="Cambria"/>
        </w:rPr>
        <w:t>ı</w:t>
      </w:r>
      <w:r w:rsidRPr="00617081">
        <w:rPr>
          <w:rFonts w:cs="Noto Serif"/>
        </w:rPr>
        <w:t>labilmesi Yalç</w:t>
      </w:r>
      <w:r w:rsidRPr="00617081">
        <w:rPr>
          <w:rFonts w:cs="Cambria"/>
        </w:rPr>
        <w:t>ı</w:t>
      </w:r>
      <w:r w:rsidRPr="00617081">
        <w:rPr>
          <w:rFonts w:cs="Noto Serif"/>
        </w:rPr>
        <w:t>nkaya karar</w:t>
      </w:r>
      <w:r w:rsidRPr="00617081">
        <w:rPr>
          <w:rFonts w:cs="Cambria"/>
        </w:rPr>
        <w:t>ı</w:t>
      </w:r>
      <w:r w:rsidRPr="00617081">
        <w:rPr>
          <w:rFonts w:cs="Noto Serif"/>
        </w:rPr>
        <w:t>nda yap</w:t>
      </w:r>
      <w:r w:rsidRPr="00617081">
        <w:rPr>
          <w:rFonts w:cs="Cambria"/>
        </w:rPr>
        <w:t>ı</w:t>
      </w:r>
      <w:r w:rsidRPr="00617081">
        <w:rPr>
          <w:rFonts w:cs="Noto Serif"/>
        </w:rPr>
        <w:t>lan tespitlerden sonra mümkün de</w:t>
      </w:r>
      <w:r w:rsidRPr="00617081">
        <w:rPr>
          <w:rFonts w:cs="Cambria"/>
        </w:rPr>
        <w:t>ğ</w:t>
      </w:r>
      <w:r w:rsidRPr="00617081">
        <w:rPr>
          <w:rFonts w:cs="Noto Serif"/>
        </w:rPr>
        <w:t>ildir.</w:t>
      </w:r>
    </w:p>
    <w:p w14:paraId="5B9F76C1" w14:textId="77777777" w:rsidR="00E52E47" w:rsidRPr="00617081" w:rsidRDefault="00E52E47" w:rsidP="004D60B0">
      <w:pPr>
        <w:pStyle w:val="Balk2"/>
        <w:rPr>
          <w:rFonts w:ascii="Palatino Linotype" w:hAnsi="Palatino Linotype" w:cs="Noto Serif"/>
        </w:rPr>
      </w:pPr>
      <w:bookmarkStart w:id="21" w:name="_Toc151927103"/>
      <w:r w:rsidRPr="00617081">
        <w:rPr>
          <w:rFonts w:ascii="Palatino Linotype" w:hAnsi="Palatino Linotype"/>
        </w:rPr>
        <w:t>4. Başvuranın Aleyhindeki Delillere İtiraz Etme, Etkili Savunma ve Davanın Esasına İlişkin Hususları İleri Sürebilme Haklarına İlişkin Değerlendirme ve İhlal Sebepleri</w:t>
      </w:r>
      <w:bookmarkEnd w:id="21"/>
    </w:p>
    <w:p w14:paraId="0F9BB7A9" w14:textId="2B0BDA7E" w:rsidR="00E52E47" w:rsidRPr="00617081" w:rsidRDefault="00DB739A" w:rsidP="0065557D">
      <w:pPr>
        <w:pStyle w:val="Balk3"/>
        <w:numPr>
          <w:ilvl w:val="0"/>
          <w:numId w:val="41"/>
        </w:numPr>
        <w:rPr>
          <w:rFonts w:ascii="Palatino Linotype" w:hAnsi="Palatino Linotype"/>
        </w:rPr>
      </w:pPr>
      <w:r w:rsidRPr="00617081">
        <w:rPr>
          <w:rFonts w:ascii="Palatino Linotype" w:hAnsi="Palatino Linotype"/>
        </w:rPr>
        <w:t xml:space="preserve"> </w:t>
      </w:r>
      <w:bookmarkStart w:id="22" w:name="_Toc151927104"/>
      <w:r w:rsidR="00E52E47" w:rsidRPr="00617081">
        <w:rPr>
          <w:rFonts w:ascii="Palatino Linotype" w:hAnsi="Palatino Linotype"/>
        </w:rPr>
        <w:t>Bylock Raporlarına Ulaşılması Ham Verilere Erişim Hakkını Engellemez</w:t>
      </w:r>
      <w:bookmarkEnd w:id="22"/>
    </w:p>
    <w:p w14:paraId="790E6F45" w14:textId="46B26D24" w:rsidR="005C5B85"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AİHM</w:t>
      </w:r>
      <w:r w:rsidRPr="00617081">
        <w:rPr>
          <w:rFonts w:ascii="Palatino Linotype" w:hAnsi="Palatino Linotype"/>
          <w:b/>
          <w:bCs/>
          <w:sz w:val="22"/>
          <w:szCs w:val="22"/>
        </w:rPr>
        <w:t>, başvuranın,</w:t>
      </w:r>
      <w:r w:rsidRPr="00617081">
        <w:rPr>
          <w:rFonts w:ascii="Palatino Linotype" w:hAnsi="Palatino Linotype"/>
          <w:sz w:val="22"/>
          <w:szCs w:val="22"/>
        </w:rPr>
        <w:t xml:space="preserve">  mahkemelerden dahi sır gibi saklanan, </w:t>
      </w:r>
      <w:r w:rsidRPr="00617081">
        <w:rPr>
          <w:rFonts w:ascii="Palatino Linotype" w:hAnsi="Palatino Linotype"/>
          <w:b/>
          <w:bCs/>
          <w:sz w:val="22"/>
          <w:szCs w:val="22"/>
        </w:rPr>
        <w:t>Bylock veri tabanına ulaşma hakkı ve menfaati olduğunu söylemiştir.</w:t>
      </w:r>
      <w:r w:rsidRPr="00617081">
        <w:rPr>
          <w:rFonts w:ascii="Palatino Linotype" w:hAnsi="Palatino Linotype"/>
          <w:sz w:val="22"/>
          <w:szCs w:val="22"/>
        </w:rPr>
        <w:t xml:space="preserve"> Mahkemeye göre, çelişmeli yargılama hakkının bir unsuru olan sanık lehine veya aleyhine olan </w:t>
      </w:r>
      <w:r w:rsidRPr="00617081">
        <w:rPr>
          <w:rFonts w:ascii="Palatino Linotype" w:hAnsi="Palatino Linotype"/>
          <w:i/>
          <w:iCs/>
          <w:sz w:val="22"/>
          <w:szCs w:val="22"/>
        </w:rPr>
        <w:t>"her türlü maddi delilin"</w:t>
      </w:r>
      <w:r w:rsidRPr="00617081">
        <w:rPr>
          <w:rFonts w:ascii="Palatino Linotype" w:hAnsi="Palatino Linotype"/>
          <w:sz w:val="22"/>
          <w:szCs w:val="22"/>
        </w:rPr>
        <w:t xml:space="preserve"> savunma makamına açıklanması gerekliliğine </w:t>
      </w:r>
      <w:r w:rsidRPr="00617081">
        <w:rPr>
          <w:rFonts w:ascii="Palatino Linotype" w:hAnsi="Palatino Linotype"/>
          <w:color w:val="000000" w:themeColor="text1"/>
          <w:sz w:val="22"/>
          <w:szCs w:val="22"/>
        </w:rPr>
        <w:t xml:space="preserve">dair dar bir yorum yapılamaz ve bu açıdan savcılık tarafından ilgili olduğu düşünülen delillerle de sınırlandırılamaz. </w:t>
      </w:r>
      <w:r w:rsidRPr="00617081">
        <w:rPr>
          <w:rFonts w:ascii="Palatino Linotype" w:hAnsi="Palatino Linotype"/>
          <w:sz w:val="22"/>
          <w:szCs w:val="22"/>
        </w:rPr>
        <w:t xml:space="preserve">Aksine, savcılık tarafından hiç dikkate alınmamış veya ilgili olarak değerlendirilmiş olsa bile yetkililerin elinde bulunan ve savunma ile ilgili olabilecek tüm materyalleri kapsar. Dolayısıyla, </w:t>
      </w:r>
      <w:r w:rsidRPr="00617081">
        <w:rPr>
          <w:rFonts w:ascii="Palatino Linotype" w:hAnsi="Palatino Linotype"/>
          <w:b/>
          <w:bCs/>
          <w:sz w:val="22"/>
          <w:szCs w:val="22"/>
        </w:rPr>
        <w:t>başvuranın dava dosyasında yer alan tüm ByLock raporlarına erişebiliyor olması, bu raporların oluşturulduğu verilere erişim talep etme hakkının veya menfaatinin olmadığı anlamına gelmez</w:t>
      </w:r>
      <w:r w:rsidRPr="00617081">
        <w:rPr>
          <w:rFonts w:ascii="Palatino Linotype" w:hAnsi="Palatino Linotype"/>
          <w:sz w:val="22"/>
          <w:szCs w:val="22"/>
        </w:rPr>
        <w:t xml:space="preserve"> (§ 327). Yani AİHM, Hükümetin bu konudaki beyanlarına itibar etmemiş ve başvuranın bu konudaki menfaatine vurgu yapmıştır.</w:t>
      </w:r>
    </w:p>
    <w:p w14:paraId="607634B2" w14:textId="38C2FA5F" w:rsidR="00E52E47" w:rsidRPr="00617081" w:rsidRDefault="00DB739A" w:rsidP="0065557D">
      <w:pPr>
        <w:pStyle w:val="Balk3"/>
        <w:rPr>
          <w:rFonts w:ascii="Palatino Linotype" w:hAnsi="Palatino Linotype"/>
        </w:rPr>
      </w:pPr>
      <w:r w:rsidRPr="00617081">
        <w:rPr>
          <w:rFonts w:ascii="Palatino Linotype" w:hAnsi="Palatino Linotype"/>
        </w:rPr>
        <w:t xml:space="preserve"> </w:t>
      </w:r>
      <w:bookmarkStart w:id="23" w:name="_Toc151927105"/>
      <w:r w:rsidR="00E52E47" w:rsidRPr="00617081">
        <w:rPr>
          <w:rFonts w:ascii="Palatino Linotype" w:hAnsi="Palatino Linotype"/>
        </w:rPr>
        <w:t>HTS-CGNAT Uyumuna İlişkin Tespit Ham Verilere Ulaşma Hakkını Kaldırmaz</w:t>
      </w:r>
      <w:bookmarkEnd w:id="23"/>
    </w:p>
    <w:p w14:paraId="31D074B2"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000000" w:themeColor="text1"/>
          <w:sz w:val="22"/>
          <w:szCs w:val="22"/>
        </w:rPr>
      </w:pPr>
      <w:r w:rsidRPr="00617081">
        <w:rPr>
          <w:rFonts w:ascii="Palatino Linotype" w:hAnsi="Palatino Linotype"/>
          <w:sz w:val="22"/>
          <w:szCs w:val="22"/>
        </w:rPr>
        <w:t xml:space="preserve">AİHM; ulusal mahkemelerin, başvurana ait Bylock verilerinin, bir uzman tarafından doğrulanan başka bir veri setiyle (HTS-CGNAT eşleştirmesi) uyumlu olduğunu tespit etmeleri halinde bile, bu durumun başvuranın bu eski verilerle, </w:t>
      </w:r>
      <w:r w:rsidRPr="00617081">
        <w:rPr>
          <w:rFonts w:ascii="Palatino Linotype" w:hAnsi="Palatino Linotype"/>
          <w:b/>
          <w:bCs/>
          <w:sz w:val="22"/>
          <w:szCs w:val="22"/>
        </w:rPr>
        <w:t>yani Bylock’a ilişkin ham verilerle ilgili usuli haklarını ortadan kaldırmayacağını belirtmiştir.</w:t>
      </w:r>
      <w:r w:rsidRPr="00617081">
        <w:rPr>
          <w:rFonts w:ascii="Palatino Linotype" w:hAnsi="Palatino Linotype"/>
          <w:sz w:val="22"/>
          <w:szCs w:val="22"/>
        </w:rPr>
        <w:t xml:space="preserve"> Mahkemeye göre, Bylock verileri başvuranın davasında kritik öneme sahiptir </w:t>
      </w:r>
      <w:r w:rsidRPr="00617081">
        <w:rPr>
          <w:rFonts w:ascii="Palatino Linotype" w:hAnsi="Palatino Linotype"/>
          <w:color w:val="000000" w:themeColor="text1"/>
          <w:sz w:val="22"/>
          <w:szCs w:val="22"/>
        </w:rPr>
        <w:t xml:space="preserve">ve bu veriler başvuran aleyhindeki ceza yargılamasına yol açmıştır. </w:t>
      </w:r>
    </w:p>
    <w:p w14:paraId="251996F3"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000000" w:themeColor="text1"/>
          <w:sz w:val="22"/>
          <w:szCs w:val="22"/>
        </w:rPr>
      </w:pPr>
      <w:r w:rsidRPr="00617081">
        <w:rPr>
          <w:rFonts w:ascii="Palatino Linotype" w:hAnsi="Palatino Linotype"/>
          <w:color w:val="000000" w:themeColor="text1"/>
          <w:sz w:val="22"/>
          <w:szCs w:val="22"/>
        </w:rPr>
        <w:t xml:space="preserve">Ayrıca, bu veriler yalnızca başvuranın Bylock kullandığı iddiasına ilişkin bireyselleştirilmiş bilgilerin toplanması amacıyla kullanılmamış; </w:t>
      </w:r>
      <w:r w:rsidRPr="00617081">
        <w:rPr>
          <w:rFonts w:ascii="Palatino Linotype" w:hAnsi="Palatino Linotype"/>
          <w:b/>
          <w:bCs/>
          <w:color w:val="000000" w:themeColor="text1"/>
          <w:sz w:val="22"/>
          <w:szCs w:val="22"/>
        </w:rPr>
        <w:t>aynı zamanda ByLock’un münhasıran örgütsel bir iletişim aracı olarak nitelendirilmesi için de temel oluşturmuş ve doğrudan başvuranın mahkûmiyetine yol açmıştır.</w:t>
      </w:r>
      <w:r w:rsidRPr="00617081">
        <w:rPr>
          <w:rFonts w:ascii="Palatino Linotype" w:hAnsi="Palatino Linotype"/>
          <w:color w:val="000000" w:themeColor="text1"/>
          <w:sz w:val="22"/>
          <w:szCs w:val="22"/>
        </w:rPr>
        <w:t xml:space="preserve"> Aynı şekilde, </w:t>
      </w:r>
      <w:r w:rsidRPr="00617081">
        <w:rPr>
          <w:rFonts w:ascii="Palatino Linotype" w:hAnsi="Palatino Linotype"/>
          <w:b/>
          <w:bCs/>
          <w:color w:val="000000" w:themeColor="text1"/>
          <w:sz w:val="22"/>
          <w:szCs w:val="22"/>
        </w:rPr>
        <w:t xml:space="preserve">Bylock verilerinin potansiyel olarak başvuranın kendini temize çıkarmasına veya bu materyalin kabul edilebilirliğine, güvenilirliğine, bütünlüğüne ya da delil değerine itiraz etmesine olanak tanıyabilecek unsurlar içerdiği de göz ardı edilemez </w:t>
      </w:r>
      <w:r w:rsidRPr="00617081">
        <w:rPr>
          <w:rFonts w:ascii="Palatino Linotype" w:hAnsi="Palatino Linotype"/>
          <w:sz w:val="22"/>
          <w:szCs w:val="22"/>
        </w:rPr>
        <w:t>(§ 328)</w:t>
      </w:r>
      <w:r w:rsidRPr="00617081">
        <w:rPr>
          <w:rFonts w:ascii="Palatino Linotype" w:hAnsi="Palatino Linotype"/>
          <w:color w:val="000000" w:themeColor="text1"/>
          <w:sz w:val="22"/>
          <w:szCs w:val="22"/>
        </w:rPr>
        <w:t>.</w:t>
      </w:r>
    </w:p>
    <w:p w14:paraId="61C0AA4A" w14:textId="624F7AC7" w:rsidR="00E52E47" w:rsidRPr="00617081" w:rsidRDefault="00DB739A" w:rsidP="0065557D">
      <w:pPr>
        <w:pStyle w:val="Balk3"/>
        <w:rPr>
          <w:rFonts w:ascii="Palatino Linotype" w:hAnsi="Palatino Linotype"/>
        </w:rPr>
      </w:pPr>
      <w:r w:rsidRPr="00617081">
        <w:rPr>
          <w:rFonts w:ascii="Palatino Linotype" w:hAnsi="Palatino Linotype"/>
        </w:rPr>
        <w:lastRenderedPageBreak/>
        <w:t xml:space="preserve"> </w:t>
      </w:r>
      <w:bookmarkStart w:id="24" w:name="_Toc151927106"/>
      <w:r w:rsidR="00E52E47" w:rsidRPr="00617081">
        <w:rPr>
          <w:rFonts w:ascii="Palatino Linotype" w:hAnsi="Palatino Linotype"/>
        </w:rPr>
        <w:t>Başvuranın, Aleyhine Olan Delillere İtiraz Ederken Yaşadığı Zorluklar</w:t>
      </w:r>
      <w:bookmarkEnd w:id="24"/>
    </w:p>
    <w:p w14:paraId="3751B3B2"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 yaptığı değerlendirmede başvurucunun aleyhine olan delillere itiraz ederken yaşadığı zorlukları sıralamış ve </w:t>
      </w:r>
      <w:r w:rsidRPr="00617081">
        <w:rPr>
          <w:rFonts w:ascii="Palatino Linotype" w:hAnsi="Palatino Linotype"/>
          <w:b/>
          <w:bCs/>
          <w:color w:val="000000" w:themeColor="text1"/>
          <w:sz w:val="22"/>
          <w:szCs w:val="22"/>
          <w:lang w:val="tr-TR"/>
        </w:rPr>
        <w:t>bunların ceza yargılamaları sırasında başka bir şekilde telafi edilip edilmediğini veya daha da ağırlaşıp ağırlaşmadığını da incelemiştir.</w:t>
      </w:r>
      <w:r w:rsidRPr="00617081">
        <w:rPr>
          <w:rFonts w:ascii="Palatino Linotype" w:hAnsi="Palatino Linotype"/>
          <w:color w:val="000000" w:themeColor="text1"/>
          <w:sz w:val="22"/>
          <w:szCs w:val="22"/>
          <w:lang w:val="tr-TR"/>
        </w:rPr>
        <w:t xml:space="preserve"> Mahkemeye göre başvuranın karşılaştığı zorluklar şunlar olmuştur </w:t>
      </w:r>
      <w:r w:rsidRPr="00617081">
        <w:rPr>
          <w:rFonts w:ascii="Palatino Linotype" w:hAnsi="Palatino Linotype"/>
          <w:sz w:val="22"/>
          <w:szCs w:val="22"/>
          <w:lang w:val="tr-TR"/>
        </w:rPr>
        <w:t>(§ 331)</w:t>
      </w:r>
      <w:r w:rsidRPr="00617081">
        <w:rPr>
          <w:rFonts w:ascii="Palatino Linotype" w:hAnsi="Palatino Linotype"/>
          <w:color w:val="000000" w:themeColor="text1"/>
          <w:sz w:val="22"/>
          <w:szCs w:val="22"/>
          <w:lang w:val="tr-TR"/>
        </w:rPr>
        <w:t xml:space="preserve">;  </w:t>
      </w:r>
    </w:p>
    <w:p w14:paraId="54679332" w14:textId="77777777" w:rsidR="00E52E47" w:rsidRPr="00617081" w:rsidRDefault="00E52E47" w:rsidP="004D60B0">
      <w:pPr>
        <w:pStyle w:val="JuPara"/>
        <w:numPr>
          <w:ilvl w:val="0"/>
          <w:numId w:val="28"/>
        </w:numPr>
        <w:tabs>
          <w:tab w:val="left" w:pos="709"/>
        </w:tabs>
        <w:spacing w:after="160" w:line="271" w:lineRule="auto"/>
        <w:ind w:left="0" w:firstLine="709"/>
        <w:rPr>
          <w:rFonts w:ascii="Palatino Linotype" w:hAnsi="Palatino Linotype"/>
          <w:b/>
          <w:bCs/>
          <w:color w:val="000000" w:themeColor="text1"/>
          <w:sz w:val="22"/>
          <w:szCs w:val="22"/>
          <w:lang w:val="tr-TR"/>
        </w:rPr>
      </w:pPr>
      <w:r w:rsidRPr="00617081">
        <w:rPr>
          <w:rFonts w:ascii="Palatino Linotype" w:hAnsi="Palatino Linotype"/>
          <w:color w:val="000000" w:themeColor="text1"/>
          <w:sz w:val="22"/>
          <w:szCs w:val="22"/>
          <w:lang w:val="tr-TR"/>
        </w:rPr>
        <w:t xml:space="preserve">Verilerin başvurana verilmemesini haklı gösteren sebeplere ne Yargıtay’ın önceki kararlarında ne de başvuranın davasında yerel mahkemeler tarafından </w:t>
      </w:r>
      <w:r w:rsidRPr="00617081">
        <w:rPr>
          <w:rFonts w:ascii="Palatino Linotype" w:hAnsi="Palatino Linotype"/>
          <w:b/>
          <w:bCs/>
          <w:color w:val="000000" w:themeColor="text1"/>
          <w:sz w:val="22"/>
          <w:szCs w:val="22"/>
          <w:lang w:val="tr-TR"/>
        </w:rPr>
        <w:t xml:space="preserve">hiçbir şekilde yer verilmemiş ve başvuranın verilerin dava dosyasına girmesi yönündeki talebi cevapsız bırakılmıştır. </w:t>
      </w:r>
    </w:p>
    <w:p w14:paraId="2486D5B5" w14:textId="77777777" w:rsidR="00E52E47" w:rsidRPr="00617081" w:rsidRDefault="00E52E47" w:rsidP="004D60B0">
      <w:pPr>
        <w:pStyle w:val="JuPara"/>
        <w:numPr>
          <w:ilvl w:val="0"/>
          <w:numId w:val="28"/>
        </w:numPr>
        <w:tabs>
          <w:tab w:val="left" w:pos="709"/>
        </w:tabs>
        <w:spacing w:after="160" w:line="271" w:lineRule="auto"/>
        <w:ind w:left="0"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Hükümetin Mahkemeye sunduğu ve </w:t>
      </w:r>
      <w:r w:rsidRPr="00617081">
        <w:rPr>
          <w:rFonts w:ascii="Palatino Linotype" w:hAnsi="Palatino Linotype"/>
          <w:b/>
          <w:bCs/>
          <w:color w:val="000000" w:themeColor="text1"/>
          <w:sz w:val="22"/>
          <w:szCs w:val="22"/>
          <w:lang w:val="tr-TR"/>
        </w:rPr>
        <w:t>Bylock kullanıcı listelerinin nasıl oluşturulduğu,</w:t>
      </w:r>
      <w:r w:rsidRPr="00617081">
        <w:rPr>
          <w:rFonts w:ascii="Palatino Linotype" w:hAnsi="Palatino Linotype"/>
          <w:color w:val="000000" w:themeColor="text1"/>
          <w:sz w:val="22"/>
          <w:szCs w:val="22"/>
          <w:lang w:val="tr-TR"/>
        </w:rPr>
        <w:t xml:space="preserve"> bireysel Bylock kullanıcılarına ilişkin </w:t>
      </w:r>
      <w:r w:rsidRPr="00617081">
        <w:rPr>
          <w:rFonts w:ascii="Palatino Linotype" w:hAnsi="Palatino Linotype"/>
          <w:b/>
          <w:bCs/>
          <w:color w:val="000000" w:themeColor="text1"/>
          <w:sz w:val="22"/>
          <w:szCs w:val="22"/>
          <w:lang w:val="tr-TR"/>
        </w:rPr>
        <w:t>ham verilerin neden ayrıştırılamadığı</w:t>
      </w:r>
      <w:r w:rsidRPr="00617081">
        <w:rPr>
          <w:rFonts w:ascii="Palatino Linotype" w:hAnsi="Palatino Linotype"/>
          <w:color w:val="000000" w:themeColor="text1"/>
          <w:sz w:val="22"/>
          <w:szCs w:val="22"/>
          <w:lang w:val="tr-TR"/>
        </w:rPr>
        <w:t xml:space="preserve"> ve ilgili </w:t>
      </w:r>
      <w:r w:rsidRPr="00617081">
        <w:rPr>
          <w:rFonts w:ascii="Palatino Linotype" w:hAnsi="Palatino Linotype"/>
          <w:b/>
          <w:bCs/>
          <w:color w:val="000000" w:themeColor="text1"/>
          <w:sz w:val="22"/>
          <w:szCs w:val="22"/>
          <w:lang w:val="tr-TR"/>
        </w:rPr>
        <w:t>kullanıcılarla paylaşılamadığı</w:t>
      </w:r>
      <w:r w:rsidRPr="00617081">
        <w:rPr>
          <w:rFonts w:ascii="Palatino Linotype" w:hAnsi="Palatino Linotype"/>
          <w:color w:val="000000" w:themeColor="text1"/>
          <w:sz w:val="22"/>
          <w:szCs w:val="22"/>
          <w:lang w:val="tr-TR"/>
        </w:rPr>
        <w:t xml:space="preserve"> konusunda daha fazla bilgi sunan tamamlayıcı </w:t>
      </w:r>
      <w:r w:rsidRPr="00617081">
        <w:rPr>
          <w:rFonts w:ascii="Palatino Linotype" w:hAnsi="Palatino Linotype"/>
          <w:b/>
          <w:bCs/>
          <w:color w:val="000000" w:themeColor="text1"/>
          <w:sz w:val="22"/>
          <w:szCs w:val="22"/>
          <w:lang w:val="tr-TR"/>
        </w:rPr>
        <w:t>analiz raporu da başvurana verilmemiştir.</w:t>
      </w:r>
      <w:r w:rsidRPr="00617081">
        <w:rPr>
          <w:rFonts w:ascii="Palatino Linotype" w:hAnsi="Palatino Linotype"/>
          <w:color w:val="000000" w:themeColor="text1"/>
          <w:sz w:val="22"/>
          <w:szCs w:val="22"/>
          <w:lang w:val="tr-TR"/>
        </w:rPr>
        <w:t xml:space="preserve"> Dolayısıyla, yerel mahkemeler tarafından ham verilerin ve özellikle de </w:t>
      </w:r>
      <w:r w:rsidRPr="00617081">
        <w:rPr>
          <w:rFonts w:ascii="Palatino Linotype" w:hAnsi="Palatino Linotype"/>
          <w:b/>
          <w:bCs/>
          <w:color w:val="000000" w:themeColor="text1"/>
          <w:sz w:val="22"/>
          <w:szCs w:val="22"/>
          <w:lang w:val="tr-TR"/>
        </w:rPr>
        <w:t xml:space="preserve">kendisini ilgilendiren kısımların neden ve kimin kararıyla verilmediğine ilişkin hiçbir açıklama yoktur. </w:t>
      </w:r>
      <w:r w:rsidRPr="00617081">
        <w:rPr>
          <w:rFonts w:ascii="Palatino Linotype" w:hAnsi="Palatino Linotype"/>
          <w:color w:val="000000" w:themeColor="text1"/>
          <w:sz w:val="22"/>
          <w:szCs w:val="22"/>
          <w:lang w:val="tr-TR"/>
        </w:rPr>
        <w:t xml:space="preserve">Bu sebeple başvuran, söz konusu gerekçelerin geçerliliğine </w:t>
      </w:r>
      <w:r w:rsidRPr="00617081">
        <w:rPr>
          <w:rFonts w:ascii="Palatino Linotype" w:hAnsi="Palatino Linotype"/>
          <w:b/>
          <w:bCs/>
          <w:color w:val="000000" w:themeColor="text1"/>
          <w:sz w:val="22"/>
          <w:szCs w:val="22"/>
          <w:lang w:val="tr-TR"/>
        </w:rPr>
        <w:t>itiraz etmek</w:t>
      </w:r>
      <w:r w:rsidRPr="00617081">
        <w:rPr>
          <w:rFonts w:ascii="Palatino Linotype" w:hAnsi="Palatino Linotype"/>
          <w:color w:val="000000" w:themeColor="text1"/>
          <w:sz w:val="22"/>
          <w:szCs w:val="22"/>
          <w:lang w:val="tr-TR"/>
        </w:rPr>
        <w:t xml:space="preserve"> ya da çatışan menfaatler arasında </w:t>
      </w:r>
      <w:r w:rsidRPr="00617081">
        <w:rPr>
          <w:rFonts w:ascii="Palatino Linotype" w:hAnsi="Palatino Linotype"/>
          <w:b/>
          <w:bCs/>
          <w:color w:val="000000" w:themeColor="text1"/>
          <w:sz w:val="22"/>
          <w:szCs w:val="22"/>
          <w:lang w:val="tr-TR"/>
        </w:rPr>
        <w:t>adil bir denge kurmak</w:t>
      </w:r>
      <w:r w:rsidRPr="00617081">
        <w:rPr>
          <w:rFonts w:ascii="Palatino Linotype" w:hAnsi="Palatino Linotype"/>
          <w:color w:val="000000" w:themeColor="text1"/>
          <w:sz w:val="22"/>
          <w:szCs w:val="22"/>
          <w:lang w:val="tr-TR"/>
        </w:rPr>
        <w:t xml:space="preserve"> ve </w:t>
      </w:r>
      <w:r w:rsidRPr="00617081">
        <w:rPr>
          <w:rFonts w:ascii="Palatino Linotype" w:hAnsi="Palatino Linotype"/>
          <w:b/>
          <w:bCs/>
          <w:color w:val="000000" w:themeColor="text1"/>
          <w:sz w:val="22"/>
          <w:szCs w:val="22"/>
          <w:lang w:val="tr-TR"/>
        </w:rPr>
        <w:t xml:space="preserve">savunma haklarını güvence altına almak </w:t>
      </w:r>
      <w:r w:rsidRPr="00617081">
        <w:rPr>
          <w:rFonts w:ascii="Palatino Linotype" w:hAnsi="Palatino Linotype"/>
          <w:color w:val="000000" w:themeColor="text1"/>
          <w:sz w:val="22"/>
          <w:szCs w:val="22"/>
          <w:lang w:val="tr-TR"/>
        </w:rPr>
        <w:t xml:space="preserve">için çaba gösterildiğine itiraz etmek gibi herhangi bir karşı argüman sunma imkanından mahrum bırakılmıştır. </w:t>
      </w:r>
    </w:p>
    <w:p w14:paraId="7E882A97" w14:textId="7C70857E" w:rsidR="001043FB" w:rsidRPr="00617081" w:rsidRDefault="00E52E47" w:rsidP="004D60B0">
      <w:pPr>
        <w:pStyle w:val="JuPara"/>
        <w:numPr>
          <w:ilvl w:val="0"/>
          <w:numId w:val="28"/>
        </w:numPr>
        <w:tabs>
          <w:tab w:val="left" w:pos="709"/>
        </w:tabs>
        <w:spacing w:after="160" w:line="271" w:lineRule="auto"/>
        <w:ind w:left="0"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AİHM’e göre, yetkili mahkemenin değerlendirmesi kapsamında delillerin açıklanmasına ilişkin </w:t>
      </w:r>
      <w:r w:rsidRPr="00617081">
        <w:rPr>
          <w:rFonts w:ascii="Palatino Linotype" w:hAnsi="Palatino Linotype"/>
          <w:b/>
          <w:bCs/>
          <w:color w:val="000000" w:themeColor="text1"/>
          <w:sz w:val="22"/>
          <w:szCs w:val="22"/>
          <w:lang w:val="tr-TR"/>
        </w:rPr>
        <w:t>ihtiyacın sürdürülmesi,</w:t>
      </w:r>
      <w:r w:rsidRPr="00617081">
        <w:rPr>
          <w:rFonts w:ascii="Palatino Linotype" w:hAnsi="Palatino Linotype"/>
          <w:color w:val="000000" w:themeColor="text1"/>
          <w:sz w:val="22"/>
          <w:szCs w:val="22"/>
          <w:lang w:val="tr-TR"/>
        </w:rPr>
        <w:t xml:space="preserve"> savunmanın gerektiği şekilde </w:t>
      </w:r>
      <w:r w:rsidRPr="00617081">
        <w:rPr>
          <w:rFonts w:ascii="Palatino Linotype" w:hAnsi="Palatino Linotype"/>
          <w:b/>
          <w:bCs/>
          <w:color w:val="000000" w:themeColor="text1"/>
          <w:sz w:val="22"/>
          <w:szCs w:val="22"/>
          <w:lang w:val="tr-TR"/>
        </w:rPr>
        <w:t>bilgilendirilmesi,</w:t>
      </w:r>
      <w:r w:rsidRPr="00617081">
        <w:rPr>
          <w:rFonts w:ascii="Palatino Linotype" w:hAnsi="Palatino Linotype"/>
          <w:color w:val="000000" w:themeColor="text1"/>
          <w:sz w:val="22"/>
          <w:szCs w:val="22"/>
          <w:lang w:val="tr-TR"/>
        </w:rPr>
        <w:t xml:space="preserve"> sanığın </w:t>
      </w:r>
      <w:r w:rsidRPr="00617081">
        <w:rPr>
          <w:rFonts w:ascii="Palatino Linotype" w:hAnsi="Palatino Linotype"/>
          <w:b/>
          <w:bCs/>
          <w:color w:val="000000" w:themeColor="text1"/>
          <w:sz w:val="22"/>
          <w:szCs w:val="22"/>
          <w:lang w:val="tr-TR"/>
        </w:rPr>
        <w:t>beyanda bulunması</w:t>
      </w:r>
      <w:r w:rsidRPr="00617081">
        <w:rPr>
          <w:rFonts w:ascii="Palatino Linotype" w:hAnsi="Palatino Linotype"/>
          <w:color w:val="000000" w:themeColor="text1"/>
          <w:sz w:val="22"/>
          <w:szCs w:val="22"/>
          <w:lang w:val="tr-TR"/>
        </w:rPr>
        <w:t xml:space="preserve"> ve karar alma sürecine mümkün olduğunca </w:t>
      </w:r>
      <w:r w:rsidRPr="00617081">
        <w:rPr>
          <w:rFonts w:ascii="Palatino Linotype" w:hAnsi="Palatino Linotype"/>
          <w:b/>
          <w:bCs/>
          <w:color w:val="000000" w:themeColor="text1"/>
          <w:sz w:val="22"/>
          <w:szCs w:val="22"/>
          <w:lang w:val="tr-TR"/>
        </w:rPr>
        <w:t>katılmasına izin verilmesi</w:t>
      </w:r>
      <w:r w:rsidRPr="00617081">
        <w:rPr>
          <w:rFonts w:ascii="Palatino Linotype" w:hAnsi="Palatino Linotype"/>
          <w:color w:val="000000" w:themeColor="text1"/>
          <w:sz w:val="22"/>
          <w:szCs w:val="22"/>
          <w:lang w:val="tr-TR"/>
        </w:rPr>
        <w:t xml:space="preserve"> önemli güvencelerdir.</w:t>
      </w:r>
    </w:p>
    <w:p w14:paraId="0ABA9689" w14:textId="67F20775" w:rsidR="00E52E47" w:rsidRPr="00617081" w:rsidRDefault="00DB739A" w:rsidP="0065557D">
      <w:pPr>
        <w:pStyle w:val="Balk3"/>
        <w:rPr>
          <w:rFonts w:ascii="Palatino Linotype" w:hAnsi="Palatino Linotype"/>
        </w:rPr>
      </w:pPr>
      <w:r w:rsidRPr="00617081">
        <w:rPr>
          <w:rFonts w:ascii="Palatino Linotype" w:hAnsi="Palatino Linotype"/>
        </w:rPr>
        <w:t xml:space="preserve"> </w:t>
      </w:r>
      <w:bookmarkStart w:id="25" w:name="_Toc151927107"/>
      <w:r w:rsidR="00E52E47" w:rsidRPr="00617081">
        <w:rPr>
          <w:rFonts w:ascii="Palatino Linotype" w:hAnsi="Palatino Linotype"/>
        </w:rPr>
        <w:t>Başvuranın Verilerin Bütünlüklerinin İncelenmesinde Menfaati Vardır</w:t>
      </w:r>
      <w:bookmarkEnd w:id="25"/>
    </w:p>
    <w:p w14:paraId="332DAC0F"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AİHM’e göre başvuranın karşılaştığı zorluklardan bir diğeri, ham verilerin içerik ve bütünlük bakımından doğrulanması için </w:t>
      </w:r>
      <w:r w:rsidRPr="00617081">
        <w:rPr>
          <w:rFonts w:ascii="Palatino Linotype" w:hAnsi="Palatino Linotype"/>
          <w:b/>
          <w:bCs/>
          <w:color w:val="000000" w:themeColor="text1"/>
          <w:sz w:val="22"/>
          <w:szCs w:val="22"/>
          <w:lang w:val="tr-TR"/>
        </w:rPr>
        <w:t>bağımsız bir incelemeye tabi tutulması talebinin de yerel mahkemeler tarafından dikkate alınmamasıdır</w:t>
      </w:r>
      <w:r w:rsidRPr="00617081">
        <w:rPr>
          <w:rFonts w:ascii="Palatino Linotype" w:hAnsi="Palatino Linotype"/>
          <w:color w:val="000000" w:themeColor="text1"/>
          <w:sz w:val="22"/>
          <w:szCs w:val="22"/>
          <w:lang w:val="tr-TR"/>
        </w:rPr>
        <w:t xml:space="preserve"> </w:t>
      </w:r>
      <w:r w:rsidRPr="00617081">
        <w:rPr>
          <w:rFonts w:ascii="Palatino Linotype" w:hAnsi="Palatino Linotype"/>
          <w:sz w:val="22"/>
          <w:szCs w:val="22"/>
          <w:lang w:val="tr-TR"/>
        </w:rPr>
        <w:t>(§ 332)</w:t>
      </w:r>
      <w:r w:rsidRPr="00617081">
        <w:rPr>
          <w:rFonts w:ascii="Palatino Linotype" w:hAnsi="Palatino Linotype"/>
          <w:color w:val="000000" w:themeColor="text1"/>
          <w:sz w:val="22"/>
          <w:szCs w:val="22"/>
          <w:lang w:val="tr-TR"/>
        </w:rPr>
        <w:t>.</w:t>
      </w:r>
    </w:p>
    <w:p w14:paraId="7A2E8E51"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Mahkeme</w:t>
      </w:r>
      <w:r w:rsidRPr="00617081">
        <w:rPr>
          <w:rFonts w:ascii="Palatino Linotype" w:hAnsi="Palatino Linotype"/>
          <w:sz w:val="22"/>
          <w:szCs w:val="22"/>
          <w:lang w:val="tr-TR"/>
        </w:rPr>
        <w:t xml:space="preserve">, söz konusu verilerin 09/12/2016’da adli makamlara sunulduğu sırada veya daha sonra herhangi bir noktada bütünlüklerinin doğrulanması için </w:t>
      </w:r>
      <w:r w:rsidRPr="00617081">
        <w:rPr>
          <w:rFonts w:ascii="Palatino Linotype" w:hAnsi="Palatino Linotype"/>
          <w:b/>
          <w:bCs/>
          <w:sz w:val="22"/>
          <w:szCs w:val="22"/>
          <w:lang w:val="tr-TR"/>
        </w:rPr>
        <w:t>incelemeye tabi tutulduğunu gösteren somut bir bilgi bulunmadığını göz önüne alarak, başvuranın bağımsız uzmanlar tarafından incelenmesini istemekte meşru bir menfaati olduğu ve mahkemelerin kendisine uygun şekilde yanıt verme görevi bulunduğunu söylemiştir</w:t>
      </w:r>
      <w:r w:rsidRPr="00617081">
        <w:rPr>
          <w:rFonts w:ascii="Palatino Linotype" w:hAnsi="Palatino Linotype"/>
          <w:sz w:val="22"/>
          <w:szCs w:val="22"/>
          <w:lang w:val="tr-TR"/>
        </w:rPr>
        <w:t xml:space="preserve"> (§ 333). </w:t>
      </w:r>
    </w:p>
    <w:p w14:paraId="6716B594"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Yine Mahkeme göre, başvuranın bu uygulamayı kişisel olarak kullanması sorununun ötesinde, Bylock verilerinin başvuranın </w:t>
      </w:r>
      <w:r w:rsidRPr="00617081">
        <w:rPr>
          <w:rFonts w:ascii="Palatino Linotype" w:hAnsi="Palatino Linotype"/>
          <w:b/>
          <w:bCs/>
          <w:sz w:val="22"/>
          <w:szCs w:val="22"/>
          <w:lang w:val="tr-TR"/>
        </w:rPr>
        <w:t>davası için kritik öneme haizdir</w:t>
      </w:r>
      <w:r w:rsidRPr="00617081">
        <w:rPr>
          <w:rFonts w:ascii="Palatino Linotype" w:hAnsi="Palatino Linotype"/>
          <w:sz w:val="22"/>
          <w:szCs w:val="22"/>
          <w:lang w:val="tr-TR"/>
        </w:rPr>
        <w:t xml:space="preserve"> ve </w:t>
      </w:r>
      <w:r w:rsidRPr="00617081">
        <w:rPr>
          <w:rFonts w:ascii="Palatino Linotype" w:hAnsi="Palatino Linotype"/>
          <w:b/>
          <w:bCs/>
          <w:sz w:val="22"/>
          <w:szCs w:val="22"/>
          <w:lang w:val="tr-TR"/>
        </w:rPr>
        <w:t>ulusal mahkemelerin başvuranın bu tür bir bağımsız inceleme talebine cevap vermemesi,</w:t>
      </w:r>
      <w:r w:rsidRPr="00617081">
        <w:rPr>
          <w:rFonts w:ascii="Palatino Linotype" w:hAnsi="Palatino Linotype"/>
          <w:sz w:val="22"/>
          <w:szCs w:val="22"/>
          <w:lang w:val="tr-TR"/>
        </w:rPr>
        <w:t xml:space="preserve"> sadece neden böyle bir bağımsız incelemenin gerekli görülmediğini açıklamak için </w:t>
      </w:r>
      <w:r w:rsidRPr="00617081">
        <w:rPr>
          <w:rFonts w:ascii="Palatino Linotype" w:hAnsi="Palatino Linotype"/>
          <w:b/>
          <w:bCs/>
          <w:sz w:val="22"/>
          <w:szCs w:val="22"/>
          <w:lang w:val="tr-TR"/>
        </w:rPr>
        <w:t>olsa bile sorunludur</w:t>
      </w:r>
      <w:r w:rsidRPr="00617081">
        <w:rPr>
          <w:rFonts w:ascii="Palatino Linotype" w:hAnsi="Palatino Linotype"/>
          <w:sz w:val="22"/>
          <w:szCs w:val="22"/>
          <w:lang w:val="tr-TR"/>
        </w:rPr>
        <w:t xml:space="preserve"> (§ 333).</w:t>
      </w:r>
    </w:p>
    <w:p w14:paraId="6D40EE37" w14:textId="3F18B078" w:rsidR="00E52E47" w:rsidRPr="00617081" w:rsidRDefault="00E52E47" w:rsidP="0065557D">
      <w:pPr>
        <w:pStyle w:val="Balk3"/>
        <w:rPr>
          <w:rFonts w:ascii="Palatino Linotype" w:hAnsi="Palatino Linotype"/>
        </w:rPr>
      </w:pPr>
      <w:r w:rsidRPr="00617081">
        <w:rPr>
          <w:rFonts w:ascii="Palatino Linotype" w:hAnsi="Palatino Linotype"/>
        </w:rPr>
        <w:lastRenderedPageBreak/>
        <w:t xml:space="preserve"> </w:t>
      </w:r>
      <w:bookmarkStart w:id="26" w:name="_Toc151927108"/>
      <w:r w:rsidRPr="00617081">
        <w:rPr>
          <w:rFonts w:ascii="Palatino Linotype" w:hAnsi="Palatino Linotype"/>
        </w:rPr>
        <w:t>Mahkemenin Yaptırdığı İnceleme Ham Verileri Kapsamamaktadır</w:t>
      </w:r>
      <w:bookmarkEnd w:id="26"/>
      <w:r w:rsidRPr="00617081">
        <w:rPr>
          <w:rFonts w:ascii="Palatino Linotype" w:hAnsi="Palatino Linotype"/>
        </w:rPr>
        <w:t xml:space="preserve"> </w:t>
      </w:r>
    </w:p>
    <w:p w14:paraId="6EFFB30E" w14:textId="77777777" w:rsidR="00E52E47" w:rsidRPr="00617081" w:rsidRDefault="00E52E47" w:rsidP="004D60B0">
      <w:pPr>
        <w:pStyle w:val="JuPara"/>
        <w:tabs>
          <w:tab w:val="left" w:pos="709"/>
        </w:tabs>
        <w:spacing w:after="160" w:line="271" w:lineRule="auto"/>
        <w:ind w:firstLine="709"/>
        <w:rPr>
          <w:rFonts w:ascii="Palatino Linotype" w:hAnsi="Palatino Linotype"/>
          <w:b/>
          <w:bCs/>
          <w:sz w:val="22"/>
          <w:szCs w:val="22"/>
          <w:lang w:val="tr-TR"/>
        </w:rPr>
      </w:pPr>
      <w:r w:rsidRPr="00617081">
        <w:rPr>
          <w:rFonts w:ascii="Palatino Linotype" w:hAnsi="Palatino Linotype"/>
          <w:sz w:val="22"/>
          <w:szCs w:val="22"/>
          <w:lang w:val="tr-TR"/>
        </w:rPr>
        <w:t xml:space="preserve"> AİHM, güncel yargılamaların tamamında da geçerli olan ve başvuranın dosyasında karşılaştığını belirttiği diğer bir zorluk, ilk derece mahkemesindeki yargılama sırasında aldırılmayıp, dosyaya istinaf aşamasında dahil edilen bilirkişi incelemesiyle ilgili yaptığı değerlendirmedir. AİHM, </w:t>
      </w:r>
      <w:r w:rsidRPr="00617081">
        <w:rPr>
          <w:rFonts w:ascii="Palatino Linotype" w:hAnsi="Palatino Linotype"/>
          <w:b/>
          <w:bCs/>
          <w:sz w:val="22"/>
          <w:szCs w:val="22"/>
          <w:lang w:val="tr-TR"/>
        </w:rPr>
        <w:t>HST kayıtları dikkate alınarak yaptırılan bilirkişi incelemesi sonucu hazırlanan bu raporda, başvuranın GSM hattından ByLock’a erişim sağladığının tespitine yer verildiğini</w:t>
      </w:r>
      <w:r w:rsidRPr="00617081">
        <w:rPr>
          <w:rFonts w:ascii="Palatino Linotype" w:hAnsi="Palatino Linotype"/>
          <w:sz w:val="22"/>
          <w:szCs w:val="22"/>
          <w:lang w:val="tr-TR"/>
        </w:rPr>
        <w:t xml:space="preserve"> ancak, </w:t>
      </w:r>
      <w:r w:rsidRPr="00617081">
        <w:rPr>
          <w:rFonts w:ascii="Palatino Linotype" w:hAnsi="Palatino Linotype"/>
          <w:b/>
          <w:bCs/>
          <w:sz w:val="22"/>
          <w:szCs w:val="22"/>
          <w:lang w:val="tr-TR"/>
        </w:rPr>
        <w:t>başvuranın talep ettiği gibi MİT tarafından elde edilen ham verilerin incelenmesini içermediğini,</w:t>
      </w:r>
      <w:r w:rsidRPr="00617081">
        <w:rPr>
          <w:rFonts w:ascii="Palatino Linotype" w:hAnsi="Palatino Linotype"/>
          <w:sz w:val="22"/>
          <w:szCs w:val="22"/>
          <w:lang w:val="tr-TR"/>
        </w:rPr>
        <w:t xml:space="preserve"> kapsamının dava dosyasında halihazırda mevcut olan çeşitli rapor ve kayıtların değerlendirilmesiyle sınırlı olduğunu vurgulamıştır (§ 333)</w:t>
      </w:r>
      <w:r w:rsidRPr="00617081">
        <w:rPr>
          <w:rFonts w:ascii="Palatino Linotype" w:hAnsi="Palatino Linotype"/>
          <w:color w:val="000000" w:themeColor="text1"/>
          <w:sz w:val="22"/>
          <w:szCs w:val="22"/>
          <w:lang w:val="tr-TR"/>
        </w:rPr>
        <w:t xml:space="preserve">. Bu tespit çok önemli olup güncel yargılamalar kapsamındaki hiçbir dosyada </w:t>
      </w:r>
      <w:r w:rsidRPr="00617081">
        <w:rPr>
          <w:rFonts w:ascii="Palatino Linotype" w:hAnsi="Palatino Linotype"/>
          <w:b/>
          <w:bCs/>
          <w:color w:val="000000" w:themeColor="text1"/>
          <w:sz w:val="22"/>
          <w:szCs w:val="22"/>
          <w:lang w:val="tr-TR"/>
        </w:rPr>
        <w:t>AİHM’in belirttiği şekilde bir bilirkişi incelemesi yapılmadığının ispatı olmuştur.</w:t>
      </w:r>
    </w:p>
    <w:p w14:paraId="628522AF" w14:textId="11716701" w:rsidR="00E52E47" w:rsidRPr="00617081" w:rsidRDefault="00E52E47" w:rsidP="0065557D">
      <w:pPr>
        <w:pStyle w:val="Balk3"/>
        <w:rPr>
          <w:rFonts w:ascii="Palatino Linotype" w:hAnsi="Palatino Linotype"/>
        </w:rPr>
      </w:pPr>
      <w:r w:rsidRPr="00617081">
        <w:rPr>
          <w:rFonts w:ascii="Palatino Linotype" w:hAnsi="Palatino Linotype"/>
        </w:rPr>
        <w:t xml:space="preserve"> </w:t>
      </w:r>
      <w:bookmarkStart w:id="27" w:name="_Toc151927109"/>
      <w:r w:rsidRPr="00617081">
        <w:rPr>
          <w:rFonts w:ascii="Palatino Linotype" w:hAnsi="Palatino Linotype"/>
        </w:rPr>
        <w:t>Verilerin Güvenirliliğine İlişkin Endişeler Cevapsız Bırakılmıştır</w:t>
      </w:r>
      <w:bookmarkEnd w:id="27"/>
    </w:p>
    <w:p w14:paraId="2890847E" w14:textId="2CB572E8"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AİHM’in başvuranın karşılaştığı zorluk olarak kabul ettiği diğer bir husus, Bylock verilerinin güvenilirliğine ilişkin </w:t>
      </w:r>
      <w:r w:rsidRPr="00617081">
        <w:rPr>
          <w:rFonts w:ascii="Palatino Linotype" w:hAnsi="Palatino Linotype"/>
          <w:b/>
          <w:bCs/>
          <w:sz w:val="22"/>
          <w:szCs w:val="22"/>
        </w:rPr>
        <w:t>başvuranın ileri sürdüğü bir dizi argümanın da ulusal mahkemeler tarafından cevapsız bırakılmasıdır.</w:t>
      </w:r>
      <w:r w:rsidRPr="00617081">
        <w:rPr>
          <w:rFonts w:ascii="Palatino Linotype" w:hAnsi="Palatino Linotype"/>
          <w:sz w:val="22"/>
          <w:szCs w:val="22"/>
        </w:rPr>
        <w:t xml:space="preserve"> Örneğin, MİT tarafından yayınlanan farklı By</w:t>
      </w:r>
      <w:r w:rsidR="00CB6247" w:rsidRPr="00617081">
        <w:rPr>
          <w:rFonts w:ascii="Palatino Linotype" w:hAnsi="Palatino Linotype"/>
          <w:sz w:val="22"/>
          <w:szCs w:val="22"/>
        </w:rPr>
        <w:t>l</w:t>
      </w:r>
      <w:r w:rsidRPr="00617081">
        <w:rPr>
          <w:rFonts w:ascii="Palatino Linotype" w:hAnsi="Palatino Linotype"/>
          <w:sz w:val="22"/>
          <w:szCs w:val="22"/>
        </w:rPr>
        <w:t xml:space="preserve">ock kullanıcı listeleri arasındaki tutarsızlığın yanı sıra tespit edilen ve nihayetinde kovuşturulan kullanıcı sayısı ile indirme sayısı arasındaki tutarsızlık bunlardan biridir. </w:t>
      </w:r>
    </w:p>
    <w:p w14:paraId="4B37A559"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b/>
          <w:bCs/>
          <w:color w:val="000000" w:themeColor="text1"/>
          <w:sz w:val="22"/>
          <w:szCs w:val="22"/>
        </w:rPr>
      </w:pPr>
      <w:r w:rsidRPr="00617081">
        <w:rPr>
          <w:rFonts w:ascii="Palatino Linotype" w:hAnsi="Palatino Linotype"/>
          <w:color w:val="000000" w:themeColor="text1"/>
          <w:sz w:val="22"/>
          <w:szCs w:val="22"/>
        </w:rPr>
        <w:t xml:space="preserve">Mahkeme, ilke olarak, savunmanın delillere doğrudan erişememesinin ve delillerin doğruluğunu ve güvenilirliğini ilk elden test edememesinin, </w:t>
      </w:r>
      <w:r w:rsidRPr="00617081">
        <w:rPr>
          <w:rFonts w:ascii="Palatino Linotype" w:hAnsi="Palatino Linotype"/>
          <w:b/>
          <w:bCs/>
          <w:color w:val="000000" w:themeColor="text1"/>
          <w:sz w:val="22"/>
          <w:szCs w:val="22"/>
        </w:rPr>
        <w:t>yerel mahkemelere bu konuları kapsamlı incelemeye tabi tutma konusunda daha fazla sorumluluk yüklediğini belirtmiştir.</w:t>
      </w:r>
      <w:r w:rsidRPr="00617081">
        <w:rPr>
          <w:rFonts w:ascii="Palatino Linotype" w:hAnsi="Palatino Linotype"/>
          <w:color w:val="000000" w:themeColor="text1"/>
          <w:sz w:val="22"/>
          <w:szCs w:val="22"/>
        </w:rPr>
        <w:t xml:space="preserve"> Başvuran; yerel mahkemeler önünde sürekli olarak verilerin doğruluğunu ve bütünlüğünü sağlamak için çeşitli güvenceler öngören CMK’nın 134. maddesine uygun olarak Bylock verilerinin toplanmadığını veya kendisiyle paylaşılmadığını ileri sürmüş ve </w:t>
      </w:r>
      <w:r w:rsidRPr="00617081">
        <w:rPr>
          <w:rFonts w:ascii="Palatino Linotype" w:hAnsi="Palatino Linotype"/>
          <w:b/>
          <w:bCs/>
          <w:color w:val="000000" w:themeColor="text1"/>
          <w:sz w:val="22"/>
          <w:szCs w:val="22"/>
        </w:rPr>
        <w:t xml:space="preserve">bu delillerin yalnızca yasallığına değil aynı zamanda güvenilirliğine de itiraz etmiştir. </w:t>
      </w:r>
    </w:p>
    <w:p w14:paraId="30CF1D6D"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000000" w:themeColor="text1"/>
          <w:sz w:val="22"/>
          <w:szCs w:val="22"/>
        </w:rPr>
      </w:pPr>
      <w:r w:rsidRPr="00617081">
        <w:rPr>
          <w:rFonts w:ascii="Palatino Linotype" w:hAnsi="Palatino Linotype"/>
          <w:color w:val="000000" w:themeColor="text1"/>
          <w:sz w:val="22"/>
          <w:szCs w:val="22"/>
        </w:rPr>
        <w:t xml:space="preserve">Ancak, ulusal mahkemeler </w:t>
      </w:r>
      <w:r w:rsidRPr="00617081">
        <w:rPr>
          <w:rFonts w:ascii="Palatino Linotype" w:hAnsi="Palatino Linotype"/>
          <w:b/>
          <w:bCs/>
          <w:color w:val="000000" w:themeColor="text1"/>
          <w:sz w:val="22"/>
          <w:szCs w:val="22"/>
        </w:rPr>
        <w:t xml:space="preserve">sadece veri toplama usulünün hukuka uygunluğunu teyit etmekle ve başvuranın Bylock sunucusuyla bağlantı kurduğunu doğrulamakla yetinmişlerdir. </w:t>
      </w:r>
      <w:r w:rsidRPr="00617081">
        <w:rPr>
          <w:rFonts w:ascii="Palatino Linotype" w:hAnsi="Palatino Linotype"/>
          <w:color w:val="000000" w:themeColor="text1"/>
          <w:sz w:val="22"/>
          <w:szCs w:val="22"/>
        </w:rPr>
        <w:t xml:space="preserve">Fakat, sunucudan elde edilen verilerin bütünlüğünün her bakımdan ve özellikle 09/12/2016’da adli makamlara </w:t>
      </w:r>
      <w:r w:rsidRPr="00617081">
        <w:rPr>
          <w:rFonts w:ascii="Palatino Linotype" w:hAnsi="Palatino Linotype"/>
          <w:b/>
          <w:bCs/>
          <w:color w:val="000000" w:themeColor="text1"/>
          <w:sz w:val="22"/>
          <w:szCs w:val="22"/>
        </w:rPr>
        <w:t>iletilmesinden önceki dönemde</w:t>
      </w:r>
      <w:r w:rsidRPr="00617081">
        <w:rPr>
          <w:rFonts w:ascii="Palatino Linotype" w:hAnsi="Palatino Linotype"/>
          <w:color w:val="000000" w:themeColor="text1"/>
          <w:sz w:val="22"/>
          <w:szCs w:val="22"/>
        </w:rPr>
        <w:t xml:space="preserve"> </w:t>
      </w:r>
      <w:r w:rsidRPr="00617081">
        <w:rPr>
          <w:rFonts w:ascii="Palatino Linotype" w:hAnsi="Palatino Linotype"/>
          <w:b/>
          <w:bCs/>
          <w:color w:val="000000" w:themeColor="text1"/>
          <w:sz w:val="22"/>
          <w:szCs w:val="22"/>
        </w:rPr>
        <w:t xml:space="preserve">nasıl sağlandığına hiç değinmemişler ve ayrıca, bu konunun ele alındığı başka herhangi bir karar veya usule de atıf yapmamışlardır </w:t>
      </w:r>
      <w:r w:rsidRPr="00617081">
        <w:rPr>
          <w:rFonts w:ascii="Palatino Linotype" w:hAnsi="Palatino Linotype"/>
          <w:sz w:val="22"/>
          <w:szCs w:val="22"/>
        </w:rPr>
        <w:t>(§ 334).</w:t>
      </w:r>
    </w:p>
    <w:p w14:paraId="14A8AD20"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000000" w:themeColor="text1"/>
          <w:sz w:val="22"/>
          <w:szCs w:val="22"/>
        </w:rPr>
      </w:pPr>
      <w:r w:rsidRPr="00617081">
        <w:rPr>
          <w:rFonts w:ascii="Palatino Linotype" w:hAnsi="Palatino Linotype"/>
          <w:color w:val="000000" w:themeColor="text1"/>
          <w:sz w:val="22"/>
          <w:szCs w:val="22"/>
        </w:rPr>
        <w:t xml:space="preserve">Bylock’la ilgili en karanlık nokta ve aslında en başta hukuka aykırı delil olduğunun ispatı bu tespitlerdir. Ulusal mahkemelerin bu konuyla ilgili diyebilecekleri ya da uydurabilecekleri bir gerekçe yoktur. Zira </w:t>
      </w:r>
      <w:r w:rsidRPr="00617081">
        <w:rPr>
          <w:rFonts w:ascii="Palatino Linotype" w:hAnsi="Palatino Linotype"/>
          <w:b/>
          <w:bCs/>
          <w:color w:val="000000" w:themeColor="text1"/>
          <w:sz w:val="22"/>
          <w:szCs w:val="22"/>
        </w:rPr>
        <w:t>MİT’in adli kolluk görevi olmadığı gibi hakim kararı olmadan adli kolluk bile bir dijital delili elde edip üzerinde aylarca çalıştıktan sonra savcılığa teslim edemez.</w:t>
      </w:r>
      <w:r w:rsidRPr="00617081">
        <w:rPr>
          <w:rFonts w:ascii="Palatino Linotype" w:hAnsi="Palatino Linotype"/>
          <w:color w:val="000000" w:themeColor="text1"/>
          <w:sz w:val="22"/>
          <w:szCs w:val="22"/>
        </w:rPr>
        <w:t xml:space="preserve"> MİT’in verileri elde etmesinden, savcılığa teslimine kadar geçen 1 yıllık sürede tüm süreç CMK’nın 134. maddesine aykırı işletilmiştir. Bu durumun farkında olan yargı, AİHM’in dikkat çektiği </w:t>
      </w:r>
      <w:r w:rsidRPr="00617081">
        <w:rPr>
          <w:rFonts w:ascii="Palatino Linotype" w:hAnsi="Palatino Linotype"/>
          <w:b/>
          <w:bCs/>
          <w:i/>
          <w:iCs/>
          <w:color w:val="000000" w:themeColor="text1"/>
          <w:sz w:val="22"/>
          <w:szCs w:val="22"/>
        </w:rPr>
        <w:t>“teslimden önceki”</w:t>
      </w:r>
      <w:r w:rsidRPr="00617081">
        <w:rPr>
          <w:rFonts w:ascii="Palatino Linotype" w:hAnsi="Palatino Linotype"/>
          <w:color w:val="000000" w:themeColor="text1"/>
          <w:sz w:val="22"/>
          <w:szCs w:val="22"/>
        </w:rPr>
        <w:t xml:space="preserve"> hukuksuzlukları görmemek adına o dönemle ilgili hususları MİT’in yasal yetkisi kapsamında diyerek geçiştirmiş ve hukuki </w:t>
      </w:r>
      <w:r w:rsidRPr="00617081">
        <w:rPr>
          <w:rFonts w:ascii="Palatino Linotype" w:hAnsi="Palatino Linotype"/>
          <w:color w:val="000000" w:themeColor="text1"/>
          <w:sz w:val="22"/>
          <w:szCs w:val="22"/>
        </w:rPr>
        <w:lastRenderedPageBreak/>
        <w:t xml:space="preserve">sürecin, verilerin savcılığa teslimiyle başladığını söylemişlerdir. Ancak, CMK’ya göre bu mümkün olmadığı gibi, bu şekilde şaibeli hale gelmiş bir delilin yargılamada kullanılabilmesi de mümkün değildir. Yani, Bylock MİT’in </w:t>
      </w:r>
      <w:r w:rsidRPr="00617081">
        <w:rPr>
          <w:rFonts w:ascii="Palatino Linotype" w:hAnsi="Palatino Linotype"/>
          <w:b/>
          <w:bCs/>
          <w:i/>
          <w:iCs/>
          <w:color w:val="000000" w:themeColor="text1"/>
          <w:sz w:val="22"/>
          <w:szCs w:val="22"/>
        </w:rPr>
        <w:t>“murdar”</w:t>
      </w:r>
      <w:r w:rsidRPr="00617081">
        <w:rPr>
          <w:rFonts w:ascii="Palatino Linotype" w:hAnsi="Palatino Linotype"/>
          <w:color w:val="000000" w:themeColor="text1"/>
          <w:sz w:val="22"/>
          <w:szCs w:val="22"/>
        </w:rPr>
        <w:t xml:space="preserve"> ettiği hukuka aykırı bir delildir.  </w:t>
      </w:r>
    </w:p>
    <w:p w14:paraId="17EF7722" w14:textId="55553769" w:rsidR="00E52E47" w:rsidRPr="00617081" w:rsidRDefault="00E52E47" w:rsidP="0065557D">
      <w:pPr>
        <w:pStyle w:val="Balk3"/>
        <w:rPr>
          <w:rFonts w:ascii="Palatino Linotype" w:hAnsi="Palatino Linotype"/>
        </w:rPr>
      </w:pPr>
      <w:r w:rsidRPr="00617081">
        <w:rPr>
          <w:rFonts w:ascii="Palatino Linotype" w:hAnsi="Palatino Linotype"/>
        </w:rPr>
        <w:t xml:space="preserve"> </w:t>
      </w:r>
      <w:bookmarkStart w:id="28" w:name="_Toc151927110"/>
      <w:r w:rsidRPr="00617081">
        <w:rPr>
          <w:rFonts w:ascii="Palatino Linotype" w:hAnsi="Palatino Linotype"/>
        </w:rPr>
        <w:t>Verilerin En Azından Başvurucuyla İlgili Kısımlarının Paylaşılması Gerekirdi</w:t>
      </w:r>
      <w:bookmarkEnd w:id="28"/>
    </w:p>
    <w:p w14:paraId="58BA1B82"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AİHM, Hükümetin iddia ettiği gibi </w:t>
      </w:r>
      <w:r w:rsidRPr="00617081">
        <w:rPr>
          <w:rFonts w:ascii="Palatino Linotype" w:hAnsi="Palatino Linotype"/>
          <w:color w:val="000000" w:themeColor="text1"/>
          <w:sz w:val="22"/>
          <w:szCs w:val="22"/>
        </w:rPr>
        <w:t xml:space="preserve">ham verilerin tamamının başvuranla paylaşılması mümkün olmasa da, taraflar arasındaki </w:t>
      </w:r>
      <w:r w:rsidRPr="00617081">
        <w:rPr>
          <w:rFonts w:ascii="Palatino Linotype" w:hAnsi="Palatino Linotype"/>
          <w:i/>
          <w:iCs/>
          <w:color w:val="000000" w:themeColor="text1"/>
          <w:sz w:val="22"/>
          <w:szCs w:val="22"/>
        </w:rPr>
        <w:t>“adil denge”</w:t>
      </w:r>
      <w:r w:rsidRPr="00617081">
        <w:rPr>
          <w:rFonts w:ascii="Palatino Linotype" w:hAnsi="Palatino Linotype"/>
          <w:color w:val="000000" w:themeColor="text1"/>
          <w:sz w:val="22"/>
          <w:szCs w:val="22"/>
        </w:rPr>
        <w:t xml:space="preserve"> şartı gereğince, </w:t>
      </w:r>
      <w:r w:rsidRPr="00617081">
        <w:rPr>
          <w:rFonts w:ascii="Palatino Linotype" w:hAnsi="Palatino Linotype"/>
          <w:b/>
          <w:bCs/>
          <w:color w:val="000000" w:themeColor="text1"/>
          <w:sz w:val="22"/>
          <w:szCs w:val="22"/>
        </w:rPr>
        <w:t>en azından kendisiyle ilgili deşifre edilen materyalin tamamı hakkında yorum yapmasına olanak tanıyacak şekilde başvurana verilmesi gerektiğini belirtmiştir.</w:t>
      </w:r>
      <w:r w:rsidRPr="00617081">
        <w:rPr>
          <w:rFonts w:ascii="Palatino Linotype" w:hAnsi="Palatino Linotype"/>
          <w:color w:val="000000" w:themeColor="text1"/>
          <w:sz w:val="22"/>
          <w:szCs w:val="22"/>
        </w:rPr>
        <w:t xml:space="preserve"> Ayrıca Mahkeme, Ankara Bölge Adliye Mahkemesinin KOM’dan başvuranın Bylock üzerinden yaptığı yazışmaların içeriğini ve iletişim kurduğu kişilerle ilgili bilgileri talep etmesine rağmen, başvuranın mahkûmiyetinin kesinleşmesinden sonra dosyaya giren bu verilerin sunulmasını beklemeden kararını verdiğini vurgulamıştır </w:t>
      </w:r>
      <w:r w:rsidRPr="00617081">
        <w:rPr>
          <w:rFonts w:ascii="Palatino Linotype" w:hAnsi="Palatino Linotype"/>
          <w:sz w:val="22"/>
          <w:szCs w:val="22"/>
        </w:rPr>
        <w:t>(§ 335).</w:t>
      </w:r>
    </w:p>
    <w:p w14:paraId="76BE20FE" w14:textId="7D9E1D65" w:rsidR="00E52E47" w:rsidRPr="00617081" w:rsidRDefault="00E52E47" w:rsidP="0065557D">
      <w:pPr>
        <w:pStyle w:val="Balk3"/>
        <w:rPr>
          <w:rFonts w:ascii="Palatino Linotype" w:hAnsi="Palatino Linotype"/>
        </w:rPr>
      </w:pPr>
      <w:r w:rsidRPr="00617081">
        <w:rPr>
          <w:rFonts w:ascii="Palatino Linotype" w:hAnsi="Palatino Linotype"/>
        </w:rPr>
        <w:t xml:space="preserve"> </w:t>
      </w:r>
      <w:bookmarkStart w:id="29" w:name="_Toc151927111"/>
      <w:r w:rsidRPr="00617081">
        <w:rPr>
          <w:rFonts w:ascii="Palatino Linotype" w:hAnsi="Palatino Linotype"/>
        </w:rPr>
        <w:t>Yargıtay Yalnızca Ceza Yarılamasının Sonucuyla İlgilenmektedir</w:t>
      </w:r>
      <w:bookmarkEnd w:id="29"/>
    </w:p>
    <w:p w14:paraId="77049726"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 xml:space="preserve">AİHM, başvuranın bu verilerin mevcut olmadığına ilişkin itirazlarının Yargıtay tarafından da reddedildiğini ve Yargıtay’ın </w:t>
      </w:r>
      <w:r w:rsidRPr="00617081">
        <w:rPr>
          <w:rFonts w:ascii="Palatino Linotype" w:hAnsi="Palatino Linotype"/>
          <w:sz w:val="22"/>
          <w:szCs w:val="22"/>
          <w:lang w:val="tr-TR"/>
        </w:rPr>
        <w:t>tespit ve değerlendirme tutanağının bulunmamasının ceza davasının sonucuna etki etmediğini söylediğini belirtmiştir</w:t>
      </w:r>
      <w:r w:rsidRPr="00617081">
        <w:rPr>
          <w:rFonts w:ascii="Palatino Linotype" w:hAnsi="Palatino Linotype"/>
          <w:color w:val="000000" w:themeColor="text1"/>
          <w:sz w:val="22"/>
          <w:szCs w:val="22"/>
          <w:lang w:val="tr-TR"/>
        </w:rPr>
        <w:t xml:space="preserve"> </w:t>
      </w:r>
      <w:r w:rsidRPr="00617081">
        <w:rPr>
          <w:rFonts w:ascii="Palatino Linotype" w:hAnsi="Palatino Linotype"/>
          <w:sz w:val="22"/>
          <w:szCs w:val="22"/>
          <w:lang w:val="tr-TR"/>
        </w:rPr>
        <w:t>(§ 335).</w:t>
      </w:r>
      <w:r w:rsidRPr="00617081">
        <w:rPr>
          <w:rFonts w:ascii="Palatino Linotype" w:hAnsi="Palatino Linotype"/>
          <w:color w:val="000000" w:themeColor="text1"/>
          <w:sz w:val="22"/>
          <w:szCs w:val="22"/>
          <w:lang w:val="tr-TR"/>
        </w:rPr>
        <w:t xml:space="preserve"> </w:t>
      </w:r>
      <w:r w:rsidRPr="00617081">
        <w:rPr>
          <w:rFonts w:ascii="Palatino Linotype" w:hAnsi="Palatino Linotype"/>
          <w:b/>
          <w:bCs/>
          <w:color w:val="000000" w:themeColor="text1"/>
          <w:sz w:val="22"/>
          <w:szCs w:val="22"/>
          <w:lang w:val="tr-TR"/>
        </w:rPr>
        <w:t xml:space="preserve">AİHM’e göre bu durum </w:t>
      </w:r>
      <w:bookmarkStart w:id="30" w:name="_Hlk151133472"/>
      <w:r w:rsidRPr="00617081">
        <w:rPr>
          <w:rFonts w:ascii="Palatino Linotype" w:hAnsi="Palatino Linotype"/>
          <w:b/>
          <w:bCs/>
          <w:sz w:val="22"/>
          <w:szCs w:val="22"/>
          <w:lang w:val="tr-TR"/>
        </w:rPr>
        <w:t>Yargıtay’ın, yargılama usulünün adilliğini incelemek yerine, sadece ceza davasının sonucuyla ilgilendiğini göstermektedir</w:t>
      </w:r>
      <w:r w:rsidRPr="00617081">
        <w:rPr>
          <w:rFonts w:ascii="Palatino Linotype" w:hAnsi="Palatino Linotype"/>
          <w:sz w:val="22"/>
          <w:szCs w:val="22"/>
          <w:lang w:val="tr-TR"/>
        </w:rPr>
        <w:t xml:space="preserve"> (§ 336).</w:t>
      </w:r>
    </w:p>
    <w:p w14:paraId="062775C8"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Bu ifadeler, Bylock’un 7. madde ihlalinde yer verildiği üzere, </w:t>
      </w:r>
      <w:r w:rsidRPr="00617081">
        <w:rPr>
          <w:rFonts w:ascii="Palatino Linotype" w:hAnsi="Palatino Linotype"/>
          <w:b/>
          <w:bCs/>
          <w:sz w:val="22"/>
          <w:szCs w:val="22"/>
          <w:lang w:val="tr-TR"/>
        </w:rPr>
        <w:t>Bylock’un otomatik bir cezalandırma aracı olarak kullanıldığının delilidir.</w:t>
      </w:r>
      <w:r w:rsidRPr="00617081">
        <w:rPr>
          <w:rFonts w:ascii="Palatino Linotype" w:hAnsi="Palatino Linotype"/>
          <w:sz w:val="22"/>
          <w:szCs w:val="22"/>
          <w:lang w:val="tr-TR"/>
        </w:rPr>
        <w:t xml:space="preserve"> Zira Yargıtay uygulaması gereğince bir kişi hakkında Bylock kullanım iddiası vara o </w:t>
      </w:r>
      <w:r w:rsidRPr="00617081">
        <w:rPr>
          <w:rFonts w:ascii="Palatino Linotype" w:hAnsi="Palatino Linotype"/>
          <w:b/>
          <w:bCs/>
          <w:sz w:val="22"/>
          <w:szCs w:val="22"/>
          <w:lang w:val="tr-TR"/>
        </w:rPr>
        <w:t>kişi cezalandırmayı hak etmiştir ve ayrıntılı kullanım raporu ve diğer bilgilerin olmasına da gerek yoktur.</w:t>
      </w:r>
      <w:r w:rsidRPr="00617081">
        <w:rPr>
          <w:rFonts w:ascii="Palatino Linotype" w:hAnsi="Palatino Linotype"/>
          <w:sz w:val="22"/>
          <w:szCs w:val="22"/>
          <w:lang w:val="tr-TR"/>
        </w:rPr>
        <w:t xml:space="preserve"> Bunlar sonucu etkileyecek ve hele de başvuran lehine sonuç doğurabilecek hususlar değildir. Çünkü bu zamana kadar hiçbir örneği görülmemiştir!</w:t>
      </w:r>
    </w:p>
    <w:p w14:paraId="32DE3F91" w14:textId="1A504036" w:rsidR="00E52E47" w:rsidRPr="00617081" w:rsidRDefault="00DB739A" w:rsidP="0065557D">
      <w:pPr>
        <w:pStyle w:val="Balk3"/>
        <w:rPr>
          <w:rFonts w:ascii="Palatino Linotype" w:hAnsi="Palatino Linotype"/>
        </w:rPr>
      </w:pPr>
      <w:r w:rsidRPr="00617081">
        <w:rPr>
          <w:rFonts w:ascii="Palatino Linotype" w:hAnsi="Palatino Linotype"/>
        </w:rPr>
        <w:t xml:space="preserve"> </w:t>
      </w:r>
      <w:bookmarkStart w:id="31" w:name="_Toc151927112"/>
      <w:r w:rsidR="00E52E47" w:rsidRPr="00617081">
        <w:rPr>
          <w:rFonts w:ascii="Palatino Linotype" w:hAnsi="Palatino Linotype"/>
        </w:rPr>
        <w:t>Verileri Öğrenme Fırsatı Tanınması Savunma Hakkının Korunması İçin Önemlidir</w:t>
      </w:r>
      <w:bookmarkEnd w:id="31"/>
    </w:p>
    <w:p w14:paraId="13396336"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AİHM’e göre, başvurana şifresi çözülmüş ve kendisiyle ilgili Bylock materyalleri hakkında bilgi edinme fırsatı vermek, </w:t>
      </w:r>
      <w:r w:rsidRPr="00617081">
        <w:rPr>
          <w:rFonts w:ascii="Palatino Linotype" w:hAnsi="Palatino Linotype"/>
          <w:b/>
          <w:bCs/>
          <w:sz w:val="22"/>
          <w:szCs w:val="22"/>
          <w:lang w:val="tr-TR"/>
        </w:rPr>
        <w:t xml:space="preserve">savunma haklarının korunması açısından önem taşımaktadır. </w:t>
      </w:r>
      <w:r w:rsidRPr="00617081">
        <w:rPr>
          <w:rFonts w:ascii="Palatino Linotype" w:hAnsi="Palatino Linotype"/>
          <w:sz w:val="22"/>
          <w:szCs w:val="22"/>
          <w:lang w:val="tr-TR"/>
        </w:rPr>
        <w:t xml:space="preserve">Zira bu sayede </w:t>
      </w:r>
      <w:r w:rsidRPr="00617081">
        <w:rPr>
          <w:rFonts w:ascii="Palatino Linotype" w:hAnsi="Palatino Linotype"/>
          <w:b/>
          <w:bCs/>
          <w:sz w:val="22"/>
          <w:szCs w:val="22"/>
          <w:lang w:val="tr-TR"/>
        </w:rPr>
        <w:t>savunma, Bylock kullanımından çıkarılan sonuçların geçerliliğine itiraz edebilecek ve argümanlarını esaslı şekilde güçlendirebilecektir.</w:t>
      </w:r>
      <w:r w:rsidRPr="00617081">
        <w:rPr>
          <w:rFonts w:ascii="Palatino Linotype" w:hAnsi="Palatino Linotype"/>
          <w:sz w:val="22"/>
          <w:szCs w:val="22"/>
          <w:lang w:val="tr-TR"/>
        </w:rPr>
        <w:t xml:space="preserve"> Özellikle, ByLock’un başvuranın mahkûmiyetinde ağırlıklı rol oynadığı dikkate alındığında, bu durum daha da önemli hale gelmektedir (§ 336). </w:t>
      </w:r>
      <w:r w:rsidRPr="00617081">
        <w:rPr>
          <w:rFonts w:ascii="Palatino Linotype" w:hAnsi="Palatino Linotype"/>
          <w:b/>
          <w:bCs/>
          <w:sz w:val="22"/>
          <w:szCs w:val="22"/>
          <w:lang w:val="tr-TR"/>
        </w:rPr>
        <w:t>Ancak, başvurana kendisiyle ilgili hususlar bile verilmemiş ve sır gibi saklanmıştır.</w:t>
      </w:r>
    </w:p>
    <w:p w14:paraId="1B9FD7AD" w14:textId="59D0244A" w:rsidR="00E52E47" w:rsidRPr="00617081" w:rsidRDefault="00E52E47" w:rsidP="0065557D">
      <w:pPr>
        <w:pStyle w:val="Balk3"/>
        <w:rPr>
          <w:rFonts w:ascii="Palatino Linotype" w:hAnsi="Palatino Linotype"/>
        </w:rPr>
      </w:pPr>
      <w:r w:rsidRPr="00617081">
        <w:rPr>
          <w:rFonts w:ascii="Palatino Linotype" w:hAnsi="Palatino Linotype"/>
        </w:rPr>
        <w:t xml:space="preserve"> </w:t>
      </w:r>
      <w:bookmarkStart w:id="32" w:name="_Toc151927113"/>
      <w:r w:rsidRPr="00617081">
        <w:rPr>
          <w:rFonts w:ascii="Palatino Linotype" w:hAnsi="Palatino Linotype"/>
        </w:rPr>
        <w:t>Başvuranın Tüm Bylock Materyallerine Ulaşması Gerekirdi</w:t>
      </w:r>
      <w:bookmarkEnd w:id="32"/>
      <w:r w:rsidRPr="00617081">
        <w:rPr>
          <w:rFonts w:ascii="Palatino Linotype" w:hAnsi="Palatino Linotype"/>
        </w:rPr>
        <w:t xml:space="preserve"> </w:t>
      </w:r>
    </w:p>
    <w:p w14:paraId="5E21BF25"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 xml:space="preserve">AİHM, yukarıda belirtilen eksiklikler nedeniyle </w:t>
      </w:r>
      <w:r w:rsidRPr="00617081">
        <w:rPr>
          <w:rFonts w:ascii="Palatino Linotype" w:hAnsi="Palatino Linotype"/>
          <w:b/>
          <w:bCs/>
          <w:color w:val="000000" w:themeColor="text1"/>
          <w:sz w:val="22"/>
          <w:szCs w:val="22"/>
          <w:lang w:val="tr-TR"/>
        </w:rPr>
        <w:t xml:space="preserve">savunmanın maruz kaldığı zararın, yerel mahkemelerin ByLock deliline ilişkin gerekçelerindeki eksikliklerle daha da arttığı </w:t>
      </w:r>
      <w:r w:rsidRPr="00617081">
        <w:rPr>
          <w:rFonts w:ascii="Palatino Linotype" w:hAnsi="Palatino Linotype"/>
          <w:b/>
          <w:bCs/>
          <w:color w:val="000000" w:themeColor="text1"/>
          <w:sz w:val="22"/>
          <w:szCs w:val="22"/>
          <w:lang w:val="tr-TR"/>
        </w:rPr>
        <w:lastRenderedPageBreak/>
        <w:t xml:space="preserve">kanaatindedir. </w:t>
      </w:r>
      <w:r w:rsidRPr="00617081">
        <w:rPr>
          <w:rFonts w:ascii="Palatino Linotype" w:hAnsi="Palatino Linotype"/>
          <w:color w:val="000000" w:themeColor="text1"/>
          <w:sz w:val="22"/>
          <w:szCs w:val="22"/>
          <w:lang w:val="tr-TR"/>
        </w:rPr>
        <w:t xml:space="preserve">Mahkemeye göre, başvuranın hakkında ileri sürülen iddiaların doğruluğuna itiraz edebilmesi ve özellikle de Bylock’un </w:t>
      </w:r>
      <w:r w:rsidRPr="00617081">
        <w:rPr>
          <w:rFonts w:ascii="Palatino Linotype" w:hAnsi="Palatino Linotype"/>
          <w:i/>
          <w:iCs/>
          <w:color w:val="000000" w:themeColor="text1"/>
          <w:sz w:val="22"/>
          <w:szCs w:val="22"/>
          <w:lang w:val="tr-TR"/>
        </w:rPr>
        <w:t>“münhasıran”</w:t>
      </w:r>
      <w:r w:rsidRPr="00617081">
        <w:rPr>
          <w:rFonts w:ascii="Palatino Linotype" w:hAnsi="Palatino Linotype"/>
          <w:color w:val="000000" w:themeColor="text1"/>
          <w:sz w:val="22"/>
          <w:szCs w:val="22"/>
          <w:lang w:val="tr-TR"/>
        </w:rPr>
        <w:t xml:space="preserve"> Gülen Hareketi mensuplarınca veya </w:t>
      </w:r>
      <w:r w:rsidRPr="00617081">
        <w:rPr>
          <w:rFonts w:ascii="Palatino Linotype" w:hAnsi="Palatino Linotype"/>
          <w:i/>
          <w:iCs/>
          <w:color w:val="000000" w:themeColor="text1"/>
          <w:sz w:val="22"/>
          <w:szCs w:val="22"/>
          <w:lang w:val="tr-TR"/>
        </w:rPr>
        <w:t>“örgütsel”</w:t>
      </w:r>
      <w:r w:rsidRPr="00617081">
        <w:rPr>
          <w:rFonts w:ascii="Palatino Linotype" w:hAnsi="Palatino Linotype"/>
          <w:color w:val="000000" w:themeColor="text1"/>
          <w:sz w:val="22"/>
          <w:szCs w:val="22"/>
          <w:lang w:val="tr-TR"/>
        </w:rPr>
        <w:t xml:space="preserve"> amaçlarla kullanıldığı iddiasını </w:t>
      </w:r>
      <w:r w:rsidRPr="00617081">
        <w:rPr>
          <w:rFonts w:ascii="Palatino Linotype" w:hAnsi="Palatino Linotype"/>
          <w:b/>
          <w:bCs/>
          <w:color w:val="000000" w:themeColor="text1"/>
          <w:sz w:val="22"/>
          <w:szCs w:val="22"/>
          <w:lang w:val="tr-TR"/>
        </w:rPr>
        <w:t>çürütmek için tüm Bylock materyallerine ulaşabilmesi önemlidir.</w:t>
      </w:r>
      <w:r w:rsidRPr="00617081">
        <w:rPr>
          <w:rFonts w:ascii="Palatino Linotype" w:hAnsi="Palatino Linotype"/>
          <w:color w:val="000000" w:themeColor="text1"/>
          <w:sz w:val="22"/>
          <w:szCs w:val="22"/>
          <w:lang w:val="tr-TR"/>
        </w:rPr>
        <w:t xml:space="preserve"> </w:t>
      </w:r>
      <w:r w:rsidRPr="00617081">
        <w:rPr>
          <w:rFonts w:ascii="Palatino Linotype" w:hAnsi="Palatino Linotype"/>
          <w:sz w:val="22"/>
          <w:szCs w:val="22"/>
          <w:lang w:val="tr-TR"/>
        </w:rPr>
        <w:t xml:space="preserve">Bu şartlar altında, başvuranın yalnızca savcılığın elinde bulunan Bylock verilerine dayanarak bu iddialara doğrudan itiraz edemediği düşünüldüğünde, ulusal mahkemelerin bunları yeterli ve ilgili gerekçelerle desteklemesi ve başvuranın bunların doğruluğuna ilişkin itirazlarını ele almaları çok önemliyken </w:t>
      </w:r>
      <w:r w:rsidRPr="00617081">
        <w:rPr>
          <w:rFonts w:ascii="Palatino Linotype" w:hAnsi="Palatino Linotype"/>
          <w:b/>
          <w:bCs/>
          <w:sz w:val="22"/>
          <w:szCs w:val="22"/>
          <w:lang w:val="tr-TR"/>
        </w:rPr>
        <w:t>mahkemeler bunu yapmamışlardır</w:t>
      </w:r>
      <w:r w:rsidRPr="00617081">
        <w:rPr>
          <w:rFonts w:ascii="Palatino Linotype" w:hAnsi="Palatino Linotype"/>
          <w:sz w:val="22"/>
          <w:szCs w:val="22"/>
          <w:lang w:val="tr-TR"/>
        </w:rPr>
        <w:t xml:space="preserve"> (§ 337). Zira mahkemelere göre Bylock adeta </w:t>
      </w:r>
      <w:r w:rsidRPr="00617081">
        <w:rPr>
          <w:rFonts w:ascii="Palatino Linotype" w:hAnsi="Palatino Linotype"/>
          <w:b/>
          <w:bCs/>
          <w:i/>
          <w:iCs/>
          <w:sz w:val="22"/>
          <w:szCs w:val="22"/>
          <w:lang w:val="tr-TR"/>
        </w:rPr>
        <w:t>“kutsal”</w:t>
      </w:r>
      <w:r w:rsidRPr="00617081">
        <w:rPr>
          <w:rFonts w:ascii="Palatino Linotype" w:hAnsi="Palatino Linotype"/>
          <w:sz w:val="22"/>
          <w:szCs w:val="22"/>
          <w:lang w:val="tr-TR"/>
        </w:rPr>
        <w:t xml:space="preserve"> bir delildir ve doğruluğu sorgulanamaz. Bu sebeple de tıpkı başvuran gibi on binlerce kişinin itirazları hiçbir mahkeme tarafından kabul edilmemiştir.</w:t>
      </w:r>
    </w:p>
    <w:p w14:paraId="4FAECA3A" w14:textId="77777777" w:rsidR="00E52E47" w:rsidRPr="00617081" w:rsidRDefault="00E52E47" w:rsidP="004D60B0">
      <w:pPr>
        <w:pStyle w:val="Balk2"/>
        <w:rPr>
          <w:rFonts w:ascii="Palatino Linotype" w:hAnsi="Palatino Linotype"/>
        </w:rPr>
      </w:pPr>
      <w:bookmarkStart w:id="33" w:name="_Toc151927114"/>
      <w:r w:rsidRPr="00617081">
        <w:rPr>
          <w:rFonts w:ascii="Palatino Linotype" w:hAnsi="Palatino Linotype"/>
        </w:rPr>
        <w:t>5. Münhasırlık İddiasına İlişkin Değerlendirme</w:t>
      </w:r>
      <w:bookmarkEnd w:id="33"/>
    </w:p>
    <w:p w14:paraId="7F910076" w14:textId="2F41CB1F" w:rsidR="00E52E47" w:rsidRPr="00617081" w:rsidRDefault="0065557D" w:rsidP="0065557D">
      <w:pPr>
        <w:pStyle w:val="Balk3"/>
        <w:numPr>
          <w:ilvl w:val="0"/>
          <w:numId w:val="42"/>
        </w:numPr>
        <w:rPr>
          <w:rFonts w:ascii="Palatino Linotype" w:hAnsi="Palatino Linotype"/>
        </w:rPr>
      </w:pPr>
      <w:r w:rsidRPr="00617081">
        <w:rPr>
          <w:rFonts w:ascii="Palatino Linotype" w:hAnsi="Palatino Linotype"/>
        </w:rPr>
        <w:t xml:space="preserve"> </w:t>
      </w:r>
      <w:bookmarkStart w:id="34" w:name="_Toc151927115"/>
      <w:r w:rsidR="00E52E47" w:rsidRPr="00617081">
        <w:rPr>
          <w:rFonts w:ascii="Palatino Linotype" w:hAnsi="Palatino Linotype"/>
        </w:rPr>
        <w:t>Bylock’un Örgütsel Amaçla Kullanıldığı (Münhasırlık) İddiası Maddi Bulgulara Dayanmamaktadır</w:t>
      </w:r>
      <w:bookmarkEnd w:id="34"/>
      <w:r w:rsidR="00E52E47" w:rsidRPr="00617081">
        <w:rPr>
          <w:rFonts w:ascii="Palatino Linotype" w:hAnsi="Palatino Linotype"/>
        </w:rPr>
        <w:t xml:space="preserve"> </w:t>
      </w:r>
    </w:p>
    <w:p w14:paraId="78CBB68F"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AİHM, yargı mercileri tarafından Bylock’un örgütsel amaçla kullanıldığı iddiası ve bu kullanımın otomatik suçun maddi ve manevi unsurlarına karşılık geldiğine ilişkin gerekçelerini de boşa düşürmüş ve b</w:t>
      </w:r>
      <w:r w:rsidRPr="00617081">
        <w:rPr>
          <w:rFonts w:ascii="Palatino Linotype" w:hAnsi="Palatino Linotype"/>
          <w:sz w:val="22"/>
          <w:szCs w:val="22"/>
          <w:lang w:val="tr-TR"/>
        </w:rPr>
        <w:t xml:space="preserve">aşvuranın Bylock’u örgütsel amaçla kullandığı iddiasının, suç niteliğindeki ByLock içeriği veya hiyerarşik bir bağlantıyı gösteren diğer bilgiler gibi herhangi bir özel maddi bulguya değil; başlangıçta </w:t>
      </w:r>
      <w:r w:rsidRPr="00617081">
        <w:rPr>
          <w:rFonts w:ascii="Palatino Linotype" w:hAnsi="Palatino Linotype"/>
          <w:b/>
          <w:bCs/>
          <w:sz w:val="22"/>
          <w:szCs w:val="22"/>
          <w:lang w:val="tr-TR"/>
        </w:rPr>
        <w:t>MİT tarafından ortaya atılan</w:t>
      </w:r>
      <w:r w:rsidRPr="00617081">
        <w:rPr>
          <w:rFonts w:ascii="Palatino Linotype" w:hAnsi="Palatino Linotype"/>
          <w:sz w:val="22"/>
          <w:szCs w:val="22"/>
          <w:lang w:val="tr-TR"/>
        </w:rPr>
        <w:t xml:space="preserve"> ve daha sonra Yargıtay tarafından da kabul edilen </w:t>
      </w:r>
      <w:r w:rsidRPr="00617081">
        <w:rPr>
          <w:rFonts w:ascii="Palatino Linotype" w:hAnsi="Palatino Linotype"/>
          <w:b/>
          <w:bCs/>
          <w:sz w:val="22"/>
          <w:szCs w:val="22"/>
          <w:lang w:val="tr-TR"/>
        </w:rPr>
        <w:t xml:space="preserve">ByLock’un </w:t>
      </w:r>
      <w:r w:rsidRPr="00617081">
        <w:rPr>
          <w:rFonts w:ascii="Palatino Linotype" w:hAnsi="Palatino Linotype"/>
          <w:b/>
          <w:bCs/>
          <w:i/>
          <w:iCs/>
          <w:sz w:val="22"/>
          <w:szCs w:val="22"/>
          <w:lang w:val="tr-TR"/>
        </w:rPr>
        <w:t>"münhasıran"</w:t>
      </w:r>
      <w:r w:rsidRPr="00617081">
        <w:rPr>
          <w:rFonts w:ascii="Palatino Linotype" w:hAnsi="Palatino Linotype"/>
          <w:b/>
          <w:bCs/>
          <w:sz w:val="22"/>
          <w:szCs w:val="22"/>
          <w:lang w:val="tr-TR"/>
        </w:rPr>
        <w:t xml:space="preserve"> Gülen Hareketi mensupları tarafından kullanıldığı tezine dayandığını belirtmiştir</w:t>
      </w:r>
      <w:r w:rsidRPr="00617081">
        <w:rPr>
          <w:rFonts w:ascii="Palatino Linotype" w:hAnsi="Palatino Linotype"/>
          <w:sz w:val="22"/>
          <w:szCs w:val="22"/>
          <w:lang w:val="tr-TR"/>
        </w:rPr>
        <w:t xml:space="preserve"> (§ 338).</w:t>
      </w:r>
    </w:p>
    <w:p w14:paraId="3A278A5B" w14:textId="0E8B3E6B"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Başka bir ifadeyle, on binlerce kişinin örgütsel amaçla kullandığı belirtilerek cezalandırılmasına gerekçe yapılan </w:t>
      </w:r>
      <w:r w:rsidRPr="00617081">
        <w:rPr>
          <w:rFonts w:ascii="Palatino Linotype" w:hAnsi="Palatino Linotype"/>
          <w:b/>
          <w:bCs/>
          <w:sz w:val="22"/>
          <w:szCs w:val="22"/>
          <w:lang w:val="tr-TR"/>
        </w:rPr>
        <w:t xml:space="preserve">Bylock’la ilgili bu iddiayı doğrulayabilecek maddi hiçbir bulgu yoktur. </w:t>
      </w:r>
      <w:r w:rsidRPr="00617081">
        <w:rPr>
          <w:rFonts w:ascii="Palatino Linotype" w:hAnsi="Palatino Linotype"/>
          <w:sz w:val="22"/>
          <w:szCs w:val="22"/>
          <w:lang w:val="tr-TR"/>
        </w:rPr>
        <w:t xml:space="preserve">Bu husus da MİT tarafından uydurulup yargı mercilerinin sorgusuz sualsiz kabul ettikleri münhasırlık iddiasına dayandırılmıştır. Yani, adeta </w:t>
      </w:r>
      <w:r w:rsidRPr="00617081">
        <w:rPr>
          <w:rFonts w:ascii="Palatino Linotype" w:hAnsi="Palatino Linotype"/>
          <w:b/>
          <w:bCs/>
          <w:sz w:val="22"/>
          <w:szCs w:val="22"/>
          <w:lang w:val="tr-TR"/>
        </w:rPr>
        <w:t>MİT’in elinde oyuncak olan yargı, MİT’in bir argümanıyla insanları cezalandırmıştır.</w:t>
      </w:r>
      <w:r w:rsidRPr="00617081">
        <w:rPr>
          <w:rFonts w:ascii="Palatino Linotype" w:hAnsi="Palatino Linotype"/>
          <w:sz w:val="22"/>
          <w:szCs w:val="22"/>
          <w:lang w:val="tr-TR"/>
        </w:rPr>
        <w:t xml:space="preserve"> Ancak, AİHM münhasırlık iddiasını kabul etmemiş ve yargının Bylock’la ve dolayısıyla insanların otomatik cezalandırma gerekçesi münhasırlıkla ilgili iddiaları da boşa düşmüştür</w:t>
      </w:r>
      <w:bookmarkEnd w:id="30"/>
      <w:r w:rsidRPr="00617081">
        <w:rPr>
          <w:rFonts w:ascii="Palatino Linotype" w:hAnsi="Palatino Linotype"/>
          <w:sz w:val="22"/>
          <w:szCs w:val="22"/>
          <w:lang w:val="tr-TR"/>
        </w:rPr>
        <w:t>.</w:t>
      </w:r>
    </w:p>
    <w:p w14:paraId="19F38905" w14:textId="115EB29A" w:rsidR="00E52E47" w:rsidRPr="00617081" w:rsidRDefault="00B4346D" w:rsidP="0065557D">
      <w:pPr>
        <w:pStyle w:val="Balk3"/>
        <w:rPr>
          <w:rFonts w:ascii="Palatino Linotype" w:hAnsi="Palatino Linotype"/>
        </w:rPr>
      </w:pPr>
      <w:r w:rsidRPr="00617081">
        <w:rPr>
          <w:rFonts w:ascii="Palatino Linotype" w:hAnsi="Palatino Linotype"/>
        </w:rPr>
        <w:t xml:space="preserve"> </w:t>
      </w:r>
      <w:bookmarkStart w:id="35" w:name="_Toc151927116"/>
      <w:r w:rsidR="00E52E47" w:rsidRPr="00617081">
        <w:rPr>
          <w:rFonts w:ascii="Palatino Linotype" w:hAnsi="Palatino Linotype"/>
        </w:rPr>
        <w:t>Bylock İki Yıl Boyunca Uygulama Mağazalarından İndirilebilen Bir Uygulamadır</w:t>
      </w:r>
      <w:bookmarkEnd w:id="35"/>
    </w:p>
    <w:p w14:paraId="2EDC54FE"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Bylock’un münhasır olarak Gülen Hareketi mensuplarınca kullanıldığı iddiasını Hükümet; şifreli yapısı, diğer kullanıcılarla iletişime geçmek için gereken özel düzenlemeler, VPN kullanma zorunluluğu ve içeriğin otomatik olarak silinmesi gibi uygulamanın teknik özellikleri ve bunlarla birlikte çözülen kullanıcı profilleri ve içerikleri gibi hususlarla desteklemeye çalışmıştır. Ancak AİHM, başvuranın yargılama sırasında ByLock uygulamasının 2016 yılının başlarına kadar, yani yaklaşık iki yıl boyunca herhangi bir kontrol mekanizması olmaksızın halka açık uygulama mağazalarından veya sitelerinden indirilebildiğine ve </w:t>
      </w:r>
      <w:r w:rsidRPr="00617081">
        <w:rPr>
          <w:rFonts w:ascii="Palatino Linotype" w:hAnsi="Palatino Linotype"/>
          <w:b/>
          <w:bCs/>
          <w:sz w:val="22"/>
          <w:szCs w:val="22"/>
        </w:rPr>
        <w:t>bunun münhasırlık argümanını zayıflattığına dikkat çekmiştir.</w:t>
      </w:r>
      <w:r w:rsidRPr="00617081">
        <w:rPr>
          <w:rFonts w:ascii="Palatino Linotype" w:hAnsi="Palatino Linotype"/>
          <w:sz w:val="22"/>
          <w:szCs w:val="22"/>
        </w:rPr>
        <w:t xml:space="preserve"> Ayrıca Mahkeme, iddia edildiği gibi Bylock’un </w:t>
      </w:r>
      <w:r w:rsidRPr="00617081">
        <w:rPr>
          <w:rFonts w:ascii="Palatino Linotype" w:hAnsi="Palatino Linotype"/>
          <w:i/>
          <w:iCs/>
          <w:sz w:val="22"/>
          <w:szCs w:val="22"/>
        </w:rPr>
        <w:t>"örgütsel amaçlar"</w:t>
      </w:r>
      <w:r w:rsidRPr="00617081">
        <w:rPr>
          <w:rFonts w:ascii="Palatino Linotype" w:hAnsi="Palatino Linotype"/>
          <w:sz w:val="22"/>
          <w:szCs w:val="22"/>
        </w:rPr>
        <w:t xml:space="preserve"> için kullanılıp kullanılmadığını </w:t>
      </w:r>
      <w:r w:rsidRPr="00617081">
        <w:rPr>
          <w:rFonts w:ascii="Palatino Linotype" w:hAnsi="Palatino Linotype"/>
          <w:sz w:val="22"/>
          <w:szCs w:val="22"/>
        </w:rPr>
        <w:lastRenderedPageBreak/>
        <w:t>anlayabilmek için her kullanıcı açısından bu uygulama üzerinden gerçekleştirilen belirli faaliyetlerin incelenmesi gerektirdiğini de belirtmiştir (§ 338).</w:t>
      </w:r>
    </w:p>
    <w:p w14:paraId="55B55563"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Bu ifadeden, AİHM’in içerik incelemesi yapılmasını istediği ve dolayısıyla Bylock’u hukuka uygun bir delil kabul ettiği gibi bir anlam çıkarılmamalıdır. Zira bunun olabilmesi ve Bylock içeriklerine bakılarak neticeye gidilebilmesi için yukarıda sayılan </w:t>
      </w:r>
      <w:r w:rsidRPr="00617081">
        <w:rPr>
          <w:rFonts w:ascii="Palatino Linotype" w:hAnsi="Palatino Linotype"/>
          <w:b/>
          <w:bCs/>
          <w:sz w:val="22"/>
          <w:szCs w:val="22"/>
        </w:rPr>
        <w:t>şüphe sebeplerinin tamamı giderilmeli ve Bylock’un hukuka uygun elde edildiği her türlü şüpheden uzak şekilde ortaya konulmalıdır.</w:t>
      </w:r>
      <w:r w:rsidRPr="00617081">
        <w:rPr>
          <w:rFonts w:ascii="Palatino Linotype" w:hAnsi="Palatino Linotype"/>
          <w:sz w:val="22"/>
          <w:szCs w:val="22"/>
        </w:rPr>
        <w:t xml:space="preserve"> Ancak, gelinen durum itibariyle bunun yapılabilmesi mümkün değildir. Bylock ele geçirildiği andan başlamak üzere baştan sonra hukuka aykırı bir delildir. Yargı mercilerinin bu saatten sonra </w:t>
      </w:r>
      <w:r w:rsidRPr="00617081">
        <w:rPr>
          <w:rFonts w:ascii="Palatino Linotype" w:hAnsi="Palatino Linotype"/>
          <w:i/>
          <w:iCs/>
          <w:sz w:val="22"/>
          <w:szCs w:val="22"/>
        </w:rPr>
        <w:t>“geriye dönük olarak”</w:t>
      </w:r>
      <w:r w:rsidRPr="00617081">
        <w:rPr>
          <w:rFonts w:ascii="Palatino Linotype" w:hAnsi="Palatino Linotype"/>
          <w:sz w:val="22"/>
          <w:szCs w:val="22"/>
        </w:rPr>
        <w:t xml:space="preserve"> Bylock’u hukuka uygun hale getirmeleri mümkün değildir. </w:t>
      </w:r>
    </w:p>
    <w:p w14:paraId="28998AE3"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Ayrıca, örgütsel amaçlar için kullanıldığına ilişkin bir delil elde edilebilmesi de mümkün değildir. Zira, bahsedilen </w:t>
      </w:r>
      <w:r w:rsidRPr="00617081">
        <w:rPr>
          <w:rFonts w:ascii="Palatino Linotype" w:hAnsi="Palatino Linotype"/>
          <w:b/>
          <w:bCs/>
          <w:sz w:val="22"/>
          <w:szCs w:val="22"/>
        </w:rPr>
        <w:t>örgütsel amaçtan kasıt, cebir ve şiddet içeren yazışmalar ve bu yazışmaların dış dünyaya yansımalarıdır.</w:t>
      </w:r>
      <w:r w:rsidRPr="00617081">
        <w:rPr>
          <w:rFonts w:ascii="Palatino Linotype" w:hAnsi="Palatino Linotype"/>
          <w:sz w:val="22"/>
          <w:szCs w:val="22"/>
        </w:rPr>
        <w:t xml:space="preserve"> Böyle bir yazışma bu zamana kadar elde edilemediği gibi Hükümetin ve yargı mercilerinin kabul ve iddia ettikleri şekliyle dış dünyaya yansıyan tek eylem 15 Temmuz hadisesidir ve Bylock bu olaydan aylar önce kullanıma kapanmıştır. </w:t>
      </w:r>
    </w:p>
    <w:p w14:paraId="2571EABA"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Başka bir ifadeyle, Bylock içeriklerinin örgütsel kabul edilip cezalandırmaya gerekçe yapılabilmesi için </w:t>
      </w:r>
      <w:r w:rsidRPr="00617081">
        <w:rPr>
          <w:rFonts w:ascii="Palatino Linotype" w:hAnsi="Palatino Linotype"/>
          <w:b/>
          <w:bCs/>
          <w:sz w:val="22"/>
          <w:szCs w:val="22"/>
        </w:rPr>
        <w:t>bu aşamada yapılabilecek bir şey yoktur.</w:t>
      </w:r>
      <w:r w:rsidRPr="00617081">
        <w:rPr>
          <w:rFonts w:ascii="Palatino Linotype" w:hAnsi="Palatino Linotype"/>
          <w:sz w:val="22"/>
          <w:szCs w:val="22"/>
        </w:rPr>
        <w:t xml:space="preserve"> İnsanların günlük hayata ilişkin ya da dini saiklerle yaptıkları paylaşımları ve bir adım daha ileriye giderek, varsa suç içeren yazışmaları </w:t>
      </w:r>
      <w:r w:rsidRPr="00617081">
        <w:rPr>
          <w:rFonts w:ascii="Palatino Linotype" w:hAnsi="Palatino Linotype"/>
          <w:b/>
          <w:bCs/>
          <w:sz w:val="22"/>
          <w:szCs w:val="22"/>
        </w:rPr>
        <w:t>cebir ve şiddet içeren bir olayla desteklenmediği sürece silahlı örgüt üyeliğinin delili olamaz.</w:t>
      </w:r>
      <w:r w:rsidRPr="00617081">
        <w:rPr>
          <w:rFonts w:ascii="Palatino Linotype" w:hAnsi="Palatino Linotype"/>
          <w:sz w:val="22"/>
          <w:szCs w:val="22"/>
        </w:rPr>
        <w:t xml:space="preserve"> Bu yazışmalar, en fazla insanların Gülen Hareketiyle irtibatını gösterebilir ki, bir cemaate mensup ya da sempatizan olmak suç değildir.</w:t>
      </w:r>
    </w:p>
    <w:p w14:paraId="2AD41A8A" w14:textId="78F67B29" w:rsidR="00CB62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 xml:space="preserve">Ayrıca, Bylock kullanmak tek başına hiçbir şekilde silahlı örgüt üyeliği suçunun maddi unsuru olan hiyerarşik yapıya dahil olunduğunu da göstermez. Zira hiyerarşik yapıya dahil olma örgütsel faaliyetlerle ortaya konulabilir ve AİHM’in de atıf yaptığı yerleşik Yargıtay içtihatları gereğince, </w:t>
      </w:r>
      <w:r w:rsidRPr="00617081">
        <w:rPr>
          <w:rFonts w:ascii="Palatino Linotype" w:hAnsi="Palatino Linotype"/>
          <w:b/>
          <w:bCs/>
          <w:sz w:val="22"/>
          <w:szCs w:val="22"/>
        </w:rPr>
        <w:t xml:space="preserve">örgütsel kabul edilebilecek faaliyetler sürekli, çeşitli ve yoğun olmalıdır. </w:t>
      </w:r>
      <w:r w:rsidRPr="00617081">
        <w:rPr>
          <w:rFonts w:ascii="Palatino Linotype" w:hAnsi="Palatino Linotype"/>
          <w:sz w:val="22"/>
          <w:szCs w:val="22"/>
        </w:rPr>
        <w:t xml:space="preserve">Ancak, güncel yarılamalarda insanların </w:t>
      </w:r>
      <w:r w:rsidRPr="00617081">
        <w:rPr>
          <w:rFonts w:ascii="Palatino Linotype" w:hAnsi="Palatino Linotype"/>
          <w:b/>
          <w:bCs/>
          <w:sz w:val="22"/>
          <w:szCs w:val="22"/>
        </w:rPr>
        <w:t>sadece Bylock kullandıkları için cezalandırıldıkları düşünüldüğünde, bu yargı pratiğinin yanlışlığı ve örgütsel faaliyetlerin niteliğiyle bağdaşmadığı anlaşılacaktır. Yani, Bylock kullanımıyla bu şartların karşılandığının söylenebilmesi mümkün değildir.</w:t>
      </w:r>
      <w:r w:rsidRPr="00617081">
        <w:rPr>
          <w:rFonts w:ascii="Palatino Linotype" w:hAnsi="Palatino Linotype"/>
          <w:sz w:val="22"/>
          <w:szCs w:val="22"/>
        </w:rPr>
        <w:t xml:space="preserve"> Bunu bilen yargı da Bylock’u bir delil gibi değil, suçun unsuru kabul edip o şekilde uygulama geliştirmiştir.</w:t>
      </w:r>
    </w:p>
    <w:p w14:paraId="178B3F9C" w14:textId="53A8F4C8" w:rsidR="00E52E47" w:rsidRPr="00617081" w:rsidRDefault="00B4346D" w:rsidP="0065557D">
      <w:pPr>
        <w:pStyle w:val="Balk3"/>
        <w:rPr>
          <w:rFonts w:ascii="Palatino Linotype" w:hAnsi="Palatino Linotype"/>
        </w:rPr>
      </w:pPr>
      <w:r w:rsidRPr="00617081">
        <w:rPr>
          <w:rFonts w:ascii="Palatino Linotype" w:hAnsi="Palatino Linotype"/>
        </w:rPr>
        <w:t xml:space="preserve"> </w:t>
      </w:r>
      <w:bookmarkStart w:id="36" w:name="_Toc151927117"/>
      <w:r w:rsidR="00E52E47" w:rsidRPr="00617081">
        <w:rPr>
          <w:rFonts w:ascii="Palatino Linotype" w:hAnsi="Palatino Linotype"/>
        </w:rPr>
        <w:t>Bylock Münhasır Bir Uygulama Değildir</w:t>
      </w:r>
      <w:bookmarkEnd w:id="36"/>
      <w:r w:rsidR="00E52E47" w:rsidRPr="00617081">
        <w:rPr>
          <w:rFonts w:ascii="Palatino Linotype" w:hAnsi="Palatino Linotype"/>
        </w:rPr>
        <w:t xml:space="preserve"> </w:t>
      </w:r>
    </w:p>
    <w:p w14:paraId="5413F2BA" w14:textId="77777777" w:rsidR="00E52E47" w:rsidRPr="00617081" w:rsidRDefault="00E52E47" w:rsidP="004D60B0">
      <w:pPr>
        <w:pStyle w:val="JuPara"/>
        <w:tabs>
          <w:tab w:val="left" w:pos="709"/>
        </w:tabs>
        <w:spacing w:after="160" w:line="271" w:lineRule="auto"/>
        <w:ind w:firstLine="709"/>
        <w:rPr>
          <w:rFonts w:ascii="Palatino Linotype" w:hAnsi="Palatino Linotype"/>
          <w:b/>
          <w:bCs/>
          <w:color w:val="000000" w:themeColor="text1"/>
          <w:sz w:val="22"/>
          <w:szCs w:val="22"/>
          <w:lang w:val="tr-TR"/>
        </w:rPr>
      </w:pPr>
      <w:r w:rsidRPr="00617081">
        <w:rPr>
          <w:rFonts w:ascii="Palatino Linotype" w:hAnsi="Palatino Linotype"/>
          <w:color w:val="000000" w:themeColor="text1"/>
          <w:sz w:val="22"/>
          <w:szCs w:val="22"/>
          <w:lang w:val="tr-TR"/>
        </w:rPr>
        <w:t>AİHM, başvuran tarafından sunulan ve Hükümet tarafından reddedilmeyen uzman görüşünü de dikkate alarak; Bylock’un indirilmesinin ardından, diğer kullanıcılarla iletişim kurmak için gerekli hususların ve münhasırlık argümanını desteklemek için Hükümetin ileri sürdüğü bir çok teknik özelliğinin</w:t>
      </w:r>
      <w:r w:rsidRPr="00617081">
        <w:rPr>
          <w:rFonts w:ascii="Palatino Linotype" w:hAnsi="Palatino Linotype"/>
          <w:b/>
          <w:bCs/>
          <w:color w:val="000000" w:themeColor="text1"/>
          <w:sz w:val="22"/>
          <w:szCs w:val="22"/>
          <w:lang w:val="tr-TR"/>
        </w:rPr>
        <w:t xml:space="preserve">, münhasırlık iddiasını karşılayacak nitelikte olmadığını ve Bylock’ta bulunan özelliklerin aslında yaygın olarak kullanılan birçok uygulamada bulunduğunu belirtmiştir </w:t>
      </w:r>
      <w:r w:rsidRPr="00617081">
        <w:rPr>
          <w:rFonts w:ascii="Palatino Linotype" w:hAnsi="Palatino Linotype"/>
          <w:b/>
          <w:bCs/>
          <w:sz w:val="22"/>
          <w:szCs w:val="22"/>
          <w:lang w:val="tr-TR"/>
        </w:rPr>
        <w:t>(§ 339).</w:t>
      </w:r>
    </w:p>
    <w:p w14:paraId="1C53A61C"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lastRenderedPageBreak/>
        <w:t xml:space="preserve">Mahkeme, bu hususu desteklemek adına; güncel yargılamalardaki bazı şüphelilerin Bylock’u </w:t>
      </w:r>
      <w:r w:rsidRPr="00617081">
        <w:rPr>
          <w:rFonts w:ascii="Palatino Linotype" w:hAnsi="Palatino Linotype"/>
          <w:i/>
          <w:iCs/>
          <w:color w:val="000000" w:themeColor="text1"/>
          <w:sz w:val="22"/>
          <w:szCs w:val="22"/>
          <w:lang w:val="tr-TR"/>
        </w:rPr>
        <w:t>“cemaatteki arkadaşlarından”</w:t>
      </w:r>
      <w:r w:rsidRPr="00617081">
        <w:rPr>
          <w:rFonts w:ascii="Palatino Linotype" w:hAnsi="Palatino Linotype"/>
          <w:color w:val="000000" w:themeColor="text1"/>
          <w:sz w:val="22"/>
          <w:szCs w:val="22"/>
          <w:lang w:val="tr-TR"/>
        </w:rPr>
        <w:t xml:space="preserve"> duyduktan sonra uygulama mağazalarından nasıl indirdiklerini ve kullanımının cemaat içinde nasıl yaygınlaştığını açıklayan ve Bylock’un iddia edilen katı bir örgütsel hiyerarşi dışında da indirilmiş ve kullanılmış olabileceğini gösteren Anayasa Mahkemesinin </w:t>
      </w:r>
      <w:r w:rsidRPr="00617081">
        <w:rPr>
          <w:rFonts w:ascii="Palatino Linotype" w:hAnsi="Palatino Linotype"/>
          <w:i/>
          <w:iCs/>
          <w:color w:val="000000" w:themeColor="text1"/>
          <w:sz w:val="22"/>
          <w:szCs w:val="22"/>
          <w:lang w:val="tr-TR"/>
        </w:rPr>
        <w:t>Ferhat Kara</w:t>
      </w:r>
      <w:r w:rsidRPr="00617081">
        <w:rPr>
          <w:rFonts w:ascii="Palatino Linotype" w:hAnsi="Palatino Linotype"/>
          <w:color w:val="000000" w:themeColor="text1"/>
          <w:sz w:val="22"/>
          <w:szCs w:val="22"/>
          <w:lang w:val="tr-TR"/>
        </w:rPr>
        <w:t xml:space="preserve"> kararında yer verilen ifadelere de atıfta bulunmuştur </w:t>
      </w:r>
      <w:r w:rsidRPr="00617081">
        <w:rPr>
          <w:rFonts w:ascii="Palatino Linotype" w:hAnsi="Palatino Linotype"/>
          <w:sz w:val="22"/>
          <w:szCs w:val="22"/>
          <w:lang w:val="tr-TR"/>
        </w:rPr>
        <w:t>(§ 339)</w:t>
      </w:r>
      <w:r w:rsidRPr="00617081">
        <w:rPr>
          <w:rFonts w:ascii="Palatino Linotype" w:hAnsi="Palatino Linotype"/>
          <w:color w:val="000000" w:themeColor="text1"/>
          <w:sz w:val="22"/>
          <w:szCs w:val="22"/>
          <w:lang w:val="tr-TR"/>
        </w:rPr>
        <w:t xml:space="preserve">. Yani AİHM’e göre </w:t>
      </w:r>
      <w:r w:rsidRPr="00617081">
        <w:rPr>
          <w:rFonts w:ascii="Palatino Linotype" w:hAnsi="Palatino Linotype"/>
          <w:b/>
          <w:bCs/>
          <w:color w:val="000000" w:themeColor="text1"/>
          <w:sz w:val="22"/>
          <w:szCs w:val="22"/>
          <w:lang w:val="tr-TR"/>
        </w:rPr>
        <w:t>Bylock, salt Hükümetin iddia ettiği gibi münhasır ve örgüt içi bir haberleşme aracı değildir.</w:t>
      </w:r>
      <w:r w:rsidRPr="00617081">
        <w:rPr>
          <w:rFonts w:ascii="Palatino Linotype" w:hAnsi="Palatino Linotype"/>
          <w:color w:val="000000" w:themeColor="text1"/>
          <w:sz w:val="22"/>
          <w:szCs w:val="22"/>
          <w:lang w:val="tr-TR"/>
        </w:rPr>
        <w:t xml:space="preserve"> Kaldı ki, iki yıl boyunca milyonlarca kişinin uygulamayı indirdiği mağazalarda kullanımda kalan bir uygulamanın münhasır olduğunu iddia etmek hayatın olağan akışına da aykırıdır. Bylock’un münhasır bir uygulama olmadığını ispatlayan pek çok teknik husus ve daha önemlisi konuyla ilgili yazılan ve AİHM’in de atıf yaptığı uzman görüşü vardır.</w:t>
      </w:r>
      <w:r w:rsidRPr="00617081">
        <w:rPr>
          <w:rStyle w:val="DipnotBavurusu"/>
          <w:rFonts w:ascii="Palatino Linotype" w:hAnsi="Palatino Linotype"/>
          <w:sz w:val="22"/>
          <w:szCs w:val="22"/>
          <w:lang w:val="tr-TR"/>
        </w:rPr>
        <w:footnoteReference w:id="6"/>
      </w:r>
    </w:p>
    <w:p w14:paraId="50184029" w14:textId="6CD85982" w:rsidR="00E52E47" w:rsidRPr="00617081" w:rsidRDefault="00B4346D" w:rsidP="0065557D">
      <w:pPr>
        <w:pStyle w:val="Balk3"/>
        <w:rPr>
          <w:rFonts w:ascii="Palatino Linotype" w:hAnsi="Palatino Linotype"/>
        </w:rPr>
      </w:pPr>
      <w:r w:rsidRPr="00617081">
        <w:rPr>
          <w:rFonts w:ascii="Palatino Linotype" w:hAnsi="Palatino Linotype"/>
        </w:rPr>
        <w:t xml:space="preserve"> </w:t>
      </w:r>
      <w:bookmarkStart w:id="37" w:name="_Toc151927118"/>
      <w:r w:rsidR="00E52E47" w:rsidRPr="00617081">
        <w:rPr>
          <w:rFonts w:ascii="Palatino Linotype" w:hAnsi="Palatino Linotype"/>
        </w:rPr>
        <w:t>Talimatla Ağa dahil Olma Şartına İlişkin Gerekli Değerlendirme Yapılmamıştır</w:t>
      </w:r>
      <w:bookmarkEnd w:id="37"/>
    </w:p>
    <w:p w14:paraId="4D624361"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 Yargıtayın emsal kararlarında, bir kişinin </w:t>
      </w:r>
      <w:r w:rsidRPr="00617081">
        <w:rPr>
          <w:rFonts w:ascii="Palatino Linotype" w:hAnsi="Palatino Linotype"/>
          <w:i/>
          <w:iCs/>
          <w:color w:val="000000" w:themeColor="text1"/>
          <w:sz w:val="22"/>
          <w:szCs w:val="22"/>
          <w:lang w:val="tr-TR"/>
        </w:rPr>
        <w:t>“örgütün talimatıyla ağa katıldığının”</w:t>
      </w:r>
      <w:r w:rsidRPr="00617081">
        <w:rPr>
          <w:rFonts w:ascii="Palatino Linotype" w:hAnsi="Palatino Linotype"/>
          <w:color w:val="000000" w:themeColor="text1"/>
          <w:sz w:val="22"/>
          <w:szCs w:val="22"/>
          <w:lang w:val="tr-TR"/>
        </w:rPr>
        <w:t xml:space="preserve"> tespit edilmesi halinde ByLock kullanımının Gülen Hareketiyle bağlantısını gösteren kanıt teşkil edeceğinin belirtildiğini, ancak Yargıtayın veya başvuranın dosyasına bakan mahkemelerin bu yönde ayrıca değerlendirme yapmadıklarını ve neden böyle bir değerlendirmeye gerek görmediklerine ilişkin herhangi bir açıklama da bulunmadıklarını belirtmiştir </w:t>
      </w:r>
      <w:r w:rsidRPr="00617081">
        <w:rPr>
          <w:rFonts w:ascii="Palatino Linotype" w:hAnsi="Palatino Linotype"/>
          <w:sz w:val="22"/>
          <w:szCs w:val="22"/>
          <w:lang w:val="tr-TR"/>
        </w:rPr>
        <w:t>(§ 339)</w:t>
      </w:r>
      <w:r w:rsidRPr="00617081">
        <w:rPr>
          <w:rFonts w:ascii="Palatino Linotype" w:hAnsi="Palatino Linotype"/>
          <w:color w:val="000000" w:themeColor="text1"/>
          <w:sz w:val="22"/>
          <w:szCs w:val="22"/>
          <w:lang w:val="tr-TR"/>
        </w:rPr>
        <w:t>.</w:t>
      </w:r>
    </w:p>
    <w:p w14:paraId="4DBFBBF3" w14:textId="77777777" w:rsidR="00E52E47" w:rsidRPr="00617081" w:rsidRDefault="00E52E47" w:rsidP="004D60B0">
      <w:pPr>
        <w:pStyle w:val="JuPara"/>
        <w:tabs>
          <w:tab w:val="left" w:pos="709"/>
        </w:tabs>
        <w:spacing w:after="160" w:line="271" w:lineRule="auto"/>
        <w:ind w:firstLine="709"/>
        <w:rPr>
          <w:rFonts w:ascii="Palatino Linotype" w:hAnsi="Palatino Linotype"/>
          <w:b/>
          <w:bCs/>
          <w:i/>
          <w:iCs/>
          <w:sz w:val="22"/>
          <w:szCs w:val="22"/>
          <w:lang w:val="tr-TR"/>
        </w:rPr>
      </w:pPr>
      <w:r w:rsidRPr="00617081">
        <w:rPr>
          <w:rFonts w:ascii="Palatino Linotype" w:hAnsi="Palatino Linotype"/>
          <w:sz w:val="22"/>
          <w:szCs w:val="22"/>
          <w:lang w:val="tr-TR"/>
        </w:rPr>
        <w:t xml:space="preserve">Bahse konu Yargıtay Ceza Genel Kurulunun kararının ilgili kısmı şöyledir; </w:t>
      </w:r>
      <w:r w:rsidRPr="00617081">
        <w:rPr>
          <w:rFonts w:ascii="Palatino Linotype" w:hAnsi="Palatino Linotype"/>
          <w:i/>
          <w:iCs/>
          <w:sz w:val="22"/>
          <w:szCs w:val="22"/>
          <w:lang w:val="tr-TR"/>
        </w:rPr>
        <w:t xml:space="preserve">“ByLock iletişim sisteminde bağlantı tarihinin, bağlantıyı yapan IP adresinin, hangi tarihler arasında kaç kez bağlantı yapıldığının, haberleşmelerin kimlerle gerçekleştirildiğinin ve içeriğinin tespiti mümkündür. Bu kapsamda, bağlantı tarihi ve bağlantıyı yapan IP adresi ile hangi tarihler arasında kaç kez bağlantı yapıldığının belirlenmesi durumunda, </w:t>
      </w:r>
      <w:r w:rsidRPr="00617081">
        <w:rPr>
          <w:rFonts w:ascii="Palatino Linotype" w:hAnsi="Palatino Linotype"/>
          <w:b/>
          <w:bCs/>
          <w:i/>
          <w:iCs/>
          <w:sz w:val="22"/>
          <w:szCs w:val="22"/>
          <w:lang w:val="tr-TR"/>
        </w:rPr>
        <w:t>somut olayın koşullarına göre kişinin bu özel iletişim sisteminin bir parçası olduğu kabul edilecek, ayrıca bu ağa dahil olan kişilerin ağ içinde başka kişi ya da kişilerle yaptıkları görüşme içeriklerinin olması da aranmayacaktır. Haberleşmelerin kimlerle yapıldığının ve içeriklerinin tespiti ise, kişinin terör örgütü içindeki hiyerarşik konumunun (örgüt yöneticisi/örgüt üyesi) belirlenmesinde yol gösterici olacaktır.</w:t>
      </w:r>
    </w:p>
    <w:p w14:paraId="4F9A3FB4"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i/>
          <w:iCs/>
          <w:sz w:val="22"/>
          <w:szCs w:val="22"/>
          <w:lang w:val="tr-TR"/>
        </w:rPr>
        <w:t>ByLock iletişim sisteminin FETÖ/PDY silahlı terör örgütü mensuplarının kullanmaları amacıyla oluşturulan ve münhasıran bu terör örgütünün bir kısım mensupları tarafından kullanılan bir ağ olması nedeniyle; örgüt talimatı ile bu ağa dahil olunduğunun ve gizliliği sağlamak için haberleşme amacıyla kullanıldığının, her türlü şüpheden uzak, kesin kanaate ulaştıracak teknik verilerle tespiti, kişinin örgütle bağlantısını gösteren bir delil olacaktır.”</w:t>
      </w:r>
      <w:r w:rsidRPr="00617081">
        <w:rPr>
          <w:rStyle w:val="DipnotBavurusu"/>
          <w:rFonts w:ascii="Palatino Linotype" w:hAnsi="Palatino Linotype"/>
          <w:sz w:val="22"/>
          <w:szCs w:val="22"/>
          <w:lang w:val="tr-TR"/>
        </w:rPr>
        <w:footnoteReference w:id="7"/>
      </w:r>
      <w:r w:rsidRPr="00617081">
        <w:rPr>
          <w:rFonts w:ascii="Palatino Linotype" w:hAnsi="Palatino Linotype"/>
          <w:sz w:val="22"/>
          <w:szCs w:val="22"/>
          <w:lang w:val="tr-TR"/>
        </w:rPr>
        <w:t xml:space="preserve"> </w:t>
      </w:r>
    </w:p>
    <w:p w14:paraId="6B8AC1D7" w14:textId="77777777" w:rsidR="00E52E47" w:rsidRPr="00617081" w:rsidRDefault="00E52E47" w:rsidP="004D60B0">
      <w:pPr>
        <w:pStyle w:val="JuPara"/>
        <w:tabs>
          <w:tab w:val="left" w:pos="709"/>
        </w:tabs>
        <w:spacing w:after="160" w:line="271" w:lineRule="auto"/>
        <w:ind w:firstLine="709"/>
        <w:rPr>
          <w:rFonts w:ascii="Palatino Linotype" w:hAnsi="Palatino Linotype"/>
          <w:b/>
          <w:bCs/>
          <w:sz w:val="22"/>
          <w:szCs w:val="22"/>
          <w:lang w:val="tr-TR"/>
        </w:rPr>
      </w:pPr>
      <w:r w:rsidRPr="00617081">
        <w:rPr>
          <w:rFonts w:ascii="Palatino Linotype" w:hAnsi="Palatino Linotype"/>
          <w:sz w:val="22"/>
          <w:szCs w:val="22"/>
          <w:lang w:val="tr-TR"/>
        </w:rPr>
        <w:lastRenderedPageBreak/>
        <w:t xml:space="preserve">Aslında bu kararda yer verilen hususlar, tam da AİHM’in 7. maddeden verdiği ihlal kararına karşılık gelmektedir. Zira karar gereğince, </w:t>
      </w:r>
      <w:r w:rsidRPr="00617081">
        <w:rPr>
          <w:rFonts w:ascii="Palatino Linotype" w:hAnsi="Palatino Linotype"/>
          <w:b/>
          <w:bCs/>
          <w:sz w:val="22"/>
          <w:szCs w:val="22"/>
          <w:lang w:val="tr-TR"/>
        </w:rPr>
        <w:t xml:space="preserve">suçun unsurlarının varlığı hiç araştırılmadan Bylock kullandığı iddia ve Bylock sunucusuna bağlantı yaptığı kabul edilen herkes otomatik olarak örgüt üyesi kabul edilecektir. </w:t>
      </w:r>
    </w:p>
    <w:p w14:paraId="453B530F"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Bu ifadelerden, </w:t>
      </w:r>
      <w:r w:rsidRPr="00617081">
        <w:rPr>
          <w:rFonts w:ascii="Palatino Linotype" w:hAnsi="Palatino Linotype"/>
          <w:i/>
          <w:iCs/>
          <w:sz w:val="22"/>
          <w:szCs w:val="22"/>
          <w:lang w:val="tr-TR"/>
        </w:rPr>
        <w:t>“örgüt!”</w:t>
      </w:r>
      <w:r w:rsidRPr="00617081">
        <w:rPr>
          <w:rFonts w:ascii="Palatino Linotype" w:hAnsi="Palatino Linotype"/>
          <w:sz w:val="22"/>
          <w:szCs w:val="22"/>
          <w:lang w:val="tr-TR"/>
        </w:rPr>
        <w:t xml:space="preserve"> talimatıyla ağa dahil olunduğunun örneğin bir tanık beyanıyla desteklenmesi halinde başka hiçbir hususa bakılmadan cezalandırma yapılabileceği şeklinde bir anlam çıkarılmamalıdır. Zira Ceza Genel Kurulu kararında da belirtildiği şekliyle</w:t>
      </w:r>
      <w:r w:rsidRPr="00617081">
        <w:rPr>
          <w:rFonts w:ascii="Palatino Linotype" w:hAnsi="Palatino Linotype"/>
          <w:i/>
          <w:iCs/>
          <w:sz w:val="22"/>
          <w:szCs w:val="22"/>
          <w:lang w:val="tr-TR"/>
        </w:rPr>
        <w:t xml:space="preserve"> </w:t>
      </w:r>
      <w:r w:rsidRPr="00617081">
        <w:rPr>
          <w:rFonts w:ascii="Palatino Linotype" w:hAnsi="Palatino Linotype"/>
          <w:sz w:val="22"/>
          <w:szCs w:val="22"/>
          <w:lang w:val="tr-TR"/>
        </w:rPr>
        <w:t>bu hususun</w:t>
      </w:r>
      <w:r w:rsidRPr="00617081">
        <w:rPr>
          <w:rFonts w:ascii="Palatino Linotype" w:hAnsi="Palatino Linotype"/>
          <w:i/>
          <w:iCs/>
          <w:sz w:val="22"/>
          <w:szCs w:val="22"/>
          <w:lang w:val="tr-TR"/>
        </w:rPr>
        <w:t xml:space="preserve"> </w:t>
      </w:r>
      <w:r w:rsidRPr="00617081">
        <w:rPr>
          <w:rFonts w:ascii="Palatino Linotype" w:hAnsi="Palatino Linotype"/>
          <w:b/>
          <w:bCs/>
          <w:i/>
          <w:iCs/>
          <w:sz w:val="22"/>
          <w:szCs w:val="22"/>
          <w:lang w:val="tr-TR"/>
        </w:rPr>
        <w:t>“her türlü şüpheden uzak ve kesin kanaate ulaştıracak teknik verilerle tespiti”</w:t>
      </w:r>
      <w:r w:rsidRPr="00617081">
        <w:rPr>
          <w:rFonts w:ascii="Palatino Linotype" w:hAnsi="Palatino Linotype"/>
          <w:i/>
          <w:iCs/>
          <w:sz w:val="22"/>
          <w:szCs w:val="22"/>
          <w:lang w:val="tr-TR"/>
        </w:rPr>
        <w:t xml:space="preserve"> </w:t>
      </w:r>
      <w:r w:rsidRPr="00617081">
        <w:rPr>
          <w:rFonts w:ascii="Palatino Linotype" w:hAnsi="Palatino Linotype"/>
          <w:sz w:val="22"/>
          <w:szCs w:val="22"/>
          <w:lang w:val="tr-TR"/>
        </w:rPr>
        <w:t>gerekmektedir.</w:t>
      </w:r>
      <w:r w:rsidRPr="00617081">
        <w:rPr>
          <w:rFonts w:ascii="Palatino Linotype" w:hAnsi="Palatino Linotype"/>
          <w:i/>
          <w:iCs/>
          <w:sz w:val="22"/>
          <w:szCs w:val="22"/>
          <w:lang w:val="tr-TR"/>
        </w:rPr>
        <w:t xml:space="preserve"> </w:t>
      </w:r>
      <w:r w:rsidRPr="00617081">
        <w:rPr>
          <w:rFonts w:ascii="Palatino Linotype" w:hAnsi="Palatino Linotype"/>
          <w:sz w:val="22"/>
          <w:szCs w:val="22"/>
          <w:lang w:val="tr-TR"/>
        </w:rPr>
        <w:t xml:space="preserve">Ancak, yukarıda yer verildiği üzere, Bylock’la ilgili çok sayıda şüphe sebebi vardır ve AİHM bunları teker teker sıralamıştır. Ayrıca, teknik olarak da bu hususların tespiti mümkün değildir. Böyle bir tespit için orijinal ham veriler üzerinde hakim kararıyla inceleme yapılması gerekir ki, </w:t>
      </w:r>
      <w:r w:rsidRPr="00617081">
        <w:rPr>
          <w:rFonts w:ascii="Palatino Linotype" w:hAnsi="Palatino Linotype"/>
          <w:b/>
          <w:bCs/>
          <w:sz w:val="22"/>
          <w:szCs w:val="22"/>
          <w:lang w:val="tr-TR"/>
        </w:rPr>
        <w:t>adli kolluk yetkisi olmayan MİT yaptığı çalışmayla artık bunun da yapılabilmesini imkansız hale getirmiştir.</w:t>
      </w:r>
      <w:r w:rsidRPr="00617081">
        <w:rPr>
          <w:rFonts w:ascii="Palatino Linotype" w:hAnsi="Palatino Linotype"/>
          <w:sz w:val="22"/>
          <w:szCs w:val="22"/>
          <w:lang w:val="tr-TR"/>
        </w:rPr>
        <w:t xml:space="preserve"> </w:t>
      </w:r>
    </w:p>
    <w:p w14:paraId="0FEE4D54"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Bu şüphe sebepleri giderilmeden bir tanığın verdiği beyanın hukuken hiçbir değeri olmayacaktır ve Bylock açısından şimdiki durum tam da budur. </w:t>
      </w:r>
      <w:r w:rsidRPr="00617081">
        <w:rPr>
          <w:rFonts w:ascii="Palatino Linotype" w:hAnsi="Palatino Linotype"/>
          <w:b/>
          <w:bCs/>
          <w:sz w:val="22"/>
          <w:szCs w:val="22"/>
          <w:lang w:val="tr-TR"/>
        </w:rPr>
        <w:t xml:space="preserve">Ankara C. Başsavcılığının aldırıp tüm mahkemelerden sakladığı ve verilerin yapısının bozuk olduğuna ilişkin bilirkişi raporu gibi bir raporun alınmasıyla bile Hükümetin ve yargı mercilerinin tüm argümanları çökecektir. </w:t>
      </w:r>
      <w:r w:rsidRPr="00617081">
        <w:rPr>
          <w:rFonts w:ascii="Palatino Linotype" w:hAnsi="Palatino Linotype"/>
          <w:sz w:val="22"/>
          <w:szCs w:val="22"/>
          <w:lang w:val="tr-TR"/>
        </w:rPr>
        <w:t xml:space="preserve">Bu nedenle, hiçbir şekilde böyle bir incelemeye yanaşmamaktadırlar ve HTS kayıtları ve dosyadaki başka hususlarla ilgili bilirkişi raporu almakta ve ham veriler üzerinde yapılması talep edilen incelemeyi görmezden gelmektedirler. </w:t>
      </w:r>
    </w:p>
    <w:p w14:paraId="4419520D" w14:textId="05EC89C8" w:rsidR="00E52E47" w:rsidRPr="00617081" w:rsidRDefault="00E52E47" w:rsidP="0065557D">
      <w:pPr>
        <w:pStyle w:val="Balk3"/>
        <w:rPr>
          <w:rFonts w:ascii="Palatino Linotype" w:hAnsi="Palatino Linotype"/>
        </w:rPr>
      </w:pPr>
      <w:r w:rsidRPr="00617081">
        <w:rPr>
          <w:rFonts w:ascii="Palatino Linotype" w:hAnsi="Palatino Linotype"/>
        </w:rPr>
        <w:t xml:space="preserve"> </w:t>
      </w:r>
      <w:bookmarkStart w:id="38" w:name="_Toc151927119"/>
      <w:r w:rsidRPr="00617081">
        <w:rPr>
          <w:rFonts w:ascii="Palatino Linotype" w:hAnsi="Palatino Linotype"/>
        </w:rPr>
        <w:t>Münhasırlık ve Örgütsel Kullanım Argümanına İlişkin Bariz Boşluklar Vardır</w:t>
      </w:r>
      <w:bookmarkEnd w:id="38"/>
    </w:p>
    <w:p w14:paraId="1A6DA1F4"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 yukarıda yer verilen hususların </w:t>
      </w:r>
      <w:r w:rsidRPr="00617081">
        <w:rPr>
          <w:rFonts w:ascii="Palatino Linotype" w:hAnsi="Palatino Linotype"/>
          <w:i/>
          <w:iCs/>
          <w:color w:val="000000" w:themeColor="text1"/>
          <w:sz w:val="22"/>
          <w:szCs w:val="22"/>
          <w:lang w:val="tr-TR"/>
        </w:rPr>
        <w:t>“münhasırlık”</w:t>
      </w:r>
      <w:r w:rsidRPr="00617081">
        <w:rPr>
          <w:rFonts w:ascii="Palatino Linotype" w:hAnsi="Palatino Linotype"/>
          <w:color w:val="000000" w:themeColor="text1"/>
          <w:sz w:val="22"/>
          <w:szCs w:val="22"/>
          <w:lang w:val="tr-TR"/>
        </w:rPr>
        <w:t xml:space="preserve"> ve </w:t>
      </w:r>
      <w:r w:rsidRPr="00617081">
        <w:rPr>
          <w:rFonts w:ascii="Palatino Linotype" w:hAnsi="Palatino Linotype"/>
          <w:i/>
          <w:iCs/>
          <w:color w:val="000000" w:themeColor="text1"/>
          <w:sz w:val="22"/>
          <w:szCs w:val="22"/>
          <w:lang w:val="tr-TR"/>
        </w:rPr>
        <w:t>“örgütsel kullanım”</w:t>
      </w:r>
      <w:r w:rsidRPr="00617081">
        <w:rPr>
          <w:rFonts w:ascii="Palatino Linotype" w:hAnsi="Palatino Linotype"/>
          <w:color w:val="000000" w:themeColor="text1"/>
          <w:sz w:val="22"/>
          <w:szCs w:val="22"/>
          <w:lang w:val="tr-TR"/>
        </w:rPr>
        <w:t xml:space="preserve"> argümanında bazı </w:t>
      </w:r>
      <w:r w:rsidRPr="00617081">
        <w:rPr>
          <w:rFonts w:ascii="Palatino Linotype" w:hAnsi="Palatino Linotype"/>
          <w:b/>
          <w:bCs/>
          <w:color w:val="000000" w:themeColor="text1"/>
          <w:sz w:val="22"/>
          <w:szCs w:val="22"/>
          <w:lang w:val="tr-TR"/>
        </w:rPr>
        <w:t>bariz boşluklar bulunduğuna işaret ettiğini</w:t>
      </w:r>
      <w:r w:rsidRPr="00617081">
        <w:rPr>
          <w:rFonts w:ascii="Palatino Linotype" w:hAnsi="Palatino Linotype"/>
          <w:color w:val="000000" w:themeColor="text1"/>
          <w:sz w:val="22"/>
          <w:szCs w:val="22"/>
          <w:lang w:val="tr-TR"/>
        </w:rPr>
        <w:t xml:space="preserve"> ve bu durumun, TCK’nın 314/2. maddesi kapsamında Bylock’un Gülen Hareketine mensup olmayan kişilerce kullanılmadığının ve kullanılamayacağının nasıl tespit edildiği hususunda ulusal mahkemelerin daha fazla açıklama yapmasını gerektiğini belirtmiştir </w:t>
      </w:r>
      <w:r w:rsidRPr="00617081">
        <w:rPr>
          <w:rFonts w:ascii="Palatino Linotype" w:hAnsi="Palatino Linotype"/>
          <w:sz w:val="22"/>
          <w:szCs w:val="22"/>
          <w:lang w:val="tr-TR"/>
        </w:rPr>
        <w:t>(§ 340).</w:t>
      </w:r>
      <w:r w:rsidRPr="00617081">
        <w:rPr>
          <w:rFonts w:ascii="Palatino Linotype" w:hAnsi="Palatino Linotype"/>
          <w:color w:val="000000" w:themeColor="text1"/>
          <w:sz w:val="22"/>
          <w:szCs w:val="22"/>
          <w:lang w:val="tr-TR"/>
        </w:rPr>
        <w:t xml:space="preserve"> </w:t>
      </w:r>
    </w:p>
    <w:p w14:paraId="7AEAD053" w14:textId="77777777" w:rsidR="00E52E47" w:rsidRPr="00617081" w:rsidRDefault="00E52E47" w:rsidP="004D60B0">
      <w:pPr>
        <w:pStyle w:val="JuPara"/>
        <w:tabs>
          <w:tab w:val="left" w:pos="709"/>
        </w:tabs>
        <w:spacing w:after="160" w:line="271" w:lineRule="auto"/>
        <w:ind w:firstLine="709"/>
        <w:rPr>
          <w:rFonts w:ascii="Palatino Linotype" w:hAnsi="Palatino Linotype"/>
          <w:b/>
          <w:bCs/>
          <w:color w:val="000000" w:themeColor="text1"/>
          <w:sz w:val="22"/>
          <w:szCs w:val="22"/>
          <w:lang w:val="tr-TR"/>
        </w:rPr>
      </w:pPr>
      <w:r w:rsidRPr="00617081">
        <w:rPr>
          <w:rFonts w:ascii="Palatino Linotype" w:hAnsi="Palatino Linotype"/>
          <w:color w:val="000000" w:themeColor="text1"/>
          <w:sz w:val="22"/>
          <w:szCs w:val="22"/>
          <w:lang w:val="tr-TR"/>
        </w:rPr>
        <w:t>Ancak, mahkemelerin ne teknik olarak ne de hukuken bunun aksini ispat etmeleri mümkün değildir. Yargıtay kararına da konu olmuş</w:t>
      </w:r>
      <w:r w:rsidRPr="00617081">
        <w:rPr>
          <w:rStyle w:val="DipnotBavurusu"/>
          <w:rFonts w:ascii="Palatino Linotype" w:hAnsi="Palatino Linotype"/>
          <w:sz w:val="22"/>
          <w:szCs w:val="22"/>
          <w:lang w:val="tr-TR"/>
        </w:rPr>
        <w:footnoteReference w:id="8"/>
      </w:r>
      <w:r w:rsidRPr="00617081">
        <w:rPr>
          <w:rFonts w:ascii="Palatino Linotype" w:hAnsi="Palatino Linotype"/>
          <w:color w:val="000000" w:themeColor="text1"/>
          <w:sz w:val="22"/>
          <w:szCs w:val="22"/>
          <w:lang w:val="tr-TR"/>
        </w:rPr>
        <w:t xml:space="preserve"> bir çok olayda da görüleceği üzere, iki yıl App Store ve Google Play uygulama mağazalarından indirilebilen bir uygulama ne münhasırdır, ne de örgütsel bir kullanıma gerekçe yapılabilir. </w:t>
      </w:r>
      <w:r w:rsidRPr="00617081">
        <w:rPr>
          <w:rFonts w:ascii="Palatino Linotype" w:hAnsi="Palatino Linotype"/>
          <w:b/>
          <w:bCs/>
          <w:color w:val="000000" w:themeColor="text1"/>
          <w:sz w:val="22"/>
          <w:szCs w:val="22"/>
          <w:lang w:val="tr-TR"/>
        </w:rPr>
        <w:t xml:space="preserve">Böyle bir kabul, ancak mutlak </w:t>
      </w:r>
      <w:r w:rsidRPr="00617081">
        <w:rPr>
          <w:rFonts w:ascii="Palatino Linotype" w:hAnsi="Palatino Linotype"/>
          <w:b/>
          <w:bCs/>
          <w:color w:val="000000" w:themeColor="text1"/>
          <w:sz w:val="22"/>
          <w:szCs w:val="22"/>
          <w:lang w:val="tr-TR"/>
        </w:rPr>
        <w:lastRenderedPageBreak/>
        <w:t xml:space="preserve">doğru kabul edilip sorgulamadan verilecek otomatik cezalandırma halinde söz konusu olabilir ki, yedi yıldır ülkede olan budur.  </w:t>
      </w:r>
    </w:p>
    <w:p w14:paraId="1D46F352"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AİHM, tam da bu nokta böyle bir kabulün sebebini ve mahkemelerin neden bu konuyu incelemediklerini çok güzel özetlemiştir. AİHM’e göre, Yargıtayın emsal kararları da dahil olmak üzere, yerel mahkemeler, Bylock uygulamasının münhasır ve örgütsel olduğu iddiasına ilişkin olarak öncelikle </w:t>
      </w:r>
      <w:r w:rsidRPr="00617081">
        <w:rPr>
          <w:rFonts w:ascii="Palatino Linotype" w:hAnsi="Palatino Linotype"/>
          <w:b/>
          <w:bCs/>
          <w:color w:val="000000" w:themeColor="text1"/>
          <w:sz w:val="22"/>
          <w:szCs w:val="22"/>
          <w:lang w:val="tr-TR"/>
        </w:rPr>
        <w:t>MİT’in yargı dışı bir bağlamda, yani istihbari nitelikli, tespitlerini kabul etmişler ve bu tespitleri ayrıntılı bir şekilde incelememişlerdir</w:t>
      </w:r>
      <w:r w:rsidRPr="00617081">
        <w:rPr>
          <w:rFonts w:ascii="Palatino Linotype" w:hAnsi="Palatino Linotype"/>
          <w:color w:val="000000" w:themeColor="text1"/>
          <w:sz w:val="22"/>
          <w:szCs w:val="22"/>
          <w:lang w:val="tr-TR"/>
        </w:rPr>
        <w:t xml:space="preserve"> </w:t>
      </w:r>
      <w:r w:rsidRPr="00617081">
        <w:rPr>
          <w:rFonts w:ascii="Palatino Linotype" w:hAnsi="Palatino Linotype"/>
          <w:sz w:val="22"/>
          <w:szCs w:val="22"/>
          <w:lang w:val="tr-TR"/>
        </w:rPr>
        <w:t>(§ 340).</w:t>
      </w:r>
      <w:r w:rsidRPr="00617081">
        <w:rPr>
          <w:rFonts w:ascii="Palatino Linotype" w:hAnsi="Palatino Linotype"/>
          <w:color w:val="000000" w:themeColor="text1"/>
          <w:sz w:val="22"/>
          <w:szCs w:val="22"/>
          <w:lang w:val="tr-TR"/>
        </w:rPr>
        <w:t xml:space="preserve"> Bu ifadelerle, bir kez daha Bylock’un bir MİT projesi olduğu ve yargı mercilerince araştırılıp ortaya konulması gereken bir hususun, bir kez daha MİT tarafından yapıldığı ve yargı mercilerinin adeta MİT’in elinde oyuncak haline geldikleri ortaya konulmuştur. </w:t>
      </w:r>
    </w:p>
    <w:p w14:paraId="45F14B4F" w14:textId="77777777" w:rsidR="00E52E47" w:rsidRPr="00617081" w:rsidRDefault="00E52E47" w:rsidP="004D60B0">
      <w:pPr>
        <w:pStyle w:val="Balk2"/>
        <w:rPr>
          <w:rFonts w:ascii="Palatino Linotype" w:hAnsi="Palatino Linotype"/>
        </w:rPr>
      </w:pPr>
      <w:bookmarkStart w:id="39" w:name="_Toc151927120"/>
      <w:r w:rsidRPr="00617081">
        <w:rPr>
          <w:rFonts w:ascii="Palatino Linotype" w:hAnsi="Palatino Linotype"/>
        </w:rPr>
        <w:t>6. Savunma Hakkının Etkin Kullanımı ve Yargılamanın Adil Olması İçin Gerekli Önlemlerin Varlığına İlişkin Değerlendirme</w:t>
      </w:r>
      <w:bookmarkEnd w:id="39"/>
    </w:p>
    <w:p w14:paraId="54E2EA38" w14:textId="3A4DA7B2" w:rsidR="00E52E47" w:rsidRPr="00617081" w:rsidRDefault="00B4346D" w:rsidP="0065557D">
      <w:pPr>
        <w:pStyle w:val="Balk3"/>
        <w:numPr>
          <w:ilvl w:val="0"/>
          <w:numId w:val="43"/>
        </w:numPr>
        <w:rPr>
          <w:rFonts w:ascii="Palatino Linotype" w:hAnsi="Palatino Linotype"/>
        </w:rPr>
      </w:pPr>
      <w:r w:rsidRPr="00617081">
        <w:rPr>
          <w:rFonts w:ascii="Palatino Linotype" w:hAnsi="Palatino Linotype"/>
        </w:rPr>
        <w:t xml:space="preserve"> </w:t>
      </w:r>
      <w:bookmarkStart w:id="40" w:name="_Toc151927121"/>
      <w:r w:rsidR="00E52E47" w:rsidRPr="00617081">
        <w:rPr>
          <w:rFonts w:ascii="Palatino Linotype" w:hAnsi="Palatino Linotype"/>
        </w:rPr>
        <w:t>Başvuran Savunma Hakkını Etkin Bir Şekilde Kullanamamıştır</w:t>
      </w:r>
      <w:bookmarkEnd w:id="40"/>
    </w:p>
    <w:p w14:paraId="20403BFD" w14:textId="77777777" w:rsidR="00E52E47" w:rsidRPr="00617081" w:rsidRDefault="00E52E47" w:rsidP="004D60B0">
      <w:pPr>
        <w:pStyle w:val="JuPara"/>
        <w:tabs>
          <w:tab w:val="left" w:pos="709"/>
        </w:tabs>
        <w:spacing w:after="160" w:line="271" w:lineRule="auto"/>
        <w:ind w:firstLine="709"/>
        <w:rPr>
          <w:rFonts w:ascii="Palatino Linotype" w:hAnsi="Palatino Linotype"/>
          <w:color w:val="000000" w:themeColor="text1"/>
          <w:sz w:val="22"/>
          <w:szCs w:val="22"/>
          <w:lang w:val="tr-TR"/>
        </w:rPr>
      </w:pPr>
      <w:r w:rsidRPr="00617081">
        <w:rPr>
          <w:rFonts w:ascii="Palatino Linotype" w:hAnsi="Palatino Linotype"/>
          <w:color w:val="000000" w:themeColor="text1"/>
          <w:sz w:val="22"/>
          <w:szCs w:val="22"/>
          <w:lang w:val="tr-TR"/>
        </w:rPr>
        <w:t xml:space="preserve">Yukarıda belirtilen hususlar ışığında AİHM, başvuranın </w:t>
      </w:r>
      <w:r w:rsidRPr="00617081">
        <w:rPr>
          <w:rFonts w:ascii="Palatino Linotype" w:hAnsi="Palatino Linotype"/>
          <w:b/>
          <w:bCs/>
          <w:color w:val="000000" w:themeColor="text1"/>
          <w:sz w:val="22"/>
          <w:szCs w:val="22"/>
          <w:lang w:val="tr-TR"/>
        </w:rPr>
        <w:t>aleyhindeki delillere itiraz etmeye ve savunmasını etkili ve iddia makamıyla eşit şartlarda yapmaya ilişkin gerçek bir imkana sahip olması adına yeterli güvencelerinin bulunmadığını belirtmiştir.</w:t>
      </w:r>
    </w:p>
    <w:p w14:paraId="5B4A23FD"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 xml:space="preserve">Ayrıca, mahkemelerin başvuranın özel ve önemli taleplerine ve itirazlarına cevap vermemeleri, savunma argümanlarına karşı kayıtsız kaldıkları ve başvuranın gerçekten </w:t>
      </w:r>
      <w:r w:rsidRPr="00617081">
        <w:rPr>
          <w:rFonts w:ascii="Palatino Linotype" w:hAnsi="Palatino Linotype"/>
          <w:b/>
          <w:bCs/>
          <w:i/>
          <w:iCs/>
          <w:color w:val="000000" w:themeColor="text1"/>
          <w:sz w:val="22"/>
          <w:szCs w:val="22"/>
          <w:lang w:val="tr-TR"/>
        </w:rPr>
        <w:t>“dinlenmediği”</w:t>
      </w:r>
      <w:r w:rsidRPr="00617081">
        <w:rPr>
          <w:rFonts w:ascii="Palatino Linotype" w:hAnsi="Palatino Linotype"/>
          <w:color w:val="000000" w:themeColor="text1"/>
          <w:sz w:val="22"/>
          <w:szCs w:val="22"/>
          <w:lang w:val="tr-TR"/>
        </w:rPr>
        <w:t xml:space="preserve"> konusunda meşru bir şüphe uyandırmıştır. Yine, ulusal mahkemelerin davanın esasına ilişkin önemli konularda sessiz kalmaları; başvuranın, mahkemelerin tespitlerine ve ceza yargılamasının </w:t>
      </w:r>
      <w:r w:rsidRPr="00617081">
        <w:rPr>
          <w:rFonts w:ascii="Palatino Linotype" w:hAnsi="Palatino Linotype"/>
          <w:b/>
          <w:bCs/>
          <w:i/>
          <w:iCs/>
          <w:color w:val="000000" w:themeColor="text1"/>
          <w:sz w:val="22"/>
          <w:szCs w:val="22"/>
          <w:lang w:val="tr-TR"/>
        </w:rPr>
        <w:t>"sadece şeklen"</w:t>
      </w:r>
      <w:r w:rsidRPr="00617081">
        <w:rPr>
          <w:rFonts w:ascii="Palatino Linotype" w:hAnsi="Palatino Linotype"/>
          <w:color w:val="000000" w:themeColor="text1"/>
          <w:sz w:val="22"/>
          <w:szCs w:val="22"/>
          <w:lang w:val="tr-TR"/>
        </w:rPr>
        <w:t xml:space="preserve"> yürütüldüğüne ilişkin haklı endişeler duymasına neden olmuştur </w:t>
      </w:r>
      <w:r w:rsidRPr="00617081">
        <w:rPr>
          <w:rFonts w:ascii="Palatino Linotype" w:hAnsi="Palatino Linotype"/>
          <w:sz w:val="22"/>
          <w:szCs w:val="22"/>
          <w:lang w:val="tr-TR"/>
        </w:rPr>
        <w:t>(§ 341).</w:t>
      </w:r>
    </w:p>
    <w:p w14:paraId="46537AE6"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sz w:val="22"/>
          <w:szCs w:val="22"/>
          <w:lang w:val="tr-TR"/>
        </w:rPr>
        <w:t xml:space="preserve">AİHM, bu ifadelerle güncel yargılamaların adeta resmini çekmiş ve yargıyla ilgili acı tabloyu ortaya koymuştur. </w:t>
      </w:r>
      <w:r w:rsidRPr="00617081">
        <w:rPr>
          <w:rFonts w:ascii="Palatino Linotype" w:hAnsi="Palatino Linotype"/>
          <w:b/>
          <w:bCs/>
          <w:sz w:val="22"/>
          <w:szCs w:val="22"/>
          <w:lang w:val="tr-TR"/>
        </w:rPr>
        <w:t>Zira güncel yargılamalarda yaşanan durum tam da budur.</w:t>
      </w:r>
      <w:r w:rsidRPr="00617081">
        <w:rPr>
          <w:rFonts w:ascii="Palatino Linotype" w:hAnsi="Palatino Linotype"/>
          <w:sz w:val="22"/>
          <w:szCs w:val="22"/>
          <w:lang w:val="tr-TR"/>
        </w:rPr>
        <w:t xml:space="preserve"> Mahkemeler, savunma tarafının dile getirdiği hususları hiç araştırmamakta, otomatik cezalandırma gerekçesi yaptıkları hususların varlığı halinde sadece şeklen bir yargılama yaparak ve </w:t>
      </w:r>
      <w:r w:rsidRPr="00617081">
        <w:rPr>
          <w:rFonts w:ascii="Palatino Linotype" w:hAnsi="Palatino Linotype"/>
          <w:b/>
          <w:bCs/>
          <w:sz w:val="22"/>
          <w:szCs w:val="22"/>
          <w:lang w:val="tr-TR"/>
        </w:rPr>
        <w:t>daha vahimi varsayımlarla karar vermektedirler.</w:t>
      </w:r>
      <w:r w:rsidRPr="00617081">
        <w:rPr>
          <w:rFonts w:ascii="Palatino Linotype" w:hAnsi="Palatino Linotype"/>
          <w:sz w:val="22"/>
          <w:szCs w:val="22"/>
          <w:lang w:val="tr-TR"/>
        </w:rPr>
        <w:t xml:space="preserve"> Oysa ki, adaletin adil bir şekilde yerine getirilmesi hakkı, demokratik bir toplumda, amaca uygunluk uğruna feda edilemeyecek kadar önemli bir yere sahiptir ve elde edilen deliller, elektronik olsun ya da olmasın, ulusal mahkemeler tarafından adil yargılamanın temel ilkelerini zedeleyecek şekilde kullanılamaz (§ 344).</w:t>
      </w:r>
    </w:p>
    <w:p w14:paraId="0B9EA92B" w14:textId="09B62FAB" w:rsidR="00E52E47" w:rsidRPr="00617081" w:rsidRDefault="00B4346D" w:rsidP="0065557D">
      <w:pPr>
        <w:pStyle w:val="Balk3"/>
        <w:rPr>
          <w:rFonts w:ascii="Palatino Linotype" w:hAnsi="Palatino Linotype"/>
        </w:rPr>
      </w:pPr>
      <w:r w:rsidRPr="00617081">
        <w:rPr>
          <w:rFonts w:ascii="Palatino Linotype" w:hAnsi="Palatino Linotype"/>
        </w:rPr>
        <w:t xml:space="preserve"> </w:t>
      </w:r>
      <w:bookmarkStart w:id="41" w:name="_Toc151927122"/>
      <w:r w:rsidR="00E52E47" w:rsidRPr="00617081">
        <w:rPr>
          <w:rFonts w:ascii="Palatino Linotype" w:hAnsi="Palatino Linotype"/>
        </w:rPr>
        <w:t>Mahkemeler Yargılamanın Adil Olması İçin Gerekli Önlemleri Almamışlardır</w:t>
      </w:r>
      <w:bookmarkEnd w:id="41"/>
      <w:r w:rsidR="00E52E47" w:rsidRPr="00617081">
        <w:rPr>
          <w:rFonts w:ascii="Palatino Linotype" w:hAnsi="Palatino Linotype"/>
        </w:rPr>
        <w:t xml:space="preserve"> </w:t>
      </w:r>
    </w:p>
    <w:p w14:paraId="60CC8167" w14:textId="77777777" w:rsidR="00E52E47" w:rsidRPr="00617081" w:rsidRDefault="00E52E47" w:rsidP="004D60B0">
      <w:pPr>
        <w:pStyle w:val="JuPara"/>
        <w:tabs>
          <w:tab w:val="left" w:pos="709"/>
        </w:tabs>
        <w:spacing w:after="160" w:line="271" w:lineRule="auto"/>
        <w:ind w:firstLine="709"/>
        <w:rPr>
          <w:rFonts w:ascii="Palatino Linotype" w:hAnsi="Palatino Linotype"/>
          <w:b/>
          <w:bCs/>
          <w:color w:val="000000" w:themeColor="text1"/>
          <w:sz w:val="22"/>
          <w:szCs w:val="22"/>
          <w:lang w:val="tr-TR"/>
        </w:rPr>
      </w:pPr>
      <w:r w:rsidRPr="00617081">
        <w:rPr>
          <w:rFonts w:ascii="Palatino Linotype" w:hAnsi="Palatino Linotype"/>
          <w:color w:val="000000" w:themeColor="text1"/>
          <w:sz w:val="22"/>
          <w:szCs w:val="22"/>
          <w:lang w:val="tr-TR"/>
        </w:rPr>
        <w:t xml:space="preserve">AİHM’e göre söz konusu ceza yargılamalarının özel niteliklerine rağmen, hem yürütüldükleri bağlam hem de diğer binlerce kişiyle ilgili yüksek miktarda şifrelenmiş elektronik veri içeren ana delillerin niteliği ve kapsamı birlikte değerlendirildiğinde; </w:t>
      </w:r>
      <w:r w:rsidRPr="00617081">
        <w:rPr>
          <w:rFonts w:ascii="Palatino Linotype" w:hAnsi="Palatino Linotype"/>
          <w:b/>
          <w:bCs/>
          <w:color w:val="000000" w:themeColor="text1"/>
          <w:sz w:val="22"/>
          <w:szCs w:val="22"/>
          <w:lang w:val="tr-TR"/>
        </w:rPr>
        <w:t xml:space="preserve">ulusal </w:t>
      </w:r>
      <w:r w:rsidRPr="00617081">
        <w:rPr>
          <w:rFonts w:ascii="Palatino Linotype" w:hAnsi="Palatino Linotype"/>
          <w:b/>
          <w:bCs/>
          <w:color w:val="000000" w:themeColor="text1"/>
          <w:sz w:val="22"/>
          <w:szCs w:val="22"/>
          <w:lang w:val="tr-TR"/>
        </w:rPr>
        <w:lastRenderedPageBreak/>
        <w:t xml:space="preserve">mahkemelerin, başvuran hakkındaki yargılamanın adil olmasını sağlamak için yeterli önlemleri almaları gerekirken bunu yapmamışlardır. </w:t>
      </w:r>
    </w:p>
    <w:p w14:paraId="208D41C2" w14:textId="77777777" w:rsidR="00E52E47"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 xml:space="preserve">Ulusal mahkemelerin; </w:t>
      </w:r>
      <w:r w:rsidRPr="00617081">
        <w:rPr>
          <w:rFonts w:ascii="Palatino Linotype" w:hAnsi="Palatino Linotype"/>
          <w:b/>
          <w:bCs/>
          <w:color w:val="000000" w:themeColor="text1"/>
          <w:sz w:val="22"/>
          <w:szCs w:val="22"/>
          <w:lang w:val="tr-TR"/>
        </w:rPr>
        <w:t>başvuranın delillere etkili şekilde itiraz etmesini sağlamak, davanın esasına ilişkin önemli hususları ele almak ve argümanlarını gerekçelendirmek için söz konusu delillere ilişkin uygun güvenceleri sağlamamış olmaları, başvuranın 6/1. maddesi kapsamındaki usule ilişkin haklarının özüyle bağdaşmamaktadır.</w:t>
      </w:r>
      <w:r w:rsidRPr="00617081">
        <w:rPr>
          <w:rFonts w:ascii="Palatino Linotype" w:hAnsi="Palatino Linotype"/>
          <w:color w:val="000000" w:themeColor="text1"/>
          <w:sz w:val="22"/>
          <w:szCs w:val="22"/>
          <w:lang w:val="tr-TR"/>
        </w:rPr>
        <w:t xml:space="preserve"> Bu eksiklikler, demokratik bir toplumda mahkemelerin kamuoyunda uyandırması gereken güveni zedeleyici bir etki doğurmuş ve </w:t>
      </w:r>
      <w:r w:rsidRPr="00617081">
        <w:rPr>
          <w:rFonts w:ascii="Palatino Linotype" w:hAnsi="Palatino Linotype"/>
          <w:b/>
          <w:bCs/>
          <w:color w:val="000000" w:themeColor="text1"/>
          <w:sz w:val="22"/>
          <w:szCs w:val="22"/>
          <w:lang w:val="tr-TR"/>
        </w:rPr>
        <w:t>yargılamaların adil bir şekilde yürütülmesini engellemiştir</w:t>
      </w:r>
      <w:r w:rsidRPr="00617081">
        <w:rPr>
          <w:rFonts w:ascii="Palatino Linotype" w:hAnsi="Palatino Linotype"/>
          <w:color w:val="000000" w:themeColor="text1"/>
          <w:sz w:val="22"/>
          <w:szCs w:val="22"/>
          <w:lang w:val="tr-TR"/>
        </w:rPr>
        <w:t xml:space="preserve"> </w:t>
      </w:r>
      <w:r w:rsidRPr="00617081">
        <w:rPr>
          <w:rFonts w:ascii="Palatino Linotype" w:hAnsi="Palatino Linotype"/>
          <w:sz w:val="22"/>
          <w:szCs w:val="22"/>
          <w:lang w:val="tr-TR"/>
        </w:rPr>
        <w:t>(§ 345).</w:t>
      </w:r>
    </w:p>
    <w:p w14:paraId="7D621059" w14:textId="361A281C" w:rsidR="005C5B85" w:rsidRPr="00617081" w:rsidRDefault="00E52E47" w:rsidP="004D60B0">
      <w:pPr>
        <w:pStyle w:val="JuPara"/>
        <w:tabs>
          <w:tab w:val="left" w:pos="709"/>
        </w:tabs>
        <w:spacing w:after="160" w:line="271" w:lineRule="auto"/>
        <w:ind w:firstLine="709"/>
        <w:rPr>
          <w:rFonts w:ascii="Palatino Linotype" w:hAnsi="Palatino Linotype"/>
          <w:sz w:val="22"/>
          <w:szCs w:val="22"/>
          <w:lang w:val="tr-TR"/>
        </w:rPr>
      </w:pPr>
      <w:r w:rsidRPr="00617081">
        <w:rPr>
          <w:rFonts w:ascii="Palatino Linotype" w:hAnsi="Palatino Linotype"/>
          <w:color w:val="000000" w:themeColor="text1"/>
          <w:sz w:val="22"/>
          <w:szCs w:val="22"/>
          <w:lang w:val="tr-TR"/>
        </w:rPr>
        <w:t xml:space="preserve"> Mahkemeye göre, yukarıda ifade edilen hususlar, başvuran aleyhindeki ceza yargılamalarında, AİHS’in 6/1. maddesine aykırı olarak, adil yargılamanın gerekliliklerinin yerine getirilmediği sonucuna varmak için yeterlidir </w:t>
      </w:r>
      <w:r w:rsidRPr="00617081">
        <w:rPr>
          <w:rFonts w:ascii="Palatino Linotype" w:hAnsi="Palatino Linotype"/>
          <w:sz w:val="22"/>
          <w:szCs w:val="22"/>
          <w:lang w:val="tr-TR"/>
        </w:rPr>
        <w:t>(§ 346).</w:t>
      </w:r>
    </w:p>
    <w:p w14:paraId="06161E92" w14:textId="76699AB6" w:rsidR="00E52E47" w:rsidRPr="00617081" w:rsidRDefault="00B4346D" w:rsidP="004D60B0">
      <w:pPr>
        <w:pStyle w:val="Balk1"/>
        <w:rPr>
          <w:rFonts w:ascii="Palatino Linotype" w:hAnsi="Palatino Linotype"/>
        </w:rPr>
      </w:pPr>
      <w:r w:rsidRPr="00617081">
        <w:rPr>
          <w:rFonts w:ascii="Palatino Linotype" w:hAnsi="Palatino Linotype"/>
        </w:rPr>
        <w:t xml:space="preserve"> </w:t>
      </w:r>
      <w:bookmarkStart w:id="42" w:name="_Toc151927123"/>
      <w:r w:rsidR="00E52E47" w:rsidRPr="00617081">
        <w:rPr>
          <w:rFonts w:ascii="Palatino Linotype" w:hAnsi="Palatino Linotype"/>
        </w:rPr>
        <w:t>BİLİRKİŞİ RAPORUYLA DOĞRULANAN ŞÜPHE SEBEPLERİ</w:t>
      </w:r>
      <w:bookmarkEnd w:id="42"/>
    </w:p>
    <w:p w14:paraId="199F854F" w14:textId="77777777" w:rsidR="00E52E47" w:rsidRPr="00617081" w:rsidRDefault="00E52E47" w:rsidP="004D60B0">
      <w:pPr>
        <w:pStyle w:val="JuPara"/>
        <w:tabs>
          <w:tab w:val="left" w:pos="709"/>
        </w:tabs>
        <w:spacing w:after="160" w:line="271" w:lineRule="auto"/>
        <w:ind w:firstLine="709"/>
        <w:rPr>
          <w:rFonts w:ascii="Palatino Linotype" w:hAnsi="Palatino Linotype"/>
          <w:b/>
          <w:bCs/>
          <w:color w:val="000000" w:themeColor="text1"/>
          <w:sz w:val="22"/>
          <w:szCs w:val="22"/>
          <w:lang w:val="tr-TR"/>
        </w:rPr>
      </w:pPr>
      <w:r w:rsidRPr="00617081">
        <w:rPr>
          <w:rFonts w:ascii="Palatino Linotype" w:hAnsi="Palatino Linotype"/>
          <w:sz w:val="22"/>
          <w:szCs w:val="22"/>
          <w:lang w:val="tr-TR"/>
        </w:rPr>
        <w:t xml:space="preserve">Hükümet, savunmasında dikkat çeken bir hususa yer verilmiştir. Buna göre, dosyanın adli makamlara ulaşması üzerine, ham ByLock verilerini içeren sabit disk CMK’nın 134. maddesi uyarınca incelemeye tabi tutulmuş ve bu doğrultuda, görevlendirilen </w:t>
      </w:r>
      <w:r w:rsidRPr="00617081">
        <w:rPr>
          <w:rFonts w:ascii="Palatino Linotype" w:hAnsi="Palatino Linotype"/>
          <w:b/>
          <w:bCs/>
          <w:sz w:val="22"/>
          <w:szCs w:val="22"/>
          <w:lang w:val="tr-TR"/>
        </w:rPr>
        <w:t>iki bilirkişi tarafından</w:t>
      </w:r>
      <w:r w:rsidRPr="00617081">
        <w:rPr>
          <w:rFonts w:ascii="Palatino Linotype" w:hAnsi="Palatino Linotype"/>
          <w:sz w:val="22"/>
          <w:szCs w:val="22"/>
          <w:lang w:val="tr-TR"/>
        </w:rPr>
        <w:t xml:space="preserve"> verilerin iki kopyası adli bilişim standartlarına uygun olarak, bir hâkim huzurunda ve kamera kaydı yapılmak suretiyle alınmıştır (§ 292). Yani, </w:t>
      </w:r>
      <w:r w:rsidRPr="00617081">
        <w:rPr>
          <w:rFonts w:ascii="Palatino Linotype" w:hAnsi="Palatino Linotype"/>
          <w:b/>
          <w:bCs/>
          <w:sz w:val="22"/>
          <w:szCs w:val="22"/>
          <w:lang w:val="tr-TR"/>
        </w:rPr>
        <w:t>hiçbir mahkemeye gönderilmese de Bylock verileriyle ilgili aldırılmış bir bilirkişi raporu vardır. Peki bu bilirkişi raporu nerededir ve raporda hangi hususlara yer verilmiştir?</w:t>
      </w:r>
    </w:p>
    <w:p w14:paraId="17C9D901"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sz w:val="22"/>
          <w:szCs w:val="22"/>
        </w:rPr>
      </w:pPr>
      <w:r w:rsidRPr="00617081">
        <w:rPr>
          <w:rFonts w:ascii="Palatino Linotype" w:hAnsi="Palatino Linotype"/>
          <w:sz w:val="22"/>
          <w:szCs w:val="22"/>
        </w:rPr>
        <w:t>Ankara C. Başsavcılığı tarafından Bylock’un dâhil edildiği 2016/104109 numaralı soruşturma dosyasına iki kişiden oluşan bilirkişi heyeti atamış ve bilirkişilerden Bylock veri tabanına ait imaj kopyasının bulunduğu diskin incelenip dosya içeriklerinin raporlanmasını ve Bylock programıyla ilgili açık kaynaklardan araştırma yapılarak bu programın ne olduğunun, kimler tarafından kullanıldığının, halen kullanımda olup olmadığının ve kriptolu iletişim yapılmasına olanak sağlayıp sağlamadığının araştırılmasını istemiş ve Bylock verilerinin yer aldığı sabit diski 13/12/2016 tarihinde bilirkişilere teslim etmiştir. Bilirkişilerce 12/07/2017 tarihinde 39 sayfadan oluşan rapor Ankara C. Başsavcılığına teslim edilmiştir.</w:t>
      </w:r>
    </w:p>
    <w:p w14:paraId="34544D9B" w14:textId="260AE080" w:rsidR="00343CCB"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Raporda, Bylock verilerinin hukuka aykırı delil olduğuna ve yargılamaları temelden sarsacak tespit ve değerlendirmelere yer verilmiştir. Şöyle ki; </w:t>
      </w:r>
    </w:p>
    <w:p w14:paraId="73BADD60" w14:textId="0BDC7902" w:rsidR="00E52E47" w:rsidRPr="00617081" w:rsidRDefault="00041E11" w:rsidP="004D60B0">
      <w:pPr>
        <w:pStyle w:val="Balk2"/>
        <w:numPr>
          <w:ilvl w:val="0"/>
          <w:numId w:val="44"/>
        </w:numPr>
        <w:rPr>
          <w:rStyle w:val="Gl"/>
          <w:rFonts w:ascii="Palatino Linotype" w:hAnsi="Palatino Linotype"/>
          <w:b/>
          <w:bCs/>
        </w:rPr>
      </w:pPr>
      <w:bookmarkStart w:id="43" w:name="_Toc151927124"/>
      <w:r w:rsidRPr="00617081">
        <w:rPr>
          <w:rStyle w:val="Gl"/>
          <w:rFonts w:ascii="Palatino Linotype" w:hAnsi="Palatino Linotype"/>
          <w:b/>
          <w:bCs/>
        </w:rPr>
        <w:t xml:space="preserve"> </w:t>
      </w:r>
      <w:r w:rsidR="00E52E47" w:rsidRPr="00617081">
        <w:rPr>
          <w:rStyle w:val="Gl"/>
          <w:rFonts w:ascii="Palatino Linotype" w:hAnsi="Palatino Linotype"/>
          <w:b/>
          <w:bCs/>
        </w:rPr>
        <w:t>13 GB Veri Üzerinde 26/10/2016’da Değişiklik Yapılmıştır</w:t>
      </w:r>
      <w:bookmarkEnd w:id="43"/>
    </w:p>
    <w:p w14:paraId="62CB9599"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Style w:val="Gl"/>
          <w:rFonts w:ascii="Palatino Linotype" w:hAnsi="Palatino Linotype"/>
          <w:b w:val="0"/>
          <w:bCs w:val="0"/>
          <w:color w:val="222222"/>
          <w:sz w:val="22"/>
          <w:szCs w:val="22"/>
          <w:shd w:val="clear" w:color="auto" w:fill="FFFFFF"/>
        </w:rPr>
      </w:pPr>
      <w:r w:rsidRPr="00617081">
        <w:rPr>
          <w:rFonts w:ascii="Palatino Linotype" w:hAnsi="Palatino Linotype"/>
          <w:color w:val="222222"/>
          <w:sz w:val="22"/>
          <w:szCs w:val="22"/>
        </w:rPr>
        <w:t> </w:t>
      </w:r>
      <w:r w:rsidRPr="00617081">
        <w:rPr>
          <w:rStyle w:val="Gl"/>
          <w:rFonts w:ascii="Palatino Linotype" w:hAnsi="Palatino Linotype"/>
          <w:color w:val="222222"/>
          <w:sz w:val="22"/>
          <w:szCs w:val="22"/>
        </w:rPr>
        <w:t xml:space="preserve">Raporun 25. sayfasında, incelenmesi yapılan 113 GB verinin yer aldığı dosyanın 26/10/2016 tarihinde değiştirildiği belirtilmiştir. </w:t>
      </w:r>
      <w:r w:rsidRPr="00617081">
        <w:rPr>
          <w:rFonts w:ascii="Palatino Linotype" w:hAnsi="Palatino Linotype"/>
          <w:color w:val="222222"/>
          <w:sz w:val="22"/>
          <w:szCs w:val="22"/>
          <w:shd w:val="clear" w:color="auto" w:fill="FFFFFF"/>
        </w:rPr>
        <w:t>Yani, Bylock verilerinin imajının alınmasına ilişkin -sonradan verilen- 09/12/2016 tarihli hakim kararından ve verilerin bilirkişilere tesliminden </w:t>
      </w:r>
      <w:r w:rsidRPr="00617081">
        <w:rPr>
          <w:rStyle w:val="Gl"/>
          <w:rFonts w:ascii="Palatino Linotype" w:hAnsi="Palatino Linotype"/>
          <w:color w:val="222222"/>
          <w:sz w:val="22"/>
          <w:szCs w:val="22"/>
          <w:shd w:val="clear" w:color="auto" w:fill="FFFFFF"/>
        </w:rPr>
        <w:t>1,5 ay</w:t>
      </w:r>
      <w:r w:rsidRPr="00617081">
        <w:rPr>
          <w:rFonts w:ascii="Palatino Linotype" w:hAnsi="Palatino Linotype"/>
          <w:b/>
          <w:bCs/>
          <w:color w:val="222222"/>
          <w:sz w:val="22"/>
          <w:szCs w:val="22"/>
          <w:shd w:val="clear" w:color="auto" w:fill="FFFFFF"/>
        </w:rPr>
        <w:t> </w:t>
      </w:r>
      <w:r w:rsidRPr="00617081">
        <w:rPr>
          <w:rStyle w:val="Gl"/>
          <w:rFonts w:ascii="Palatino Linotype" w:hAnsi="Palatino Linotype"/>
          <w:color w:val="222222"/>
          <w:sz w:val="22"/>
          <w:szCs w:val="22"/>
          <w:shd w:val="clear" w:color="auto" w:fill="FFFFFF"/>
        </w:rPr>
        <w:t>önce dijital materyal üzerinde değişiklik yapılmış ve veriler orijinalliğini kaybetmiştir.</w:t>
      </w:r>
    </w:p>
    <w:p w14:paraId="3736F3D0"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noProof/>
          <w:sz w:val="22"/>
          <w:szCs w:val="22"/>
        </w:rPr>
        <w:lastRenderedPageBreak/>
        <w:drawing>
          <wp:inline distT="0" distB="0" distL="0" distR="0" wp14:anchorId="666C8C6C" wp14:editId="6D53FB40">
            <wp:extent cx="5433060" cy="6126480"/>
            <wp:effectExtent l="0" t="0" r="0" b="7620"/>
            <wp:docPr id="13808125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6126480"/>
                    </a:xfrm>
                    <a:prstGeom prst="rect">
                      <a:avLst/>
                    </a:prstGeom>
                    <a:noFill/>
                    <a:ln>
                      <a:noFill/>
                    </a:ln>
                  </pic:spPr>
                </pic:pic>
              </a:graphicData>
            </a:graphic>
          </wp:inline>
        </w:drawing>
      </w:r>
    </w:p>
    <w:p w14:paraId="5234353F" w14:textId="66314978" w:rsidR="00E52E47" w:rsidRPr="00617081" w:rsidRDefault="00041E11" w:rsidP="004D60B0">
      <w:pPr>
        <w:pStyle w:val="Balk2"/>
        <w:numPr>
          <w:ilvl w:val="0"/>
          <w:numId w:val="44"/>
        </w:numPr>
        <w:rPr>
          <w:rStyle w:val="Gl"/>
          <w:rFonts w:ascii="Palatino Linotype" w:hAnsi="Palatino Linotype"/>
        </w:rPr>
      </w:pPr>
      <w:bookmarkStart w:id="44" w:name="_Toc151927125"/>
      <w:r w:rsidRPr="00617081">
        <w:rPr>
          <w:rStyle w:val="Gl"/>
          <w:rFonts w:ascii="Palatino Linotype" w:hAnsi="Palatino Linotype"/>
          <w:b/>
          <w:bCs/>
        </w:rPr>
        <w:t xml:space="preserve"> </w:t>
      </w:r>
      <w:r w:rsidR="00E52E47" w:rsidRPr="00617081">
        <w:rPr>
          <w:rStyle w:val="Gl"/>
          <w:rFonts w:ascii="Palatino Linotype" w:hAnsi="Palatino Linotype"/>
          <w:b/>
          <w:bCs/>
        </w:rPr>
        <w:t>Üzerinde Çalışılan Verilerden İsim Listesi Çıkarılmıştır</w:t>
      </w:r>
      <w:bookmarkEnd w:id="44"/>
    </w:p>
    <w:p w14:paraId="5FDF8886" w14:textId="36A4DA03" w:rsidR="00CB62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Yine, Raporun 25. sayfada; </w:t>
      </w:r>
      <w:r w:rsidRPr="00617081">
        <w:rPr>
          <w:rStyle w:val="Vurgu"/>
          <w:rFonts w:ascii="Palatino Linotype" w:hAnsi="Palatino Linotype"/>
          <w:b/>
          <w:bCs/>
          <w:color w:val="222222"/>
          <w:sz w:val="22"/>
          <w:szCs w:val="22"/>
        </w:rPr>
        <w:t>“Adliye.xl.xs” isimli dosyanın şifrelenmiş olduğu görülmüş, dosya içeriğinin Bylock listelerinin olduğu bildirildiğinden dolayı söz konusu dosya ile ilgili her hangi bir çalışma yapılmamıştır”</w:t>
      </w:r>
      <w:r w:rsidRPr="00617081">
        <w:rPr>
          <w:rFonts w:ascii="Palatino Linotype" w:hAnsi="Palatino Linotype"/>
          <w:color w:val="222222"/>
          <w:sz w:val="22"/>
          <w:szCs w:val="22"/>
        </w:rPr>
        <w:t> denilmek suretiyle, </w:t>
      </w:r>
      <w:r w:rsidRPr="00617081">
        <w:rPr>
          <w:rStyle w:val="Gl"/>
          <w:rFonts w:ascii="Palatino Linotype" w:hAnsi="Palatino Linotype"/>
          <w:color w:val="222222"/>
          <w:sz w:val="22"/>
          <w:szCs w:val="22"/>
        </w:rPr>
        <w:t>veriler üzerinde aylarca çalışıldığı ve hatta listeler oluşturulduğu itiraf edilmiştir.</w:t>
      </w:r>
      <w:r w:rsidRPr="00617081">
        <w:rPr>
          <w:rFonts w:ascii="Palatino Linotype" w:hAnsi="Palatino Linotype"/>
          <w:color w:val="222222"/>
          <w:sz w:val="22"/>
          <w:szCs w:val="22"/>
        </w:rPr>
        <w:t> Başka bir ifadeyle, </w:t>
      </w:r>
      <w:r w:rsidRPr="00617081">
        <w:rPr>
          <w:rStyle w:val="Gl"/>
          <w:rFonts w:ascii="Palatino Linotype" w:hAnsi="Palatino Linotype"/>
          <w:color w:val="222222"/>
          <w:sz w:val="22"/>
          <w:szCs w:val="22"/>
        </w:rPr>
        <w:t>Bylock verileri üzerinde uzun süre çalışanlar, “Adliye.xl.xs” isimli ve içinde Bylock kullanıcı listelerinin olduğu excel tablosu oluşturmuşlar, bu dosyayı</w:t>
      </w:r>
      <w:r w:rsidRPr="00617081">
        <w:rPr>
          <w:rFonts w:ascii="Palatino Linotype" w:hAnsi="Palatino Linotype"/>
          <w:color w:val="222222"/>
          <w:sz w:val="22"/>
          <w:szCs w:val="22"/>
        </w:rPr>
        <w:t> </w:t>
      </w:r>
      <w:r w:rsidRPr="00617081">
        <w:rPr>
          <w:rStyle w:val="Gl"/>
          <w:rFonts w:ascii="Palatino Linotype" w:hAnsi="Palatino Linotype"/>
          <w:color w:val="222222"/>
          <w:sz w:val="22"/>
          <w:szCs w:val="22"/>
        </w:rPr>
        <w:t>şifrelemişler ve dosyada “isim listesi” olduğunu bilirkişilere söylemeyi de ihmal etmemişlerdir!</w:t>
      </w:r>
      <w:r w:rsidRPr="00617081">
        <w:rPr>
          <w:rFonts w:ascii="Palatino Linotype" w:hAnsi="Palatino Linotype"/>
          <w:color w:val="222222"/>
          <w:sz w:val="22"/>
          <w:szCs w:val="22"/>
        </w:rPr>
        <w:t> Bilirkişiler de, bu hususları olduğu gibi rapora geçirerek adeta Bylock verilerini </w:t>
      </w:r>
      <w:r w:rsidRPr="00617081">
        <w:rPr>
          <w:rStyle w:val="Vurgu"/>
          <w:rFonts w:ascii="Palatino Linotype" w:hAnsi="Palatino Linotype"/>
          <w:b/>
          <w:bCs/>
          <w:color w:val="222222"/>
          <w:sz w:val="22"/>
          <w:szCs w:val="22"/>
        </w:rPr>
        <w:t>“çöpe”</w:t>
      </w:r>
      <w:r w:rsidRPr="00617081">
        <w:rPr>
          <w:rFonts w:ascii="Palatino Linotype" w:hAnsi="Palatino Linotype"/>
          <w:color w:val="222222"/>
          <w:sz w:val="22"/>
          <w:szCs w:val="22"/>
        </w:rPr>
        <w:t> atmışlardır.</w:t>
      </w:r>
    </w:p>
    <w:p w14:paraId="6627C487" w14:textId="721CF5E6" w:rsidR="00E52E47" w:rsidRPr="00617081" w:rsidRDefault="0059541E" w:rsidP="004D60B0">
      <w:pPr>
        <w:pStyle w:val="Balk2"/>
        <w:rPr>
          <w:rFonts w:ascii="Palatino Linotype" w:hAnsi="Palatino Linotype"/>
        </w:rPr>
      </w:pPr>
      <w:bookmarkStart w:id="45" w:name="_Toc151927126"/>
      <w:r w:rsidRPr="00617081">
        <w:rPr>
          <w:rStyle w:val="Gl"/>
          <w:rFonts w:ascii="Palatino Linotype" w:hAnsi="Palatino Linotype"/>
          <w:b/>
          <w:bCs/>
        </w:rPr>
        <w:lastRenderedPageBreak/>
        <w:t>3</w:t>
      </w:r>
      <w:r w:rsidR="00E52E47" w:rsidRPr="00617081">
        <w:rPr>
          <w:rStyle w:val="Gl"/>
          <w:rFonts w:ascii="Palatino Linotype" w:hAnsi="Palatino Linotype"/>
          <w:b/>
          <w:bCs/>
        </w:rPr>
        <w:t>. Bilirkişilere Teslim Edilmeden Önce Verilerde Değişiklik Yapılmıştır</w:t>
      </w:r>
      <w:bookmarkEnd w:id="45"/>
    </w:p>
    <w:p w14:paraId="1EAB62F6"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Rapordaki tek skandal bu da değildir. Zira raporun 24. sayfasında, 13/12/2016’da bilirkişilere teslim edilen 7,2 GB’lık sabit disk içindeki veriler üzerinde, bu </w:t>
      </w:r>
      <w:r w:rsidRPr="00617081">
        <w:rPr>
          <w:rStyle w:val="Gl"/>
          <w:rFonts w:ascii="Palatino Linotype" w:hAnsi="Palatino Linotype"/>
          <w:color w:val="222222"/>
          <w:sz w:val="22"/>
          <w:szCs w:val="22"/>
        </w:rPr>
        <w:t>veriler teslim edilmeden 1 gün önce değişiklik yapıldığı da belirtilmiştir.</w:t>
      </w:r>
    </w:p>
    <w:p w14:paraId="30002AC5" w14:textId="77777777" w:rsidR="00E52E47" w:rsidRPr="00617081" w:rsidRDefault="00E52E47" w:rsidP="00136478">
      <w:pPr>
        <w:pStyle w:val="NormalWeb"/>
        <w:tabs>
          <w:tab w:val="clear" w:pos="1134"/>
          <w:tab w:val="left" w:pos="709"/>
        </w:tabs>
        <w:spacing w:before="0" w:beforeAutospacing="0" w:after="160" w:afterAutospacing="0" w:line="271" w:lineRule="auto"/>
        <w:ind w:firstLine="142"/>
        <w:rPr>
          <w:rFonts w:ascii="Palatino Linotype" w:hAnsi="Palatino Linotype"/>
          <w:color w:val="222222"/>
          <w:sz w:val="22"/>
          <w:szCs w:val="22"/>
        </w:rPr>
      </w:pPr>
      <w:r w:rsidRPr="00617081">
        <w:rPr>
          <w:rFonts w:ascii="Palatino Linotype" w:hAnsi="Palatino Linotype"/>
          <w:noProof/>
          <w:sz w:val="22"/>
          <w:szCs w:val="22"/>
        </w:rPr>
        <w:drawing>
          <wp:inline distT="0" distB="0" distL="0" distR="0" wp14:anchorId="49DAB54B" wp14:editId="2D74B97C">
            <wp:extent cx="5425440" cy="5699760"/>
            <wp:effectExtent l="0" t="0" r="3810" b="0"/>
            <wp:docPr id="5693390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5699760"/>
                    </a:xfrm>
                    <a:prstGeom prst="rect">
                      <a:avLst/>
                    </a:prstGeom>
                    <a:noFill/>
                    <a:ln>
                      <a:noFill/>
                    </a:ln>
                  </pic:spPr>
                </pic:pic>
              </a:graphicData>
            </a:graphic>
          </wp:inline>
        </w:drawing>
      </w:r>
    </w:p>
    <w:p w14:paraId="11759246" w14:textId="5104083B" w:rsidR="00E52E47" w:rsidRPr="00617081" w:rsidRDefault="0059541E" w:rsidP="004D60B0">
      <w:pPr>
        <w:pStyle w:val="Balk2"/>
        <w:rPr>
          <w:rFonts w:ascii="Palatino Linotype" w:hAnsi="Palatino Linotype"/>
        </w:rPr>
      </w:pPr>
      <w:bookmarkStart w:id="46" w:name="_Toc151927127"/>
      <w:r w:rsidRPr="00617081">
        <w:rPr>
          <w:rStyle w:val="Gl"/>
          <w:rFonts w:ascii="Palatino Linotype" w:hAnsi="Palatino Linotype"/>
          <w:b/>
          <w:bCs/>
        </w:rPr>
        <w:t>4</w:t>
      </w:r>
      <w:r w:rsidR="00E52E47" w:rsidRPr="00617081">
        <w:rPr>
          <w:rStyle w:val="Gl"/>
          <w:rFonts w:ascii="Palatino Linotype" w:hAnsi="Palatino Linotype"/>
          <w:b/>
          <w:bCs/>
        </w:rPr>
        <w:t>. Bylock Verilerinin Yapısı Bozuktur ve Kurtarma İşlemine Tabi Tutulmuştur</w:t>
      </w:r>
      <w:bookmarkEnd w:id="46"/>
    </w:p>
    <w:p w14:paraId="66793E93"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Yine, bilirkişiler raporun </w:t>
      </w:r>
      <w:r w:rsidRPr="00617081">
        <w:rPr>
          <w:rStyle w:val="Vurgu"/>
          <w:rFonts w:ascii="Palatino Linotype" w:hAnsi="Palatino Linotype"/>
          <w:b/>
          <w:bCs/>
          <w:color w:val="222222"/>
          <w:sz w:val="22"/>
          <w:szCs w:val="22"/>
        </w:rPr>
        <w:t>“sonuç ve değerlendirme kısmı”</w:t>
      </w:r>
      <w:r w:rsidRPr="00617081">
        <w:rPr>
          <w:rFonts w:ascii="Palatino Linotype" w:hAnsi="Palatino Linotype"/>
          <w:color w:val="222222"/>
          <w:sz w:val="22"/>
          <w:szCs w:val="22"/>
        </w:rPr>
        <w:t>nda; </w:t>
      </w:r>
      <w:r w:rsidRPr="00617081">
        <w:rPr>
          <w:rStyle w:val="Gl"/>
          <w:rFonts w:ascii="Palatino Linotype" w:hAnsi="Palatino Linotype"/>
          <w:color w:val="222222"/>
          <w:sz w:val="22"/>
          <w:szCs w:val="22"/>
        </w:rPr>
        <w:t>Bylock verilerinin bozuk olduğunu ve dosya içeriğindeki nesnelere erişmek için kurtarma işlemine başvurduklarını belirtmişler</w:t>
      </w:r>
      <w:r w:rsidRPr="00617081">
        <w:rPr>
          <w:rFonts w:ascii="Palatino Linotype" w:hAnsi="Palatino Linotype"/>
          <w:color w:val="222222"/>
          <w:sz w:val="22"/>
          <w:szCs w:val="22"/>
        </w:rPr>
        <w:t> ve bu suretle Bylock’un hukuka aykırılığını açıkça ortaya koymuşlardır.</w:t>
      </w:r>
    </w:p>
    <w:p w14:paraId="5462819D"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noProof/>
          <w:sz w:val="22"/>
          <w:szCs w:val="22"/>
        </w:rPr>
        <w:lastRenderedPageBreak/>
        <w:drawing>
          <wp:inline distT="0" distB="0" distL="0" distR="0" wp14:anchorId="06B308BC" wp14:editId="1D62D137">
            <wp:extent cx="5242560" cy="4846320"/>
            <wp:effectExtent l="0" t="0" r="0" b="0"/>
            <wp:docPr id="6925833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4846320"/>
                    </a:xfrm>
                    <a:prstGeom prst="rect">
                      <a:avLst/>
                    </a:prstGeom>
                    <a:noFill/>
                    <a:ln>
                      <a:noFill/>
                    </a:ln>
                  </pic:spPr>
                </pic:pic>
              </a:graphicData>
            </a:graphic>
          </wp:inline>
        </w:drawing>
      </w:r>
    </w:p>
    <w:p w14:paraId="621359AC" w14:textId="51349B5D" w:rsidR="00E52E47" w:rsidRPr="00617081" w:rsidRDefault="0059541E" w:rsidP="004D60B0">
      <w:pPr>
        <w:pStyle w:val="Balk2"/>
        <w:rPr>
          <w:rFonts w:ascii="Palatino Linotype" w:hAnsi="Palatino Linotype"/>
        </w:rPr>
      </w:pPr>
      <w:bookmarkStart w:id="47" w:name="_Toc151927128"/>
      <w:r w:rsidRPr="00617081">
        <w:rPr>
          <w:rStyle w:val="Gl"/>
          <w:rFonts w:ascii="Palatino Linotype" w:hAnsi="Palatino Linotype"/>
          <w:b/>
          <w:bCs/>
        </w:rPr>
        <w:t>5</w:t>
      </w:r>
      <w:r w:rsidR="00E52E47" w:rsidRPr="00617081">
        <w:rPr>
          <w:rStyle w:val="Gl"/>
          <w:rFonts w:ascii="Palatino Linotype" w:hAnsi="Palatino Linotype"/>
          <w:b/>
          <w:bCs/>
        </w:rPr>
        <w:t>. Bilirkişi Raporunun Önemi</w:t>
      </w:r>
      <w:bookmarkEnd w:id="47"/>
    </w:p>
    <w:p w14:paraId="1B63FC12"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eastAsiaTheme="majorEastAsia" w:hAnsi="Palatino Linotype"/>
          <w:sz w:val="22"/>
          <w:szCs w:val="22"/>
        </w:rPr>
      </w:pPr>
      <w:r w:rsidRPr="00617081">
        <w:rPr>
          <w:rFonts w:ascii="Palatino Linotype" w:hAnsi="Palatino Linotype"/>
          <w:color w:val="222222"/>
          <w:sz w:val="22"/>
          <w:szCs w:val="22"/>
        </w:rPr>
        <w:t>Ankara C. Başsavcılığının elindeki Bylock verileriyle ilgili bu zamana kadar aldırılan </w:t>
      </w:r>
      <w:r w:rsidRPr="00617081">
        <w:rPr>
          <w:rStyle w:val="Vurgu"/>
          <w:rFonts w:ascii="Palatino Linotype" w:hAnsi="Palatino Linotype"/>
          <w:b/>
          <w:bCs/>
          <w:color w:val="222222"/>
          <w:sz w:val="22"/>
          <w:szCs w:val="22"/>
        </w:rPr>
        <w:t>“ilk ve tek resmi bilirkişi raporu”</w:t>
      </w:r>
      <w:r w:rsidRPr="00617081">
        <w:rPr>
          <w:rFonts w:ascii="Palatino Linotype" w:hAnsi="Palatino Linotype"/>
          <w:color w:val="222222"/>
          <w:sz w:val="22"/>
          <w:szCs w:val="22"/>
        </w:rPr>
        <w:t>  özelliği taşıyan bu belge, Bylock verilerine Yargıtay’ın </w:t>
      </w:r>
      <w:r w:rsidRPr="00617081">
        <w:rPr>
          <w:rStyle w:val="Vurgu"/>
          <w:rFonts w:ascii="Palatino Linotype" w:hAnsi="Palatino Linotype"/>
          <w:b/>
          <w:bCs/>
          <w:color w:val="222222"/>
          <w:sz w:val="22"/>
          <w:szCs w:val="22"/>
        </w:rPr>
        <w:t>“milat”</w:t>
      </w:r>
      <w:r w:rsidRPr="00617081">
        <w:rPr>
          <w:rFonts w:ascii="Palatino Linotype" w:hAnsi="Palatino Linotype"/>
          <w:color w:val="222222"/>
          <w:sz w:val="22"/>
          <w:szCs w:val="22"/>
        </w:rPr>
        <w:t> kabul ettiği </w:t>
      </w:r>
      <w:r w:rsidRPr="00617081">
        <w:rPr>
          <w:rStyle w:val="Gl"/>
          <w:rFonts w:ascii="Palatino Linotype" w:hAnsi="Palatino Linotype"/>
          <w:color w:val="222222"/>
          <w:sz w:val="22"/>
          <w:szCs w:val="22"/>
        </w:rPr>
        <w:t>09/12/2016 tarihinden önce müdahale edildiğinin en açık ve somut örneğidir.[5]</w:t>
      </w:r>
      <w:r w:rsidRPr="00617081">
        <w:rPr>
          <w:rFonts w:ascii="Palatino Linotype" w:hAnsi="Palatino Linotype"/>
          <w:color w:val="222222"/>
          <w:sz w:val="22"/>
          <w:szCs w:val="22"/>
        </w:rPr>
        <w:t> İşte bu nedenle, Ankara savcılığı ve diğer savcılıklar CMK’nın 160/2. maddesine aykırı olarak bu raporu başka hiçbir dosyaya sunmamakta, aynı hukuksuzluğun başka bilirkişilerce tespitinden çekinen mahkemeler de, tüm taleplere rağmen silahların eşitliği ve çekişmeli yargılama ilkelerine aykırı olarak, Bylock verilerini kimseye inceletmemekte ve ilgililerin adil yargılanma haklarını ihlal etmektedirler.</w:t>
      </w:r>
      <w:r w:rsidRPr="00617081">
        <w:rPr>
          <w:rStyle w:val="DipnotBavurusu"/>
          <w:rFonts w:ascii="Palatino Linotype" w:eastAsiaTheme="majorEastAsia" w:hAnsi="Palatino Linotype"/>
          <w:sz w:val="22"/>
          <w:szCs w:val="22"/>
        </w:rPr>
        <w:t xml:space="preserve"> </w:t>
      </w:r>
      <w:r w:rsidRPr="00617081">
        <w:rPr>
          <w:rStyle w:val="DipnotBavurusu"/>
          <w:rFonts w:ascii="Palatino Linotype" w:eastAsiaTheme="majorEastAsia" w:hAnsi="Palatino Linotype"/>
          <w:sz w:val="22"/>
          <w:szCs w:val="22"/>
        </w:rPr>
        <w:footnoteReference w:id="9"/>
      </w:r>
    </w:p>
    <w:p w14:paraId="1D141F84" w14:textId="77777777" w:rsidR="005C5B85" w:rsidRPr="00617081" w:rsidRDefault="005C5B85" w:rsidP="004D60B0">
      <w:pPr>
        <w:pStyle w:val="NormalWeb"/>
        <w:tabs>
          <w:tab w:val="clear" w:pos="1134"/>
          <w:tab w:val="left" w:pos="709"/>
        </w:tabs>
        <w:spacing w:before="0" w:beforeAutospacing="0" w:after="160" w:afterAutospacing="0" w:line="271" w:lineRule="auto"/>
        <w:ind w:firstLine="709"/>
        <w:rPr>
          <w:rFonts w:ascii="Palatino Linotype" w:eastAsiaTheme="majorEastAsia" w:hAnsi="Palatino Linotype"/>
          <w:sz w:val="22"/>
          <w:szCs w:val="22"/>
        </w:rPr>
      </w:pPr>
    </w:p>
    <w:p w14:paraId="65C9F72F" w14:textId="60FC12D1" w:rsidR="00E52E47" w:rsidRPr="00617081" w:rsidRDefault="0059541E" w:rsidP="0065557D">
      <w:pPr>
        <w:pStyle w:val="Balk1"/>
        <w:numPr>
          <w:ilvl w:val="0"/>
          <w:numId w:val="0"/>
        </w:numPr>
        <w:tabs>
          <w:tab w:val="left" w:pos="2552"/>
          <w:tab w:val="left" w:pos="3544"/>
        </w:tabs>
        <w:ind w:left="1702" w:hanging="1702"/>
        <w:jc w:val="center"/>
        <w:rPr>
          <w:rFonts w:ascii="Palatino Linotype" w:hAnsi="Palatino Linotype"/>
        </w:rPr>
      </w:pPr>
      <w:bookmarkStart w:id="48" w:name="_Toc151927129"/>
      <w:r w:rsidRPr="00617081">
        <w:rPr>
          <w:rFonts w:ascii="Palatino Linotype" w:hAnsi="Palatino Linotype"/>
        </w:rPr>
        <w:lastRenderedPageBreak/>
        <w:t>SONUÇ</w:t>
      </w:r>
      <w:bookmarkEnd w:id="48"/>
    </w:p>
    <w:p w14:paraId="101CAC34"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 xml:space="preserve">AİHM, Yalçınkaya kararında Bylock verilerinin hukuka uygun elde edilip edilmediğiyle ilgili bir değerlendirme yapmasa da; 6. madde kapsamında verdiği ihlal gerekçelerinin tamamı, yapılacak yeniden yargılamalarda Bylock’un hukuka aykırılığını ortaya koyacak hususlardır. Zira AİHM’in ihlal gerekçeleri 7 yıldır on binlerce insanın dile getirdiği ancak AYM’de dahil hiçbir mahkemenin dikkate almadığı hususlarla aynıdır. İhlalin gereklerinden sadece bilirkişi incelemesi yapılması durumunda Ankara C. Başsavcılığının aldırdığı bilirkişi raporuyla aynı sonuç çıkacak ve mahkeme kararı olmadan verilere müdahale edildiği ve daha önemlisi de </w:t>
      </w:r>
      <w:r w:rsidRPr="00617081">
        <w:rPr>
          <w:rFonts w:ascii="Palatino Linotype" w:hAnsi="Palatino Linotype"/>
          <w:i/>
          <w:iCs/>
          <w:color w:val="222222"/>
          <w:sz w:val="22"/>
          <w:szCs w:val="22"/>
        </w:rPr>
        <w:t>“verilerin yapısının bozuk olduğu”</w:t>
      </w:r>
      <w:r w:rsidRPr="00617081">
        <w:rPr>
          <w:rFonts w:ascii="Palatino Linotype" w:hAnsi="Palatino Linotype"/>
          <w:color w:val="222222"/>
          <w:sz w:val="22"/>
          <w:szCs w:val="22"/>
        </w:rPr>
        <w:t xml:space="preserve"> ortaya çıkacaktır. Yapısı bozuk verilerin yargılamada delil olarak kullanılamayacağı izahtan varestedir.</w:t>
      </w:r>
    </w:p>
    <w:p w14:paraId="37071079"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r w:rsidRPr="00617081">
        <w:rPr>
          <w:rFonts w:ascii="Palatino Linotype" w:hAnsi="Palatino Linotype"/>
          <w:color w:val="222222"/>
          <w:sz w:val="22"/>
          <w:szCs w:val="22"/>
        </w:rPr>
        <w:t xml:space="preserve">AİHM, Yalçınkaya özelinde ancak bu kararın önündeki 8 bin ve gelmesi beklenen 100 binden fazla dosyada da uygulanmasını istemek suretiyle, Bylock temelli dosyalarda adil yargılama hakkının ağır şekilde ihlal edildiğini de saptamıştır. Çünkü, ulusal mahkemelerde Bylock nedeniyle yapılan yargılamalar ile Yalçınkaya kararına konu yargılama arasından delillerin kabul ediliş ve değerlendirilmesi arasında hiçbir fark yoktur. Türkiye’deki yargı pratiğinin ve sistemik sorunun farkında olan AİHM, tarihinde bir ilk olarak 100 binden fazla dosyada aynı sıkıntıların bulunduğunu ve alınacak genel tedbirlerle bu sorunun çözülmesini istemiştir. </w:t>
      </w:r>
    </w:p>
    <w:p w14:paraId="250FB3AC" w14:textId="77777777" w:rsidR="00E52E47" w:rsidRPr="00617081" w:rsidRDefault="00E52E47" w:rsidP="004D60B0">
      <w:pPr>
        <w:pStyle w:val="NormalWeb"/>
        <w:tabs>
          <w:tab w:val="clear" w:pos="1134"/>
          <w:tab w:val="left" w:pos="709"/>
        </w:tabs>
        <w:spacing w:before="0" w:beforeAutospacing="0" w:after="160" w:afterAutospacing="0" w:line="271" w:lineRule="auto"/>
        <w:ind w:firstLine="709"/>
        <w:rPr>
          <w:rFonts w:ascii="Palatino Linotype" w:hAnsi="Palatino Linotype"/>
          <w:color w:val="222222"/>
          <w:sz w:val="22"/>
          <w:szCs w:val="22"/>
        </w:rPr>
      </w:pPr>
    </w:p>
    <w:p w14:paraId="6945601A" w14:textId="77777777" w:rsidR="00E52E47" w:rsidRPr="00E52E47" w:rsidRDefault="00E52E47" w:rsidP="00E52E47"/>
    <w:sectPr w:rsidR="00E52E47" w:rsidRPr="00E52E47" w:rsidSect="0090130B">
      <w:footerReference w:type="default" r:id="rId15"/>
      <w:pgSz w:w="11906" w:h="16838"/>
      <w:pgMar w:top="1418" w:right="1417" w:bottom="1135"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BD17" w14:textId="77777777" w:rsidR="00437276" w:rsidRDefault="00437276" w:rsidP="00C05A4F">
      <w:r>
        <w:separator/>
      </w:r>
    </w:p>
    <w:p w14:paraId="7BB0065A" w14:textId="77777777" w:rsidR="00437276" w:rsidRDefault="00437276"/>
  </w:endnote>
  <w:endnote w:type="continuationSeparator" w:id="0">
    <w:p w14:paraId="6A4CB42B" w14:textId="77777777" w:rsidR="00437276" w:rsidRDefault="00437276" w:rsidP="00C05A4F">
      <w:r>
        <w:continuationSeparator/>
      </w:r>
    </w:p>
    <w:p w14:paraId="1BA8B3E2" w14:textId="77777777" w:rsidR="00437276" w:rsidRDefault="00437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Segoe UI Historic"/>
    <w:panose1 w:val="02040502050505030304"/>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oto Serif">
    <w:panose1 w:val="02020502060505020204"/>
    <w:charset w:val="00"/>
    <w:family w:val="roman"/>
    <w:pitch w:val="variable"/>
    <w:sig w:usb0="E00002FF" w:usb1="500078FF" w:usb2="0000002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919832489"/>
      <w:docPartObj>
        <w:docPartGallery w:val="Page Numbers (Bottom of Page)"/>
        <w:docPartUnique/>
      </w:docPartObj>
    </w:sdtPr>
    <w:sdtContent>
      <w:p w14:paraId="74B03002" w14:textId="3AAF10C6" w:rsidR="00BD10C1" w:rsidRDefault="00BD10C1" w:rsidP="0090130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37DB5748" w14:textId="77777777" w:rsidR="00BD10C1" w:rsidRDefault="00BD10C1" w:rsidP="00BD10C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2180" w14:textId="46E22711" w:rsidR="002C2A40" w:rsidRPr="00ED70B3" w:rsidRDefault="002C2A40" w:rsidP="00BD10C1">
    <w:pPr>
      <w:pStyle w:val="AltBilgi"/>
      <w:ind w:right="360"/>
      <w:jc w:val="center"/>
      <w:rPr>
        <w:sz w:val="20"/>
        <w:szCs w:val="20"/>
      </w:rPr>
    </w:pPr>
  </w:p>
  <w:p w14:paraId="1405580C" w14:textId="77777777" w:rsidR="002C2A40" w:rsidRPr="002C2A40" w:rsidRDefault="002C2A40" w:rsidP="00C05A4F">
    <w:pPr>
      <w:pStyle w:val="AltBilgi"/>
    </w:pPr>
  </w:p>
  <w:p w14:paraId="236246E8" w14:textId="77777777" w:rsidR="006A04BF" w:rsidRDefault="006A04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97225779"/>
      <w:docPartObj>
        <w:docPartGallery w:val="Page Numbers (Bottom of Page)"/>
        <w:docPartUnique/>
      </w:docPartObj>
    </w:sdtPr>
    <w:sdtContent>
      <w:p w14:paraId="73A9E9A1" w14:textId="77777777" w:rsidR="0090130B" w:rsidRDefault="0090130B" w:rsidP="0090130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w:t>
        </w:r>
        <w:r>
          <w:rPr>
            <w:rStyle w:val="SayfaNumaras"/>
          </w:rPr>
          <w:fldChar w:fldCharType="end"/>
        </w:r>
      </w:p>
    </w:sdtContent>
  </w:sdt>
  <w:p w14:paraId="5874BCA0" w14:textId="77777777" w:rsidR="0090130B" w:rsidRPr="00ED70B3" w:rsidRDefault="0090130B" w:rsidP="00BD10C1">
    <w:pPr>
      <w:pStyle w:val="AltBilgi"/>
      <w:ind w:right="360"/>
      <w:jc w:val="center"/>
      <w:rPr>
        <w:sz w:val="20"/>
        <w:szCs w:val="20"/>
      </w:rPr>
    </w:pPr>
  </w:p>
  <w:p w14:paraId="117518C6" w14:textId="77777777" w:rsidR="0090130B" w:rsidRPr="002C2A40" w:rsidRDefault="0090130B" w:rsidP="00C05A4F">
    <w:pPr>
      <w:pStyle w:val="AltBilgi"/>
    </w:pPr>
  </w:p>
  <w:p w14:paraId="544424D1" w14:textId="77777777" w:rsidR="0090130B" w:rsidRDefault="009013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C2F72" w14:textId="77777777" w:rsidR="00437276" w:rsidRDefault="00437276" w:rsidP="00C05A4F">
      <w:r>
        <w:separator/>
      </w:r>
    </w:p>
    <w:p w14:paraId="418526F8" w14:textId="77777777" w:rsidR="00437276" w:rsidRDefault="00437276"/>
  </w:footnote>
  <w:footnote w:type="continuationSeparator" w:id="0">
    <w:p w14:paraId="0035DD35" w14:textId="77777777" w:rsidR="00437276" w:rsidRDefault="00437276" w:rsidP="00C05A4F">
      <w:r>
        <w:continuationSeparator/>
      </w:r>
    </w:p>
    <w:p w14:paraId="2D73FC1E" w14:textId="77777777" w:rsidR="00437276" w:rsidRDefault="00437276"/>
  </w:footnote>
  <w:footnote w:id="1">
    <w:p w14:paraId="7300F84E" w14:textId="77777777" w:rsidR="00E52E47" w:rsidRDefault="00E52E47" w:rsidP="00BD10C1">
      <w:pPr>
        <w:pStyle w:val="DipnotMetni"/>
        <w:ind w:left="567" w:hanging="567"/>
      </w:pPr>
      <w:r>
        <w:rPr>
          <w:rStyle w:val="DipnotBavurusu"/>
          <w:rFonts w:eastAsiaTheme="majorEastAsia"/>
        </w:rPr>
        <w:footnoteRef/>
      </w:r>
      <w:r>
        <w:t xml:space="preserve"> </w:t>
      </w:r>
      <w:r>
        <w:tab/>
      </w:r>
      <w:r w:rsidRPr="00C02E67">
        <w:rPr>
          <w:sz w:val="18"/>
          <w:szCs w:val="18"/>
        </w:rPr>
        <w:t>Yalçınkaya/Türkiye Büyük Daire, B. No: 15669/20, 26/9/2023, https://hudoc.echr.coe.int/?i=001-228393</w:t>
      </w:r>
    </w:p>
  </w:footnote>
  <w:footnote w:id="2">
    <w:p w14:paraId="0742B390" w14:textId="77777777" w:rsidR="00E52E47" w:rsidRPr="00C02E67" w:rsidRDefault="00E52E47" w:rsidP="00BD10C1">
      <w:pPr>
        <w:spacing w:after="0" w:line="240" w:lineRule="auto"/>
        <w:ind w:left="567" w:hanging="567"/>
        <w:rPr>
          <w:rFonts w:cs="Noto Serif"/>
          <w:b/>
          <w:bCs/>
          <w:sz w:val="18"/>
          <w:szCs w:val="18"/>
          <w:u w:val="single"/>
        </w:rPr>
      </w:pPr>
      <w:r w:rsidRPr="00C02E67">
        <w:rPr>
          <w:rStyle w:val="DipnotBavurusu"/>
          <w:rFonts w:cs="Noto Serif"/>
          <w:sz w:val="18"/>
          <w:szCs w:val="18"/>
          <w:vertAlign w:val="baseline"/>
        </w:rPr>
        <w:footnoteRef/>
      </w:r>
      <w:r w:rsidRPr="00C02E67">
        <w:rPr>
          <w:rFonts w:cs="Noto Serif"/>
          <w:b/>
          <w:bCs/>
          <w:i/>
          <w:iCs/>
          <w:sz w:val="18"/>
          <w:szCs w:val="18"/>
        </w:rPr>
        <w:t xml:space="preserve"> </w:t>
      </w:r>
      <w:r>
        <w:rPr>
          <w:rFonts w:cs="Noto Serif"/>
          <w:b/>
          <w:bCs/>
          <w:i/>
          <w:iCs/>
          <w:sz w:val="18"/>
          <w:szCs w:val="18"/>
        </w:rPr>
        <w:tab/>
      </w:r>
      <w:r w:rsidRPr="00C02E67">
        <w:rPr>
          <w:rFonts w:cs="Noto Serif"/>
          <w:b/>
          <w:bCs/>
          <w:i/>
          <w:iCs/>
          <w:sz w:val="18"/>
          <w:szCs w:val="18"/>
          <w:u w:val="single"/>
        </w:rPr>
        <w:t>“M</w:t>
      </w:r>
      <w:r w:rsidRPr="00C02E67">
        <w:rPr>
          <w:rFonts w:cs="Cambria"/>
          <w:b/>
          <w:bCs/>
          <w:i/>
          <w:iCs/>
          <w:sz w:val="18"/>
          <w:szCs w:val="18"/>
          <w:u w:val="single"/>
        </w:rPr>
        <w:t>İ</w:t>
      </w:r>
      <w:r w:rsidRPr="00C02E67">
        <w:rPr>
          <w:rFonts w:cs="Noto Serif"/>
          <w:b/>
          <w:bCs/>
          <w:i/>
          <w:iCs/>
          <w:sz w:val="18"/>
          <w:szCs w:val="18"/>
          <w:u w:val="single"/>
        </w:rPr>
        <w:t>T taraf</w:t>
      </w:r>
      <w:r w:rsidRPr="00C02E67">
        <w:rPr>
          <w:rFonts w:cs="Cambria"/>
          <w:b/>
          <w:bCs/>
          <w:i/>
          <w:iCs/>
          <w:sz w:val="18"/>
          <w:szCs w:val="18"/>
          <w:u w:val="single"/>
        </w:rPr>
        <w:t>ı</w:t>
      </w:r>
      <w:r w:rsidRPr="00C02E67">
        <w:rPr>
          <w:rFonts w:cs="Noto Serif"/>
          <w:b/>
          <w:bCs/>
          <w:i/>
          <w:iCs/>
          <w:sz w:val="18"/>
          <w:szCs w:val="18"/>
          <w:u w:val="single"/>
        </w:rPr>
        <w:t>ndan yasal olarak elde edildi</w:t>
      </w:r>
      <w:r w:rsidRPr="00C02E67">
        <w:rPr>
          <w:rFonts w:cs="Cambria"/>
          <w:b/>
          <w:bCs/>
          <w:i/>
          <w:iCs/>
          <w:sz w:val="18"/>
          <w:szCs w:val="18"/>
          <w:u w:val="single"/>
        </w:rPr>
        <w:t>ğ</w:t>
      </w:r>
      <w:r w:rsidRPr="00C02E67">
        <w:rPr>
          <w:rFonts w:cs="Noto Serif"/>
          <w:b/>
          <w:bCs/>
          <w:i/>
          <w:iCs/>
          <w:sz w:val="18"/>
          <w:szCs w:val="18"/>
          <w:u w:val="single"/>
        </w:rPr>
        <w:t xml:space="preserve">i kabul edilen </w:t>
      </w:r>
      <w:r w:rsidRPr="00C02E67">
        <w:rPr>
          <w:rFonts w:cs="Noto Serif"/>
          <w:i/>
          <w:iCs/>
          <w:sz w:val="18"/>
          <w:szCs w:val="18"/>
        </w:rPr>
        <w:t>dijital materyaller üzerinde Ankara Cumhuriyet Ba</w:t>
      </w:r>
      <w:r w:rsidRPr="00C02E67">
        <w:rPr>
          <w:rFonts w:cs="Cambria"/>
          <w:i/>
          <w:iCs/>
          <w:sz w:val="18"/>
          <w:szCs w:val="18"/>
        </w:rPr>
        <w:t>ş</w:t>
      </w:r>
      <w:r w:rsidRPr="00C02E67">
        <w:rPr>
          <w:rFonts w:cs="Noto Serif"/>
          <w:i/>
          <w:iCs/>
          <w:sz w:val="18"/>
          <w:szCs w:val="18"/>
        </w:rPr>
        <w:t>savc</w:t>
      </w:r>
      <w:r w:rsidRPr="00C02E67">
        <w:rPr>
          <w:rFonts w:cs="Cambria"/>
          <w:i/>
          <w:iCs/>
          <w:sz w:val="18"/>
          <w:szCs w:val="18"/>
        </w:rPr>
        <w:t>ı</w:t>
      </w:r>
      <w:r w:rsidRPr="00C02E67">
        <w:rPr>
          <w:rFonts w:cs="Noto Serif"/>
          <w:i/>
          <w:iCs/>
          <w:sz w:val="18"/>
          <w:szCs w:val="18"/>
        </w:rPr>
        <w:t>l</w:t>
      </w:r>
      <w:r w:rsidRPr="00C02E67">
        <w:rPr>
          <w:rFonts w:cs="Cambria"/>
          <w:i/>
          <w:iCs/>
          <w:sz w:val="18"/>
          <w:szCs w:val="18"/>
        </w:rPr>
        <w:t>ığı</w:t>
      </w:r>
      <w:r w:rsidRPr="00C02E67">
        <w:rPr>
          <w:rFonts w:cs="Noto Serif"/>
          <w:i/>
          <w:iCs/>
          <w:sz w:val="18"/>
          <w:szCs w:val="18"/>
        </w:rPr>
        <w:t>n</w:t>
      </w:r>
      <w:r w:rsidRPr="00C02E67">
        <w:rPr>
          <w:rFonts w:cs="Cambria"/>
          <w:i/>
          <w:iCs/>
          <w:sz w:val="18"/>
          <w:szCs w:val="18"/>
        </w:rPr>
        <w:t>ı</w:t>
      </w:r>
      <w:r w:rsidRPr="00C02E67">
        <w:rPr>
          <w:rFonts w:cs="Noto Serif"/>
          <w:i/>
          <w:iCs/>
          <w:sz w:val="18"/>
          <w:szCs w:val="18"/>
        </w:rPr>
        <w:t>n talebi ile CMK 134. maddesi gere</w:t>
      </w:r>
      <w:r w:rsidRPr="00C02E67">
        <w:rPr>
          <w:rFonts w:cs="Cambria"/>
          <w:i/>
          <w:iCs/>
          <w:sz w:val="18"/>
          <w:szCs w:val="18"/>
        </w:rPr>
        <w:t>ğ</w:t>
      </w:r>
      <w:r w:rsidRPr="00C02E67">
        <w:rPr>
          <w:rFonts w:cs="Noto Serif"/>
          <w:i/>
          <w:iCs/>
          <w:sz w:val="18"/>
          <w:szCs w:val="18"/>
        </w:rPr>
        <w:t xml:space="preserve">ince </w:t>
      </w:r>
      <w:r w:rsidRPr="00C02E67">
        <w:rPr>
          <w:rFonts w:cs="Noto Serif"/>
          <w:b/>
          <w:bCs/>
          <w:i/>
          <w:iCs/>
          <w:sz w:val="18"/>
          <w:szCs w:val="18"/>
          <w:u w:val="single"/>
        </w:rPr>
        <w:t>Ankara 4. Sulh Ceza Hakimli</w:t>
      </w:r>
      <w:r w:rsidRPr="00C02E67">
        <w:rPr>
          <w:rFonts w:cs="Cambria"/>
          <w:b/>
          <w:bCs/>
          <w:i/>
          <w:iCs/>
          <w:sz w:val="18"/>
          <w:szCs w:val="18"/>
          <w:u w:val="single"/>
        </w:rPr>
        <w:t>ğ</w:t>
      </w:r>
      <w:r w:rsidRPr="00C02E67">
        <w:rPr>
          <w:rFonts w:cs="Noto Serif"/>
          <w:b/>
          <w:bCs/>
          <w:i/>
          <w:iCs/>
          <w:sz w:val="18"/>
          <w:szCs w:val="18"/>
          <w:u w:val="single"/>
        </w:rPr>
        <w:t>inden al</w:t>
      </w:r>
      <w:r w:rsidRPr="00C02E67">
        <w:rPr>
          <w:rFonts w:cs="Cambria"/>
          <w:b/>
          <w:bCs/>
          <w:i/>
          <w:iCs/>
          <w:sz w:val="18"/>
          <w:szCs w:val="18"/>
          <w:u w:val="single"/>
        </w:rPr>
        <w:t>ı</w:t>
      </w:r>
      <w:r w:rsidRPr="00C02E67">
        <w:rPr>
          <w:rFonts w:cs="Noto Serif"/>
          <w:b/>
          <w:bCs/>
          <w:i/>
          <w:iCs/>
          <w:sz w:val="18"/>
          <w:szCs w:val="18"/>
          <w:u w:val="single"/>
        </w:rPr>
        <w:t>nan "inceleme kopyalama ve çözümleme" karar</w:t>
      </w:r>
      <w:r w:rsidRPr="00C02E67">
        <w:rPr>
          <w:rFonts w:cs="Cambria"/>
          <w:b/>
          <w:bCs/>
          <w:i/>
          <w:iCs/>
          <w:sz w:val="18"/>
          <w:szCs w:val="18"/>
          <w:u w:val="single"/>
        </w:rPr>
        <w:t>ı</w:t>
      </w:r>
      <w:r w:rsidRPr="00C02E67">
        <w:rPr>
          <w:rFonts w:cs="Noto Serif"/>
          <w:b/>
          <w:bCs/>
          <w:i/>
          <w:iCs/>
          <w:sz w:val="18"/>
          <w:szCs w:val="18"/>
          <w:u w:val="single"/>
        </w:rPr>
        <w:t>na</w:t>
      </w:r>
      <w:r w:rsidRPr="00C02E67">
        <w:rPr>
          <w:rFonts w:cs="Noto Serif"/>
          <w:i/>
          <w:iCs/>
          <w:sz w:val="18"/>
          <w:szCs w:val="18"/>
        </w:rPr>
        <w:t xml:space="preserve"> </w:t>
      </w:r>
      <w:r w:rsidRPr="00C02E67">
        <w:rPr>
          <w:rFonts w:cs="Noto Serif"/>
          <w:b/>
          <w:bCs/>
          <w:i/>
          <w:iCs/>
          <w:sz w:val="18"/>
          <w:szCs w:val="18"/>
          <w:u w:val="single"/>
        </w:rPr>
        <w:t>istinaden bilgisayar, bilgisayar kütüklerindeki iletilerin tespiti i</w:t>
      </w:r>
      <w:r w:rsidRPr="00C02E67">
        <w:rPr>
          <w:rFonts w:cs="Cambria"/>
          <w:b/>
          <w:bCs/>
          <w:i/>
          <w:iCs/>
          <w:sz w:val="18"/>
          <w:szCs w:val="18"/>
          <w:u w:val="single"/>
        </w:rPr>
        <w:t>ş</w:t>
      </w:r>
      <w:r w:rsidRPr="00C02E67">
        <w:rPr>
          <w:rFonts w:cs="Noto Serif"/>
          <w:b/>
          <w:bCs/>
          <w:i/>
          <w:iCs/>
          <w:sz w:val="18"/>
          <w:szCs w:val="18"/>
          <w:u w:val="single"/>
        </w:rPr>
        <w:t>leminde herhangi bir hukuka ayk</w:t>
      </w:r>
      <w:r w:rsidRPr="00C02E67">
        <w:rPr>
          <w:rFonts w:cs="Cambria"/>
          <w:b/>
          <w:bCs/>
          <w:i/>
          <w:iCs/>
          <w:sz w:val="18"/>
          <w:szCs w:val="18"/>
          <w:u w:val="single"/>
        </w:rPr>
        <w:t>ı</w:t>
      </w:r>
      <w:r w:rsidRPr="00C02E67">
        <w:rPr>
          <w:rFonts w:cs="Noto Serif"/>
          <w:b/>
          <w:bCs/>
          <w:i/>
          <w:iCs/>
          <w:sz w:val="18"/>
          <w:szCs w:val="18"/>
          <w:u w:val="single"/>
        </w:rPr>
        <w:t>r</w:t>
      </w:r>
      <w:r w:rsidRPr="00C02E67">
        <w:rPr>
          <w:rFonts w:cs="Cambria"/>
          <w:b/>
          <w:bCs/>
          <w:i/>
          <w:iCs/>
          <w:sz w:val="18"/>
          <w:szCs w:val="18"/>
          <w:u w:val="single"/>
        </w:rPr>
        <w:t>ı</w:t>
      </w:r>
      <w:r w:rsidRPr="00C02E67">
        <w:rPr>
          <w:rFonts w:cs="Noto Serif"/>
          <w:b/>
          <w:bCs/>
          <w:i/>
          <w:iCs/>
          <w:sz w:val="18"/>
          <w:szCs w:val="18"/>
          <w:u w:val="single"/>
        </w:rPr>
        <w:t>l</w:t>
      </w:r>
      <w:r w:rsidRPr="00C02E67">
        <w:rPr>
          <w:rFonts w:cs="Cambria"/>
          <w:b/>
          <w:bCs/>
          <w:i/>
          <w:iCs/>
          <w:sz w:val="18"/>
          <w:szCs w:val="18"/>
          <w:u w:val="single"/>
        </w:rPr>
        <w:t>ı</w:t>
      </w:r>
      <w:r w:rsidRPr="00C02E67">
        <w:rPr>
          <w:rFonts w:cs="Noto Serif"/>
          <w:b/>
          <w:bCs/>
          <w:i/>
          <w:iCs/>
          <w:sz w:val="18"/>
          <w:szCs w:val="18"/>
          <w:u w:val="single"/>
        </w:rPr>
        <w:t>k bulunmamaktad</w:t>
      </w:r>
      <w:r w:rsidRPr="00C02E67">
        <w:rPr>
          <w:rFonts w:cs="Cambria"/>
          <w:b/>
          <w:bCs/>
          <w:i/>
          <w:iCs/>
          <w:sz w:val="18"/>
          <w:szCs w:val="18"/>
          <w:u w:val="single"/>
        </w:rPr>
        <w:t>ı</w:t>
      </w:r>
      <w:r w:rsidRPr="00C02E67">
        <w:rPr>
          <w:rFonts w:cs="Noto Serif"/>
          <w:b/>
          <w:bCs/>
          <w:i/>
          <w:iCs/>
          <w:sz w:val="18"/>
          <w:szCs w:val="18"/>
          <w:u w:val="single"/>
        </w:rPr>
        <w:t xml:space="preserve">r.” </w:t>
      </w:r>
      <w:r w:rsidRPr="00C02E67">
        <w:rPr>
          <w:rFonts w:cs="Noto Serif"/>
          <w:sz w:val="18"/>
          <w:szCs w:val="18"/>
        </w:rPr>
        <w:t>Yarg</w:t>
      </w:r>
      <w:r w:rsidRPr="00C02E67">
        <w:rPr>
          <w:rFonts w:cs="Cambria"/>
          <w:sz w:val="18"/>
          <w:szCs w:val="18"/>
        </w:rPr>
        <w:t>ı</w:t>
      </w:r>
      <w:r w:rsidRPr="00C02E67">
        <w:rPr>
          <w:rFonts w:cs="Noto Serif"/>
          <w:sz w:val="18"/>
          <w:szCs w:val="18"/>
        </w:rPr>
        <w:t>tay 16. Ceza Dairesinin 24/4/2017 T., 2015/3 E., 2017/3 K. say</w:t>
      </w:r>
      <w:r w:rsidRPr="00C02E67">
        <w:rPr>
          <w:rFonts w:cs="Cambria"/>
          <w:sz w:val="18"/>
          <w:szCs w:val="18"/>
        </w:rPr>
        <w:t>ı</w:t>
      </w:r>
      <w:r w:rsidRPr="00C02E67">
        <w:rPr>
          <w:rFonts w:cs="Noto Serif"/>
          <w:sz w:val="18"/>
          <w:szCs w:val="18"/>
        </w:rPr>
        <w:t>l</w:t>
      </w:r>
      <w:r w:rsidRPr="00C02E67">
        <w:rPr>
          <w:rFonts w:cs="Cambria"/>
          <w:sz w:val="18"/>
          <w:szCs w:val="18"/>
        </w:rPr>
        <w:t>ı</w:t>
      </w:r>
      <w:r w:rsidRPr="00C02E67">
        <w:rPr>
          <w:rFonts w:cs="Noto Serif"/>
          <w:sz w:val="18"/>
          <w:szCs w:val="18"/>
        </w:rPr>
        <w:t xml:space="preserve"> Karar</w:t>
      </w:r>
      <w:r w:rsidRPr="00C02E67">
        <w:rPr>
          <w:rFonts w:cs="Cambria"/>
          <w:sz w:val="18"/>
          <w:szCs w:val="18"/>
        </w:rPr>
        <w:t>ı</w:t>
      </w:r>
      <w:r w:rsidRPr="00C02E67">
        <w:rPr>
          <w:rFonts w:cs="Noto Serif"/>
          <w:b/>
          <w:bCs/>
          <w:sz w:val="18"/>
          <w:szCs w:val="18"/>
        </w:rPr>
        <w:t>;</w:t>
      </w:r>
      <w:r w:rsidRPr="00C02E67">
        <w:rPr>
          <w:rFonts w:cs="Noto Serif"/>
          <w:b/>
          <w:bCs/>
          <w:sz w:val="18"/>
          <w:szCs w:val="18"/>
          <w:u w:val="single"/>
        </w:rPr>
        <w:t xml:space="preserve"> </w:t>
      </w:r>
    </w:p>
    <w:p w14:paraId="24EF4C18" w14:textId="77777777" w:rsidR="00E52E47" w:rsidRPr="00C02E67" w:rsidRDefault="00E52E47" w:rsidP="00BD10C1">
      <w:pPr>
        <w:spacing w:after="0" w:line="240" w:lineRule="auto"/>
        <w:ind w:left="567" w:firstLine="0"/>
        <w:rPr>
          <w:rFonts w:cs="Noto Serif"/>
          <w:b/>
          <w:bCs/>
          <w:sz w:val="18"/>
          <w:szCs w:val="18"/>
          <w:u w:val="single"/>
        </w:rPr>
      </w:pPr>
      <w:r w:rsidRPr="00C02E67">
        <w:rPr>
          <w:rFonts w:cs="Noto Serif"/>
          <w:i/>
          <w:iCs/>
          <w:sz w:val="18"/>
          <w:szCs w:val="18"/>
        </w:rPr>
        <w:t>“Yukar</w:t>
      </w:r>
      <w:r w:rsidRPr="00C02E67">
        <w:rPr>
          <w:rFonts w:cs="Cambria"/>
          <w:i/>
          <w:iCs/>
          <w:sz w:val="18"/>
          <w:szCs w:val="18"/>
        </w:rPr>
        <w:t>ı</w:t>
      </w:r>
      <w:r w:rsidRPr="00C02E67">
        <w:rPr>
          <w:rFonts w:cs="Noto Serif"/>
          <w:i/>
          <w:iCs/>
          <w:sz w:val="18"/>
          <w:szCs w:val="18"/>
        </w:rPr>
        <w:t>da izah edildi</w:t>
      </w:r>
      <w:r w:rsidRPr="00C02E67">
        <w:rPr>
          <w:rFonts w:cs="Cambria"/>
          <w:i/>
          <w:iCs/>
          <w:sz w:val="18"/>
          <w:szCs w:val="18"/>
        </w:rPr>
        <w:t>ğ</w:t>
      </w:r>
      <w:r w:rsidRPr="00C02E67">
        <w:rPr>
          <w:rFonts w:cs="Noto Serif"/>
          <w:i/>
          <w:iCs/>
          <w:sz w:val="18"/>
          <w:szCs w:val="18"/>
        </w:rPr>
        <w:t xml:space="preserve">i üzere </w:t>
      </w:r>
      <w:r w:rsidRPr="00C02E67">
        <w:rPr>
          <w:rFonts w:cs="Noto Serif"/>
          <w:b/>
          <w:bCs/>
          <w:i/>
          <w:iCs/>
          <w:sz w:val="18"/>
          <w:szCs w:val="18"/>
          <w:u w:val="single"/>
        </w:rPr>
        <w:t>ByLock ileti</w:t>
      </w:r>
      <w:r w:rsidRPr="00C02E67">
        <w:rPr>
          <w:rFonts w:cs="Cambria"/>
          <w:b/>
          <w:bCs/>
          <w:i/>
          <w:iCs/>
          <w:sz w:val="18"/>
          <w:szCs w:val="18"/>
          <w:u w:val="single"/>
        </w:rPr>
        <w:t>ş</w:t>
      </w:r>
      <w:r w:rsidRPr="00C02E67">
        <w:rPr>
          <w:rFonts w:cs="Noto Serif"/>
          <w:b/>
          <w:bCs/>
          <w:i/>
          <w:iCs/>
          <w:sz w:val="18"/>
          <w:szCs w:val="18"/>
          <w:u w:val="single"/>
        </w:rPr>
        <w:t>im sisteminin kullan</w:t>
      </w:r>
      <w:r w:rsidRPr="00C02E67">
        <w:rPr>
          <w:rFonts w:cs="Cambria"/>
          <w:b/>
          <w:bCs/>
          <w:i/>
          <w:iCs/>
          <w:sz w:val="18"/>
          <w:szCs w:val="18"/>
          <w:u w:val="single"/>
        </w:rPr>
        <w:t>ı</w:t>
      </w:r>
      <w:r w:rsidRPr="00C02E67">
        <w:rPr>
          <w:rFonts w:cs="Noto Serif"/>
          <w:b/>
          <w:bCs/>
          <w:i/>
          <w:iCs/>
          <w:sz w:val="18"/>
          <w:szCs w:val="18"/>
          <w:u w:val="single"/>
        </w:rPr>
        <w:t>m</w:t>
      </w:r>
      <w:r w:rsidRPr="00C02E67">
        <w:rPr>
          <w:rFonts w:cs="Cambria"/>
          <w:b/>
          <w:bCs/>
          <w:i/>
          <w:iCs/>
          <w:sz w:val="18"/>
          <w:szCs w:val="18"/>
          <w:u w:val="single"/>
        </w:rPr>
        <w:t>ı</w:t>
      </w:r>
      <w:r w:rsidRPr="00C02E67">
        <w:rPr>
          <w:rFonts w:cs="Noto Serif"/>
          <w:b/>
          <w:bCs/>
          <w:i/>
          <w:iCs/>
          <w:sz w:val="18"/>
          <w:szCs w:val="18"/>
          <w:u w:val="single"/>
        </w:rPr>
        <w:t xml:space="preserve"> sonucunda olu</w:t>
      </w:r>
      <w:r w:rsidRPr="00C02E67">
        <w:rPr>
          <w:rFonts w:cs="Cambria"/>
          <w:b/>
          <w:bCs/>
          <w:i/>
          <w:iCs/>
          <w:sz w:val="18"/>
          <w:szCs w:val="18"/>
          <w:u w:val="single"/>
        </w:rPr>
        <w:t>ş</w:t>
      </w:r>
      <w:r w:rsidRPr="00C02E67">
        <w:rPr>
          <w:rFonts w:cs="Noto Serif"/>
          <w:b/>
          <w:bCs/>
          <w:i/>
          <w:iCs/>
          <w:sz w:val="18"/>
          <w:szCs w:val="18"/>
          <w:u w:val="single"/>
        </w:rPr>
        <w:t>an verilerin tespiti,</w:t>
      </w:r>
      <w:r w:rsidRPr="00C02E67">
        <w:rPr>
          <w:rFonts w:cs="Noto Serif"/>
          <w:i/>
          <w:iCs/>
          <w:sz w:val="18"/>
          <w:szCs w:val="18"/>
        </w:rPr>
        <w:t xml:space="preserve"> CMK'nun 135. maddesinin birinci f</w:t>
      </w:r>
      <w:r w:rsidRPr="00C02E67">
        <w:rPr>
          <w:rFonts w:cs="Cambria"/>
          <w:i/>
          <w:iCs/>
          <w:sz w:val="18"/>
          <w:szCs w:val="18"/>
        </w:rPr>
        <w:t>ı</w:t>
      </w:r>
      <w:r w:rsidRPr="00C02E67">
        <w:rPr>
          <w:rFonts w:cs="Noto Serif"/>
          <w:i/>
          <w:iCs/>
          <w:sz w:val="18"/>
          <w:szCs w:val="18"/>
        </w:rPr>
        <w:t>kras</w:t>
      </w:r>
      <w:r w:rsidRPr="00C02E67">
        <w:rPr>
          <w:rFonts w:cs="Cambria"/>
          <w:i/>
          <w:iCs/>
          <w:sz w:val="18"/>
          <w:szCs w:val="18"/>
        </w:rPr>
        <w:t>ı</w:t>
      </w:r>
      <w:r w:rsidRPr="00C02E67">
        <w:rPr>
          <w:rFonts w:cs="Noto Serif"/>
          <w:i/>
          <w:iCs/>
          <w:sz w:val="18"/>
          <w:szCs w:val="18"/>
        </w:rPr>
        <w:t xml:space="preserve"> veya 2937 say</w:t>
      </w:r>
      <w:r w:rsidRPr="00C02E67">
        <w:rPr>
          <w:rFonts w:cs="Cambria"/>
          <w:i/>
          <w:iCs/>
          <w:sz w:val="18"/>
          <w:szCs w:val="18"/>
        </w:rPr>
        <w:t>ı</w:t>
      </w:r>
      <w:r w:rsidRPr="00C02E67">
        <w:rPr>
          <w:rFonts w:cs="Noto Serif"/>
          <w:i/>
          <w:iCs/>
          <w:sz w:val="18"/>
          <w:szCs w:val="18"/>
        </w:rPr>
        <w:t>l</w:t>
      </w:r>
      <w:r w:rsidRPr="00C02E67">
        <w:rPr>
          <w:rFonts w:cs="Cambria"/>
          <w:i/>
          <w:iCs/>
          <w:sz w:val="18"/>
          <w:szCs w:val="18"/>
        </w:rPr>
        <w:t>ı</w:t>
      </w:r>
      <w:r w:rsidRPr="00C02E67">
        <w:rPr>
          <w:rFonts w:cs="Noto Serif"/>
          <w:i/>
          <w:iCs/>
          <w:sz w:val="18"/>
          <w:szCs w:val="18"/>
        </w:rPr>
        <w:t xml:space="preserve"> Kanunun 6. maddesinin ikinci f</w:t>
      </w:r>
      <w:r w:rsidRPr="00C02E67">
        <w:rPr>
          <w:rFonts w:cs="Cambria"/>
          <w:i/>
          <w:iCs/>
          <w:sz w:val="18"/>
          <w:szCs w:val="18"/>
        </w:rPr>
        <w:t>ı</w:t>
      </w:r>
      <w:r w:rsidRPr="00C02E67">
        <w:rPr>
          <w:rFonts w:cs="Noto Serif"/>
          <w:i/>
          <w:iCs/>
          <w:sz w:val="18"/>
          <w:szCs w:val="18"/>
        </w:rPr>
        <w:t>kras</w:t>
      </w:r>
      <w:r w:rsidRPr="00C02E67">
        <w:rPr>
          <w:rFonts w:cs="Cambria"/>
          <w:i/>
          <w:iCs/>
          <w:sz w:val="18"/>
          <w:szCs w:val="18"/>
        </w:rPr>
        <w:t>ı</w:t>
      </w:r>
      <w:r w:rsidRPr="00C02E67">
        <w:rPr>
          <w:rFonts w:cs="Noto Serif"/>
          <w:i/>
          <w:iCs/>
          <w:sz w:val="18"/>
          <w:szCs w:val="18"/>
        </w:rPr>
        <w:t xml:space="preserve"> kapsam</w:t>
      </w:r>
      <w:r w:rsidRPr="00C02E67">
        <w:rPr>
          <w:rFonts w:cs="Cambria"/>
          <w:i/>
          <w:iCs/>
          <w:sz w:val="18"/>
          <w:szCs w:val="18"/>
        </w:rPr>
        <w:t>ı</w:t>
      </w:r>
      <w:r w:rsidRPr="00C02E67">
        <w:rPr>
          <w:rFonts w:cs="Noto Serif"/>
          <w:i/>
          <w:iCs/>
          <w:sz w:val="18"/>
          <w:szCs w:val="18"/>
        </w:rPr>
        <w:t>nda olmay</w:t>
      </w:r>
      <w:r w:rsidRPr="00C02E67">
        <w:rPr>
          <w:rFonts w:cs="Cambria"/>
          <w:i/>
          <w:iCs/>
          <w:sz w:val="18"/>
          <w:szCs w:val="18"/>
        </w:rPr>
        <w:t>ı</w:t>
      </w:r>
      <w:r w:rsidRPr="00C02E67">
        <w:rPr>
          <w:rFonts w:cs="Noto Serif"/>
          <w:i/>
          <w:iCs/>
          <w:sz w:val="18"/>
          <w:szCs w:val="18"/>
        </w:rPr>
        <w:t xml:space="preserve">p </w:t>
      </w:r>
      <w:r w:rsidRPr="00C02E67">
        <w:rPr>
          <w:rFonts w:cs="Noto Serif"/>
          <w:b/>
          <w:bCs/>
          <w:i/>
          <w:iCs/>
          <w:sz w:val="18"/>
          <w:szCs w:val="18"/>
          <w:u w:val="single"/>
        </w:rPr>
        <w:t>CMK'nun</w:t>
      </w:r>
      <w:r w:rsidRPr="00C02E67">
        <w:rPr>
          <w:rFonts w:cs="Noto Serif"/>
          <w:i/>
          <w:iCs/>
          <w:sz w:val="18"/>
          <w:szCs w:val="18"/>
        </w:rPr>
        <w:t xml:space="preserve"> "bilgisayarlarda, bilgisayar programlar</w:t>
      </w:r>
      <w:r w:rsidRPr="00C02E67">
        <w:rPr>
          <w:rFonts w:cs="Cambria"/>
          <w:i/>
          <w:iCs/>
          <w:sz w:val="18"/>
          <w:szCs w:val="18"/>
        </w:rPr>
        <w:t>ı</w:t>
      </w:r>
      <w:r w:rsidRPr="00C02E67">
        <w:rPr>
          <w:rFonts w:cs="Noto Serif"/>
          <w:i/>
          <w:iCs/>
          <w:sz w:val="18"/>
          <w:szCs w:val="18"/>
        </w:rPr>
        <w:t>nda ve kütüklerinde arama, kopyalama ve elkoyma" ba</w:t>
      </w:r>
      <w:r w:rsidRPr="00C02E67">
        <w:rPr>
          <w:rFonts w:cs="Cambria"/>
          <w:i/>
          <w:iCs/>
          <w:sz w:val="18"/>
          <w:szCs w:val="18"/>
        </w:rPr>
        <w:t>ş</w:t>
      </w:r>
      <w:r w:rsidRPr="00C02E67">
        <w:rPr>
          <w:rFonts w:cs="Noto Serif"/>
          <w:i/>
          <w:iCs/>
          <w:sz w:val="18"/>
          <w:szCs w:val="18"/>
        </w:rPr>
        <w:t>l</w:t>
      </w:r>
      <w:r w:rsidRPr="00C02E67">
        <w:rPr>
          <w:rFonts w:cs="Cambria"/>
          <w:i/>
          <w:iCs/>
          <w:sz w:val="18"/>
          <w:szCs w:val="18"/>
        </w:rPr>
        <w:t>ı</w:t>
      </w:r>
      <w:r w:rsidRPr="00C02E67">
        <w:rPr>
          <w:rFonts w:cs="Noto Serif"/>
          <w:i/>
          <w:iCs/>
          <w:sz w:val="18"/>
          <w:szCs w:val="18"/>
        </w:rPr>
        <w:t>kl</w:t>
      </w:r>
      <w:r w:rsidRPr="00C02E67">
        <w:rPr>
          <w:rFonts w:cs="Cambria"/>
          <w:i/>
          <w:iCs/>
          <w:sz w:val="18"/>
          <w:szCs w:val="18"/>
        </w:rPr>
        <w:t>ı</w:t>
      </w:r>
      <w:r w:rsidRPr="00C02E67">
        <w:rPr>
          <w:rFonts w:cs="Noto Serif"/>
          <w:i/>
          <w:iCs/>
          <w:sz w:val="18"/>
          <w:szCs w:val="18"/>
        </w:rPr>
        <w:t xml:space="preserve"> </w:t>
      </w:r>
      <w:r w:rsidRPr="00C02E67">
        <w:rPr>
          <w:rFonts w:cs="Noto Serif"/>
          <w:b/>
          <w:bCs/>
          <w:i/>
          <w:iCs/>
          <w:sz w:val="18"/>
          <w:szCs w:val="18"/>
          <w:u w:val="single"/>
        </w:rPr>
        <w:t>134. maddesinin birinci f</w:t>
      </w:r>
      <w:r w:rsidRPr="00C02E67">
        <w:rPr>
          <w:rFonts w:cs="Cambria"/>
          <w:b/>
          <w:bCs/>
          <w:i/>
          <w:iCs/>
          <w:sz w:val="18"/>
          <w:szCs w:val="18"/>
          <w:u w:val="single"/>
        </w:rPr>
        <w:t>ı</w:t>
      </w:r>
      <w:r w:rsidRPr="00C02E67">
        <w:rPr>
          <w:rFonts w:cs="Noto Serif"/>
          <w:b/>
          <w:bCs/>
          <w:i/>
          <w:iCs/>
          <w:sz w:val="18"/>
          <w:szCs w:val="18"/>
          <w:u w:val="single"/>
        </w:rPr>
        <w:t>kras</w:t>
      </w:r>
      <w:r w:rsidRPr="00C02E67">
        <w:rPr>
          <w:rFonts w:cs="Cambria"/>
          <w:b/>
          <w:bCs/>
          <w:i/>
          <w:iCs/>
          <w:sz w:val="18"/>
          <w:szCs w:val="18"/>
          <w:u w:val="single"/>
        </w:rPr>
        <w:t>ı</w:t>
      </w:r>
      <w:r w:rsidRPr="00C02E67">
        <w:rPr>
          <w:rFonts w:cs="Noto Serif"/>
          <w:b/>
          <w:bCs/>
          <w:i/>
          <w:iCs/>
          <w:sz w:val="18"/>
          <w:szCs w:val="18"/>
          <w:u w:val="single"/>
        </w:rPr>
        <w:t xml:space="preserve"> kapsam</w:t>
      </w:r>
      <w:r w:rsidRPr="00C02E67">
        <w:rPr>
          <w:rFonts w:cs="Cambria"/>
          <w:b/>
          <w:bCs/>
          <w:i/>
          <w:iCs/>
          <w:sz w:val="18"/>
          <w:szCs w:val="18"/>
          <w:u w:val="single"/>
        </w:rPr>
        <w:t>ı</w:t>
      </w:r>
      <w:r w:rsidRPr="00C02E67">
        <w:rPr>
          <w:rFonts w:cs="Noto Serif"/>
          <w:b/>
          <w:bCs/>
          <w:i/>
          <w:iCs/>
          <w:sz w:val="18"/>
          <w:szCs w:val="18"/>
          <w:u w:val="single"/>
        </w:rPr>
        <w:t>ndad</w:t>
      </w:r>
      <w:r w:rsidRPr="00C02E67">
        <w:rPr>
          <w:rFonts w:cs="Cambria"/>
          <w:b/>
          <w:bCs/>
          <w:i/>
          <w:iCs/>
          <w:sz w:val="18"/>
          <w:szCs w:val="18"/>
          <w:u w:val="single"/>
        </w:rPr>
        <w:t>ı</w:t>
      </w:r>
      <w:r w:rsidRPr="00C02E67">
        <w:rPr>
          <w:rFonts w:cs="Noto Serif"/>
          <w:b/>
          <w:bCs/>
          <w:i/>
          <w:iCs/>
          <w:sz w:val="18"/>
          <w:szCs w:val="18"/>
          <w:u w:val="single"/>
        </w:rPr>
        <w:t>r.</w:t>
      </w:r>
      <w:r w:rsidRPr="00C02E67">
        <w:rPr>
          <w:rFonts w:cs="Noto Serif"/>
          <w:i/>
          <w:iCs/>
          <w:sz w:val="18"/>
          <w:szCs w:val="18"/>
        </w:rPr>
        <w:t xml:space="preserve"> Bu sebeple M</w:t>
      </w:r>
      <w:r w:rsidRPr="00C02E67">
        <w:rPr>
          <w:rFonts w:cs="Cambria"/>
          <w:i/>
          <w:iCs/>
          <w:sz w:val="18"/>
          <w:szCs w:val="18"/>
        </w:rPr>
        <w:t>İ</w:t>
      </w:r>
      <w:r w:rsidRPr="00C02E67">
        <w:rPr>
          <w:rFonts w:cs="Noto Serif"/>
          <w:i/>
          <w:iCs/>
          <w:sz w:val="18"/>
          <w:szCs w:val="18"/>
        </w:rPr>
        <w:t>T taraf</w:t>
      </w:r>
      <w:r w:rsidRPr="00C02E67">
        <w:rPr>
          <w:rFonts w:cs="Cambria"/>
          <w:i/>
          <w:iCs/>
          <w:sz w:val="18"/>
          <w:szCs w:val="18"/>
        </w:rPr>
        <w:t>ı</w:t>
      </w:r>
      <w:r w:rsidRPr="00C02E67">
        <w:rPr>
          <w:rFonts w:cs="Noto Serif"/>
          <w:i/>
          <w:iCs/>
          <w:sz w:val="18"/>
          <w:szCs w:val="18"/>
        </w:rPr>
        <w:t xml:space="preserve">ndan AKSSS'nin 32 ve </w:t>
      </w:r>
      <w:r w:rsidRPr="00C02E67">
        <w:rPr>
          <w:rFonts w:cs="Noto Serif"/>
          <w:b/>
          <w:bCs/>
          <w:i/>
          <w:iCs/>
          <w:sz w:val="18"/>
          <w:szCs w:val="18"/>
          <w:u w:val="single"/>
        </w:rPr>
        <w:t>2937 say</w:t>
      </w:r>
      <w:r w:rsidRPr="00C02E67">
        <w:rPr>
          <w:rFonts w:cs="Cambria"/>
          <w:b/>
          <w:bCs/>
          <w:i/>
          <w:iCs/>
          <w:sz w:val="18"/>
          <w:szCs w:val="18"/>
          <w:u w:val="single"/>
        </w:rPr>
        <w:t>ı</w:t>
      </w:r>
      <w:r w:rsidRPr="00C02E67">
        <w:rPr>
          <w:rFonts w:cs="Noto Serif"/>
          <w:b/>
          <w:bCs/>
          <w:i/>
          <w:iCs/>
          <w:sz w:val="18"/>
          <w:szCs w:val="18"/>
          <w:u w:val="single"/>
        </w:rPr>
        <w:t>l</w:t>
      </w:r>
      <w:r w:rsidRPr="00C02E67">
        <w:rPr>
          <w:rFonts w:cs="Cambria"/>
          <w:b/>
          <w:bCs/>
          <w:i/>
          <w:iCs/>
          <w:sz w:val="18"/>
          <w:szCs w:val="18"/>
          <w:u w:val="single"/>
        </w:rPr>
        <w:t>ı</w:t>
      </w:r>
      <w:r w:rsidRPr="00C02E67">
        <w:rPr>
          <w:rFonts w:cs="Noto Serif"/>
          <w:b/>
          <w:bCs/>
          <w:i/>
          <w:iCs/>
          <w:sz w:val="18"/>
          <w:szCs w:val="18"/>
          <w:u w:val="single"/>
        </w:rPr>
        <w:t xml:space="preserve"> Kanunun 4. maddesinin birinci f</w:t>
      </w:r>
      <w:r w:rsidRPr="00C02E67">
        <w:rPr>
          <w:rFonts w:cs="Cambria"/>
          <w:b/>
          <w:bCs/>
          <w:i/>
          <w:iCs/>
          <w:sz w:val="18"/>
          <w:szCs w:val="18"/>
          <w:u w:val="single"/>
        </w:rPr>
        <w:t>ı</w:t>
      </w:r>
      <w:r w:rsidRPr="00C02E67">
        <w:rPr>
          <w:rFonts w:cs="Noto Serif"/>
          <w:b/>
          <w:bCs/>
          <w:i/>
          <w:iCs/>
          <w:sz w:val="18"/>
          <w:szCs w:val="18"/>
          <w:u w:val="single"/>
        </w:rPr>
        <w:t>kras</w:t>
      </w:r>
      <w:r w:rsidRPr="00C02E67">
        <w:rPr>
          <w:rFonts w:cs="Cambria"/>
          <w:b/>
          <w:bCs/>
          <w:i/>
          <w:iCs/>
          <w:sz w:val="18"/>
          <w:szCs w:val="18"/>
          <w:u w:val="single"/>
        </w:rPr>
        <w:t>ı</w:t>
      </w:r>
      <w:r w:rsidRPr="00C02E67">
        <w:rPr>
          <w:rFonts w:cs="Noto Serif"/>
          <w:b/>
          <w:bCs/>
          <w:i/>
          <w:iCs/>
          <w:sz w:val="18"/>
          <w:szCs w:val="18"/>
          <w:u w:val="single"/>
        </w:rPr>
        <w:t>n</w:t>
      </w:r>
      <w:r w:rsidRPr="00C02E67">
        <w:rPr>
          <w:rFonts w:cs="Cambria"/>
          <w:b/>
          <w:bCs/>
          <w:i/>
          <w:iCs/>
          <w:sz w:val="18"/>
          <w:szCs w:val="18"/>
          <w:u w:val="single"/>
        </w:rPr>
        <w:t>ı</w:t>
      </w:r>
      <w:r w:rsidRPr="00C02E67">
        <w:rPr>
          <w:rFonts w:cs="Noto Serif"/>
          <w:b/>
          <w:bCs/>
          <w:i/>
          <w:iCs/>
          <w:sz w:val="18"/>
          <w:szCs w:val="18"/>
          <w:u w:val="single"/>
        </w:rPr>
        <w:t>n (i) bendi ile 6. maddesinin birinci f</w:t>
      </w:r>
      <w:r w:rsidRPr="00C02E67">
        <w:rPr>
          <w:rFonts w:cs="Cambria"/>
          <w:b/>
          <w:bCs/>
          <w:i/>
          <w:iCs/>
          <w:sz w:val="18"/>
          <w:szCs w:val="18"/>
          <w:u w:val="single"/>
        </w:rPr>
        <w:t>ı</w:t>
      </w:r>
      <w:r w:rsidRPr="00C02E67">
        <w:rPr>
          <w:rFonts w:cs="Noto Serif"/>
          <w:b/>
          <w:bCs/>
          <w:i/>
          <w:iCs/>
          <w:sz w:val="18"/>
          <w:szCs w:val="18"/>
          <w:u w:val="single"/>
        </w:rPr>
        <w:t>kras</w:t>
      </w:r>
      <w:r w:rsidRPr="00C02E67">
        <w:rPr>
          <w:rFonts w:cs="Cambria"/>
          <w:b/>
          <w:bCs/>
          <w:i/>
          <w:iCs/>
          <w:sz w:val="18"/>
          <w:szCs w:val="18"/>
          <w:u w:val="single"/>
        </w:rPr>
        <w:t>ı</w:t>
      </w:r>
      <w:r w:rsidRPr="00C02E67">
        <w:rPr>
          <w:rFonts w:cs="Noto Serif"/>
          <w:b/>
          <w:bCs/>
          <w:i/>
          <w:iCs/>
          <w:sz w:val="18"/>
          <w:szCs w:val="18"/>
          <w:u w:val="single"/>
        </w:rPr>
        <w:t>n</w:t>
      </w:r>
      <w:r w:rsidRPr="00C02E67">
        <w:rPr>
          <w:rFonts w:cs="Cambria"/>
          <w:b/>
          <w:bCs/>
          <w:i/>
          <w:iCs/>
          <w:sz w:val="18"/>
          <w:szCs w:val="18"/>
          <w:u w:val="single"/>
        </w:rPr>
        <w:t>ı</w:t>
      </w:r>
      <w:r w:rsidRPr="00C02E67">
        <w:rPr>
          <w:rFonts w:cs="Noto Serif"/>
          <w:b/>
          <w:bCs/>
          <w:i/>
          <w:iCs/>
          <w:sz w:val="18"/>
          <w:szCs w:val="18"/>
          <w:u w:val="single"/>
        </w:rPr>
        <w:t xml:space="preserve">n (d) ve (g) bentlerine uygun </w:t>
      </w:r>
      <w:r w:rsidRPr="00C02E67">
        <w:rPr>
          <w:rFonts w:cs="Cambria"/>
          <w:b/>
          <w:bCs/>
          <w:i/>
          <w:iCs/>
          <w:sz w:val="18"/>
          <w:szCs w:val="18"/>
          <w:u w:val="single"/>
        </w:rPr>
        <w:t>ş</w:t>
      </w:r>
      <w:r w:rsidRPr="00C02E67">
        <w:rPr>
          <w:rFonts w:cs="Noto Serif"/>
          <w:b/>
          <w:bCs/>
          <w:i/>
          <w:iCs/>
          <w:sz w:val="18"/>
          <w:szCs w:val="18"/>
          <w:u w:val="single"/>
        </w:rPr>
        <w:t>ekilde elde edilen</w:t>
      </w:r>
      <w:r w:rsidRPr="00C02E67">
        <w:rPr>
          <w:rFonts w:cs="Noto Serif"/>
          <w:i/>
          <w:iCs/>
          <w:sz w:val="18"/>
          <w:szCs w:val="18"/>
        </w:rPr>
        <w:t xml:space="preserve"> ByLock'a ili</w:t>
      </w:r>
      <w:r w:rsidRPr="00C02E67">
        <w:rPr>
          <w:rFonts w:cs="Cambria"/>
          <w:i/>
          <w:iCs/>
          <w:sz w:val="18"/>
          <w:szCs w:val="18"/>
        </w:rPr>
        <w:t>ş</w:t>
      </w:r>
      <w:r w:rsidRPr="00C02E67">
        <w:rPr>
          <w:rFonts w:cs="Noto Serif"/>
          <w:i/>
          <w:iCs/>
          <w:sz w:val="18"/>
          <w:szCs w:val="18"/>
        </w:rPr>
        <w:t>kin dijital materyaller hakk</w:t>
      </w:r>
      <w:r w:rsidRPr="00C02E67">
        <w:rPr>
          <w:rFonts w:cs="Cambria"/>
          <w:i/>
          <w:iCs/>
          <w:sz w:val="18"/>
          <w:szCs w:val="18"/>
        </w:rPr>
        <w:t>ı</w:t>
      </w:r>
      <w:r w:rsidRPr="00C02E67">
        <w:rPr>
          <w:rFonts w:cs="Noto Serif"/>
          <w:i/>
          <w:iCs/>
          <w:sz w:val="18"/>
          <w:szCs w:val="18"/>
        </w:rPr>
        <w:t xml:space="preserve">nda </w:t>
      </w:r>
      <w:r w:rsidRPr="00C02E67">
        <w:rPr>
          <w:rFonts w:cs="Noto Serif"/>
          <w:b/>
          <w:bCs/>
          <w:i/>
          <w:iCs/>
          <w:sz w:val="18"/>
          <w:szCs w:val="18"/>
          <w:u w:val="single"/>
        </w:rPr>
        <w:t>Ankara Cumhuriyet Ba</w:t>
      </w:r>
      <w:r w:rsidRPr="00C02E67">
        <w:rPr>
          <w:rFonts w:cs="Cambria"/>
          <w:b/>
          <w:bCs/>
          <w:i/>
          <w:iCs/>
          <w:sz w:val="18"/>
          <w:szCs w:val="18"/>
          <w:u w:val="single"/>
        </w:rPr>
        <w:t>ş</w:t>
      </w:r>
      <w:r w:rsidRPr="00C02E67">
        <w:rPr>
          <w:rFonts w:cs="Noto Serif"/>
          <w:b/>
          <w:bCs/>
          <w:i/>
          <w:iCs/>
          <w:sz w:val="18"/>
          <w:szCs w:val="18"/>
          <w:u w:val="single"/>
        </w:rPr>
        <w:t>savc</w:t>
      </w:r>
      <w:r w:rsidRPr="00C02E67">
        <w:rPr>
          <w:rFonts w:cs="Cambria"/>
          <w:b/>
          <w:bCs/>
          <w:i/>
          <w:iCs/>
          <w:sz w:val="18"/>
          <w:szCs w:val="18"/>
          <w:u w:val="single"/>
        </w:rPr>
        <w:t>ı</w:t>
      </w:r>
      <w:r w:rsidRPr="00C02E67">
        <w:rPr>
          <w:rFonts w:cs="Noto Serif"/>
          <w:b/>
          <w:bCs/>
          <w:i/>
          <w:iCs/>
          <w:sz w:val="18"/>
          <w:szCs w:val="18"/>
          <w:u w:val="single"/>
        </w:rPr>
        <w:t>l</w:t>
      </w:r>
      <w:r w:rsidRPr="00C02E67">
        <w:rPr>
          <w:rFonts w:cs="Cambria"/>
          <w:b/>
          <w:bCs/>
          <w:i/>
          <w:iCs/>
          <w:sz w:val="18"/>
          <w:szCs w:val="18"/>
          <w:u w:val="single"/>
        </w:rPr>
        <w:t>ığı</w:t>
      </w:r>
      <w:r w:rsidRPr="00C02E67">
        <w:rPr>
          <w:rFonts w:cs="Noto Serif"/>
          <w:b/>
          <w:bCs/>
          <w:i/>
          <w:iCs/>
          <w:sz w:val="18"/>
          <w:szCs w:val="18"/>
          <w:u w:val="single"/>
        </w:rPr>
        <w:t>n</w:t>
      </w:r>
      <w:r w:rsidRPr="00C02E67">
        <w:rPr>
          <w:rFonts w:cs="Cambria"/>
          <w:b/>
          <w:bCs/>
          <w:i/>
          <w:iCs/>
          <w:sz w:val="18"/>
          <w:szCs w:val="18"/>
          <w:u w:val="single"/>
        </w:rPr>
        <w:t>ı</w:t>
      </w:r>
      <w:r w:rsidRPr="00C02E67">
        <w:rPr>
          <w:rFonts w:cs="Noto Serif"/>
          <w:b/>
          <w:bCs/>
          <w:i/>
          <w:iCs/>
          <w:sz w:val="18"/>
          <w:szCs w:val="18"/>
          <w:u w:val="single"/>
        </w:rPr>
        <w:t>n talebi üzerine CMK'nun 134. maddesi gere</w:t>
      </w:r>
      <w:r w:rsidRPr="00C02E67">
        <w:rPr>
          <w:rFonts w:cs="Cambria"/>
          <w:b/>
          <w:bCs/>
          <w:i/>
          <w:iCs/>
          <w:sz w:val="18"/>
          <w:szCs w:val="18"/>
          <w:u w:val="single"/>
        </w:rPr>
        <w:t>ğ</w:t>
      </w:r>
      <w:r w:rsidRPr="00C02E67">
        <w:rPr>
          <w:rFonts w:cs="Noto Serif"/>
          <w:b/>
          <w:bCs/>
          <w:i/>
          <w:iCs/>
          <w:sz w:val="18"/>
          <w:szCs w:val="18"/>
          <w:u w:val="single"/>
        </w:rPr>
        <w:t>ince Ankara 4. Sulh Ceza Hâkimli</w:t>
      </w:r>
      <w:r w:rsidRPr="00C02E67">
        <w:rPr>
          <w:rFonts w:cs="Cambria"/>
          <w:b/>
          <w:bCs/>
          <w:i/>
          <w:iCs/>
          <w:sz w:val="18"/>
          <w:szCs w:val="18"/>
          <w:u w:val="single"/>
        </w:rPr>
        <w:t>ğ</w:t>
      </w:r>
      <w:r w:rsidRPr="00C02E67">
        <w:rPr>
          <w:rFonts w:cs="Noto Serif"/>
          <w:b/>
          <w:bCs/>
          <w:i/>
          <w:iCs/>
          <w:sz w:val="18"/>
          <w:szCs w:val="18"/>
          <w:u w:val="single"/>
        </w:rPr>
        <w:t>i taraf</w:t>
      </w:r>
      <w:r w:rsidRPr="00C02E67">
        <w:rPr>
          <w:rFonts w:cs="Cambria"/>
          <w:b/>
          <w:bCs/>
          <w:i/>
          <w:iCs/>
          <w:sz w:val="18"/>
          <w:szCs w:val="18"/>
          <w:u w:val="single"/>
        </w:rPr>
        <w:t>ı</w:t>
      </w:r>
      <w:r w:rsidRPr="00C02E67">
        <w:rPr>
          <w:rFonts w:cs="Noto Serif"/>
          <w:b/>
          <w:bCs/>
          <w:i/>
          <w:iCs/>
          <w:sz w:val="18"/>
          <w:szCs w:val="18"/>
          <w:u w:val="single"/>
        </w:rPr>
        <w:t>ndan verilen “inceleme, kopyalama ve çözümleme” karar</w:t>
      </w:r>
      <w:r w:rsidRPr="00C02E67">
        <w:rPr>
          <w:rFonts w:cs="Cambria"/>
          <w:b/>
          <w:bCs/>
          <w:i/>
          <w:iCs/>
          <w:sz w:val="18"/>
          <w:szCs w:val="18"/>
          <w:u w:val="single"/>
        </w:rPr>
        <w:t>ı</w:t>
      </w:r>
      <w:r w:rsidRPr="00C02E67">
        <w:rPr>
          <w:rFonts w:cs="Noto Serif"/>
          <w:b/>
          <w:bCs/>
          <w:i/>
          <w:iCs/>
          <w:sz w:val="18"/>
          <w:szCs w:val="18"/>
          <w:u w:val="single"/>
        </w:rPr>
        <w:t>na istinaden bilgisayar ve bilgisayar kütüklerindeki iletilerin tespiti i</w:t>
      </w:r>
      <w:r w:rsidRPr="00C02E67">
        <w:rPr>
          <w:rFonts w:cs="Cambria"/>
          <w:b/>
          <w:bCs/>
          <w:i/>
          <w:iCs/>
          <w:sz w:val="18"/>
          <w:szCs w:val="18"/>
          <w:u w:val="single"/>
        </w:rPr>
        <w:t>ş</w:t>
      </w:r>
      <w:r w:rsidRPr="00C02E67">
        <w:rPr>
          <w:rFonts w:cs="Noto Serif"/>
          <w:b/>
          <w:bCs/>
          <w:i/>
          <w:iCs/>
          <w:sz w:val="18"/>
          <w:szCs w:val="18"/>
          <w:u w:val="single"/>
        </w:rPr>
        <w:t>leminde herhangi bir hukuka ayk</w:t>
      </w:r>
      <w:r w:rsidRPr="00C02E67">
        <w:rPr>
          <w:rFonts w:cs="Cambria"/>
          <w:b/>
          <w:bCs/>
          <w:i/>
          <w:iCs/>
          <w:sz w:val="18"/>
          <w:szCs w:val="18"/>
          <w:u w:val="single"/>
        </w:rPr>
        <w:t>ı</w:t>
      </w:r>
      <w:r w:rsidRPr="00C02E67">
        <w:rPr>
          <w:rFonts w:cs="Noto Serif"/>
          <w:b/>
          <w:bCs/>
          <w:i/>
          <w:iCs/>
          <w:sz w:val="18"/>
          <w:szCs w:val="18"/>
          <w:u w:val="single"/>
        </w:rPr>
        <w:t>r</w:t>
      </w:r>
      <w:r w:rsidRPr="00C02E67">
        <w:rPr>
          <w:rFonts w:cs="Cambria"/>
          <w:b/>
          <w:bCs/>
          <w:i/>
          <w:iCs/>
          <w:sz w:val="18"/>
          <w:szCs w:val="18"/>
          <w:u w:val="single"/>
        </w:rPr>
        <w:t>ı</w:t>
      </w:r>
      <w:r w:rsidRPr="00C02E67">
        <w:rPr>
          <w:rFonts w:cs="Noto Serif"/>
          <w:b/>
          <w:bCs/>
          <w:i/>
          <w:iCs/>
          <w:sz w:val="18"/>
          <w:szCs w:val="18"/>
          <w:u w:val="single"/>
        </w:rPr>
        <w:t>l</w:t>
      </w:r>
      <w:r w:rsidRPr="00C02E67">
        <w:rPr>
          <w:rFonts w:cs="Cambria"/>
          <w:b/>
          <w:bCs/>
          <w:i/>
          <w:iCs/>
          <w:sz w:val="18"/>
          <w:szCs w:val="18"/>
          <w:u w:val="single"/>
        </w:rPr>
        <w:t>ı</w:t>
      </w:r>
      <w:r w:rsidRPr="00C02E67">
        <w:rPr>
          <w:rFonts w:cs="Noto Serif"/>
          <w:b/>
          <w:bCs/>
          <w:i/>
          <w:iCs/>
          <w:sz w:val="18"/>
          <w:szCs w:val="18"/>
          <w:u w:val="single"/>
        </w:rPr>
        <w:t>k bulunmamaktad</w:t>
      </w:r>
      <w:r w:rsidRPr="00C02E67">
        <w:rPr>
          <w:rFonts w:cs="Cambria"/>
          <w:b/>
          <w:bCs/>
          <w:i/>
          <w:iCs/>
          <w:sz w:val="18"/>
          <w:szCs w:val="18"/>
          <w:u w:val="single"/>
        </w:rPr>
        <w:t>ı</w:t>
      </w:r>
      <w:r w:rsidRPr="00C02E67">
        <w:rPr>
          <w:rFonts w:cs="Noto Serif"/>
          <w:b/>
          <w:bCs/>
          <w:i/>
          <w:iCs/>
          <w:sz w:val="18"/>
          <w:szCs w:val="18"/>
          <w:u w:val="single"/>
        </w:rPr>
        <w:t xml:space="preserve">r.” </w:t>
      </w:r>
      <w:r w:rsidRPr="00C02E67">
        <w:rPr>
          <w:rFonts w:cs="Noto Serif"/>
          <w:sz w:val="18"/>
          <w:szCs w:val="18"/>
        </w:rPr>
        <w:t>Yarg</w:t>
      </w:r>
      <w:r w:rsidRPr="00C02E67">
        <w:rPr>
          <w:rFonts w:cs="Cambria"/>
          <w:sz w:val="18"/>
          <w:szCs w:val="18"/>
        </w:rPr>
        <w:t>ı</w:t>
      </w:r>
      <w:r w:rsidRPr="00C02E67">
        <w:rPr>
          <w:rFonts w:cs="Noto Serif"/>
          <w:sz w:val="18"/>
          <w:szCs w:val="18"/>
        </w:rPr>
        <w:t>tay Ceza Genel Kurulunun 26/9/2017 T., 2017/16.MD-956 E., 2017/370 K. say</w:t>
      </w:r>
      <w:r w:rsidRPr="00C02E67">
        <w:rPr>
          <w:rFonts w:cs="Cambria"/>
          <w:sz w:val="18"/>
          <w:szCs w:val="18"/>
        </w:rPr>
        <w:t>ı</w:t>
      </w:r>
      <w:r w:rsidRPr="00C02E67">
        <w:rPr>
          <w:rFonts w:cs="Noto Serif"/>
          <w:sz w:val="18"/>
          <w:szCs w:val="18"/>
        </w:rPr>
        <w:t>l</w:t>
      </w:r>
      <w:r w:rsidRPr="00C02E67">
        <w:rPr>
          <w:rFonts w:cs="Cambria"/>
          <w:sz w:val="18"/>
          <w:szCs w:val="18"/>
        </w:rPr>
        <w:t>ı</w:t>
      </w:r>
      <w:r w:rsidRPr="00C02E67">
        <w:rPr>
          <w:rFonts w:cs="Noto Serif"/>
          <w:sz w:val="18"/>
          <w:szCs w:val="18"/>
        </w:rPr>
        <w:t xml:space="preserve"> Karar</w:t>
      </w:r>
      <w:r w:rsidRPr="00C02E67">
        <w:rPr>
          <w:rFonts w:cs="Cambria"/>
          <w:sz w:val="18"/>
          <w:szCs w:val="18"/>
        </w:rPr>
        <w:t>ı</w:t>
      </w:r>
      <w:r w:rsidRPr="00C02E67">
        <w:rPr>
          <w:rFonts w:cs="Noto Serif"/>
          <w:sz w:val="18"/>
          <w:szCs w:val="18"/>
        </w:rPr>
        <w:t>.</w:t>
      </w:r>
    </w:p>
  </w:footnote>
  <w:footnote w:id="3">
    <w:p w14:paraId="0B46F1B7" w14:textId="58A2898F" w:rsidR="00E52E47" w:rsidRPr="00C02E67" w:rsidRDefault="00E52E47" w:rsidP="00BD10C1">
      <w:pPr>
        <w:spacing w:after="0" w:line="240" w:lineRule="auto"/>
        <w:ind w:left="567" w:hanging="567"/>
        <w:rPr>
          <w:rFonts w:cs="Noto Serif"/>
          <w:i/>
          <w:iCs/>
          <w:sz w:val="18"/>
          <w:szCs w:val="18"/>
          <w:shd w:val="clear" w:color="auto" w:fill="FFFFFF"/>
        </w:rPr>
      </w:pPr>
      <w:r w:rsidRPr="00C02E67">
        <w:rPr>
          <w:rStyle w:val="DipnotBavurusu"/>
          <w:rFonts w:cs="Noto Serif"/>
          <w:sz w:val="18"/>
          <w:szCs w:val="18"/>
          <w:vertAlign w:val="baseline"/>
        </w:rPr>
        <w:footnoteRef/>
      </w:r>
      <w:r w:rsidRPr="00C02E67">
        <w:rPr>
          <w:rFonts w:cs="Noto Serif"/>
          <w:i/>
          <w:iCs/>
          <w:sz w:val="18"/>
          <w:szCs w:val="18"/>
        </w:rPr>
        <w:t xml:space="preserve"> </w:t>
      </w:r>
      <w:r w:rsidRPr="00C02E67">
        <w:rPr>
          <w:rFonts w:cs="Noto Serif"/>
          <w:i/>
          <w:iCs/>
          <w:sz w:val="18"/>
          <w:szCs w:val="18"/>
        </w:rPr>
        <w:tab/>
        <w:t>“</w:t>
      </w:r>
      <w:r w:rsidRPr="00C02E67">
        <w:rPr>
          <w:rFonts w:cs="Noto Serif"/>
          <w:b/>
          <w:bCs/>
          <w:i/>
          <w:iCs/>
          <w:sz w:val="18"/>
          <w:szCs w:val="18"/>
          <w:shd w:val="clear" w:color="auto" w:fill="FFFFFF"/>
        </w:rPr>
        <w:t>133.</w:t>
      </w:r>
      <w:r w:rsidRPr="00C02E67">
        <w:rPr>
          <w:rFonts w:cs="Noto Serif"/>
          <w:i/>
          <w:iCs/>
          <w:sz w:val="18"/>
          <w:szCs w:val="18"/>
          <w:shd w:val="clear" w:color="auto" w:fill="FFFFFF"/>
        </w:rPr>
        <w:t xml:space="preserve"> M</w:t>
      </w:r>
      <w:r w:rsidRPr="00C02E67">
        <w:rPr>
          <w:rFonts w:cs="Cambria"/>
          <w:i/>
          <w:iCs/>
          <w:sz w:val="18"/>
          <w:szCs w:val="18"/>
          <w:shd w:val="clear" w:color="auto" w:fill="FFFFFF"/>
        </w:rPr>
        <w:t>İ</w:t>
      </w:r>
      <w:r w:rsidRPr="00C02E67">
        <w:rPr>
          <w:rFonts w:cs="Noto Serif"/>
          <w:i/>
          <w:iCs/>
          <w:sz w:val="18"/>
          <w:szCs w:val="18"/>
          <w:shd w:val="clear" w:color="auto" w:fill="FFFFFF"/>
        </w:rPr>
        <w:t>T 2937 say</w:t>
      </w:r>
      <w:r w:rsidRPr="00C02E67">
        <w:rPr>
          <w:rFonts w:cs="Cambria"/>
          <w:i/>
          <w:iCs/>
          <w:sz w:val="18"/>
          <w:szCs w:val="18"/>
          <w:shd w:val="clear" w:color="auto" w:fill="FFFFFF"/>
        </w:rPr>
        <w:t>ı</w:t>
      </w:r>
      <w:r w:rsidRPr="00C02E67">
        <w:rPr>
          <w:rFonts w:cs="Noto Serif"/>
          <w:i/>
          <w:iCs/>
          <w:sz w:val="18"/>
          <w:szCs w:val="18"/>
          <w:shd w:val="clear" w:color="auto" w:fill="FFFFFF"/>
        </w:rPr>
        <w:t>l</w:t>
      </w:r>
      <w:r w:rsidRPr="00C02E67">
        <w:rPr>
          <w:rFonts w:cs="Cambria"/>
          <w:i/>
          <w:iCs/>
          <w:sz w:val="18"/>
          <w:szCs w:val="18"/>
          <w:shd w:val="clear" w:color="auto" w:fill="FFFFFF"/>
        </w:rPr>
        <w:t>ı</w:t>
      </w:r>
      <w:r w:rsidRPr="00C02E67">
        <w:rPr>
          <w:rFonts w:cs="Noto Serif"/>
          <w:i/>
          <w:iCs/>
          <w:sz w:val="18"/>
          <w:szCs w:val="18"/>
          <w:shd w:val="clear" w:color="auto" w:fill="FFFFFF"/>
        </w:rPr>
        <w:t xml:space="preserve"> Kanun'un 4. ve 6. maddeleri kapsam</w:t>
      </w:r>
      <w:r w:rsidRPr="00C02E67">
        <w:rPr>
          <w:rFonts w:cs="Cambria"/>
          <w:i/>
          <w:iCs/>
          <w:sz w:val="18"/>
          <w:szCs w:val="18"/>
          <w:shd w:val="clear" w:color="auto" w:fill="FFFFFF"/>
        </w:rPr>
        <w:t>ı</w:t>
      </w:r>
      <w:r w:rsidRPr="00C02E67">
        <w:rPr>
          <w:rFonts w:cs="Noto Serif"/>
          <w:i/>
          <w:iCs/>
          <w:sz w:val="18"/>
          <w:szCs w:val="18"/>
          <w:shd w:val="clear" w:color="auto" w:fill="FFFFFF"/>
        </w:rPr>
        <w:t>ndaki görevlerini yerine getirirken rastlad</w:t>
      </w:r>
      <w:r w:rsidRPr="00C02E67">
        <w:rPr>
          <w:rFonts w:cs="Cambria"/>
          <w:i/>
          <w:iCs/>
          <w:sz w:val="18"/>
          <w:szCs w:val="18"/>
          <w:shd w:val="clear" w:color="auto" w:fill="FFFFFF"/>
        </w:rPr>
        <w:t>ığı</w:t>
      </w:r>
      <w:r w:rsidRPr="00C02E67">
        <w:rPr>
          <w:rFonts w:cs="Noto Serif"/>
          <w:i/>
          <w:iCs/>
          <w:sz w:val="18"/>
          <w:szCs w:val="18"/>
          <w:shd w:val="clear" w:color="auto" w:fill="FFFFFF"/>
        </w:rPr>
        <w:t xml:space="preserve"> FETÖ/PDY'ye ili</w:t>
      </w:r>
      <w:r w:rsidRPr="00C02E67">
        <w:rPr>
          <w:rFonts w:cs="Cambria"/>
          <w:i/>
          <w:iCs/>
          <w:sz w:val="18"/>
          <w:szCs w:val="18"/>
          <w:shd w:val="clear" w:color="auto" w:fill="FFFFFF"/>
        </w:rPr>
        <w:t>ş</w:t>
      </w:r>
      <w:r w:rsidRPr="00C02E67">
        <w:rPr>
          <w:rFonts w:cs="Noto Serif"/>
          <w:i/>
          <w:iCs/>
          <w:sz w:val="18"/>
          <w:szCs w:val="18"/>
          <w:shd w:val="clear" w:color="auto" w:fill="FFFFFF"/>
        </w:rPr>
        <w:t>kin bir veriyi adli makamlara/soru</w:t>
      </w:r>
      <w:r w:rsidRPr="00C02E67">
        <w:rPr>
          <w:rFonts w:cs="Cambria"/>
          <w:i/>
          <w:iCs/>
          <w:sz w:val="18"/>
          <w:szCs w:val="18"/>
          <w:shd w:val="clear" w:color="auto" w:fill="FFFFFF"/>
        </w:rPr>
        <w:t>ş</w:t>
      </w:r>
      <w:r w:rsidRPr="00C02E67">
        <w:rPr>
          <w:rFonts w:cs="Noto Serif"/>
          <w:i/>
          <w:iCs/>
          <w:sz w:val="18"/>
          <w:szCs w:val="18"/>
          <w:shd w:val="clear" w:color="auto" w:fill="FFFFFF"/>
        </w:rPr>
        <w:t>turma mercilerine (Ankara Cumhuriyet Ba</w:t>
      </w:r>
      <w:r w:rsidRPr="00C02E67">
        <w:rPr>
          <w:rFonts w:cs="Cambria"/>
          <w:i/>
          <w:iCs/>
          <w:sz w:val="18"/>
          <w:szCs w:val="18"/>
          <w:shd w:val="clear" w:color="auto" w:fill="FFFFFF"/>
        </w:rPr>
        <w:t>ş</w:t>
      </w:r>
      <w:r w:rsidRPr="00C02E67">
        <w:rPr>
          <w:rFonts w:cs="Noto Serif"/>
          <w:i/>
          <w:iCs/>
          <w:sz w:val="18"/>
          <w:szCs w:val="18"/>
          <w:shd w:val="clear" w:color="auto" w:fill="FFFFFF"/>
        </w:rPr>
        <w:t>savc</w:t>
      </w:r>
      <w:r w:rsidRPr="00C02E67">
        <w:rPr>
          <w:rFonts w:cs="Cambria"/>
          <w:i/>
          <w:iCs/>
          <w:sz w:val="18"/>
          <w:szCs w:val="18"/>
          <w:shd w:val="clear" w:color="auto" w:fill="FFFFFF"/>
        </w:rPr>
        <w:t>ı</w:t>
      </w:r>
      <w:r w:rsidRPr="00C02E67">
        <w:rPr>
          <w:rFonts w:cs="Noto Serif"/>
          <w:i/>
          <w:iCs/>
          <w:sz w:val="18"/>
          <w:szCs w:val="18"/>
          <w:shd w:val="clear" w:color="auto" w:fill="FFFFFF"/>
        </w:rPr>
        <w:t>l</w:t>
      </w:r>
      <w:r w:rsidRPr="00C02E67">
        <w:rPr>
          <w:rFonts w:cs="Cambria"/>
          <w:i/>
          <w:iCs/>
          <w:sz w:val="18"/>
          <w:szCs w:val="18"/>
          <w:shd w:val="clear" w:color="auto" w:fill="FFFFFF"/>
        </w:rPr>
        <w:t>ığı</w:t>
      </w:r>
      <w:r w:rsidRPr="00C02E67">
        <w:rPr>
          <w:rFonts w:cs="Noto Serif"/>
          <w:i/>
          <w:iCs/>
          <w:sz w:val="18"/>
          <w:szCs w:val="18"/>
          <w:shd w:val="clear" w:color="auto" w:fill="FFFFFF"/>
        </w:rPr>
        <w:t>na) iletmi</w:t>
      </w:r>
      <w:r w:rsidRPr="00C02E67">
        <w:rPr>
          <w:rFonts w:cs="Cambria"/>
          <w:i/>
          <w:iCs/>
          <w:sz w:val="18"/>
          <w:szCs w:val="18"/>
          <w:shd w:val="clear" w:color="auto" w:fill="FFFFFF"/>
        </w:rPr>
        <w:t>ş</w:t>
      </w:r>
      <w:r w:rsidRPr="00C02E67">
        <w:rPr>
          <w:rFonts w:cs="Noto Serif"/>
          <w:i/>
          <w:iCs/>
          <w:sz w:val="18"/>
          <w:szCs w:val="18"/>
          <w:shd w:val="clear" w:color="auto" w:fill="FFFFFF"/>
        </w:rPr>
        <w:t>tir. Kendi görev alan</w:t>
      </w:r>
      <w:r w:rsidRPr="00C02E67">
        <w:rPr>
          <w:rFonts w:cs="Cambria"/>
          <w:i/>
          <w:iCs/>
          <w:sz w:val="18"/>
          <w:szCs w:val="18"/>
          <w:shd w:val="clear" w:color="auto" w:fill="FFFFFF"/>
        </w:rPr>
        <w:t>ı</w:t>
      </w:r>
      <w:r w:rsidRPr="00C02E67">
        <w:rPr>
          <w:rFonts w:cs="Noto Serif"/>
          <w:i/>
          <w:iCs/>
          <w:sz w:val="18"/>
          <w:szCs w:val="18"/>
          <w:shd w:val="clear" w:color="auto" w:fill="FFFFFF"/>
        </w:rPr>
        <w:t>ndaki bir konuyla (terörle mücadele) ba</w:t>
      </w:r>
      <w:r w:rsidRPr="00C02E67">
        <w:rPr>
          <w:rFonts w:cs="Cambria"/>
          <w:i/>
          <w:iCs/>
          <w:sz w:val="18"/>
          <w:szCs w:val="18"/>
          <w:shd w:val="clear" w:color="auto" w:fill="FFFFFF"/>
        </w:rPr>
        <w:t>ğ</w:t>
      </w:r>
      <w:r w:rsidRPr="00C02E67">
        <w:rPr>
          <w:rFonts w:cs="Noto Serif"/>
          <w:i/>
          <w:iCs/>
          <w:sz w:val="18"/>
          <w:szCs w:val="18"/>
          <w:shd w:val="clear" w:color="auto" w:fill="FFFFFF"/>
        </w:rPr>
        <w:t>lant</w:t>
      </w:r>
      <w:r w:rsidRPr="00C02E67">
        <w:rPr>
          <w:rFonts w:cs="Cambria"/>
          <w:i/>
          <w:iCs/>
          <w:sz w:val="18"/>
          <w:szCs w:val="18"/>
          <w:shd w:val="clear" w:color="auto" w:fill="FFFFFF"/>
        </w:rPr>
        <w:t>ı</w:t>
      </w:r>
      <w:r w:rsidRPr="00C02E67">
        <w:rPr>
          <w:rFonts w:cs="Noto Serif"/>
          <w:i/>
          <w:iCs/>
          <w:sz w:val="18"/>
          <w:szCs w:val="18"/>
          <w:shd w:val="clear" w:color="auto" w:fill="FFFFFF"/>
        </w:rPr>
        <w:t>l</w:t>
      </w:r>
      <w:r w:rsidRPr="00C02E67">
        <w:rPr>
          <w:rFonts w:cs="Cambria"/>
          <w:i/>
          <w:iCs/>
          <w:sz w:val="18"/>
          <w:szCs w:val="18"/>
          <w:shd w:val="clear" w:color="auto" w:fill="FFFFFF"/>
        </w:rPr>
        <w:t>ı</w:t>
      </w:r>
      <w:r w:rsidRPr="00C02E67">
        <w:rPr>
          <w:rFonts w:cs="Noto Serif"/>
          <w:i/>
          <w:iCs/>
          <w:sz w:val="18"/>
          <w:szCs w:val="18"/>
          <w:shd w:val="clear" w:color="auto" w:fill="FFFFFF"/>
        </w:rPr>
        <w:t xml:space="preserve"> ve bir yasal temele dayal</w:t>
      </w:r>
      <w:r w:rsidRPr="00C02E67">
        <w:rPr>
          <w:rFonts w:cs="Cambria"/>
          <w:i/>
          <w:iCs/>
          <w:sz w:val="18"/>
          <w:szCs w:val="18"/>
          <w:shd w:val="clear" w:color="auto" w:fill="FFFFFF"/>
        </w:rPr>
        <w:t>ı</w:t>
      </w:r>
      <w:r w:rsidRPr="00C02E67">
        <w:rPr>
          <w:rFonts w:cs="Noto Serif"/>
          <w:i/>
          <w:iCs/>
          <w:sz w:val="18"/>
          <w:szCs w:val="18"/>
          <w:shd w:val="clear" w:color="auto" w:fill="FFFFFF"/>
        </w:rPr>
        <w:t xml:space="preserve"> olarak ö</w:t>
      </w:r>
      <w:r w:rsidRPr="00C02E67">
        <w:rPr>
          <w:rFonts w:cs="Cambria"/>
          <w:i/>
          <w:iCs/>
          <w:sz w:val="18"/>
          <w:szCs w:val="18"/>
          <w:shd w:val="clear" w:color="auto" w:fill="FFFFFF"/>
        </w:rPr>
        <w:t>ğ</w:t>
      </w:r>
      <w:r w:rsidRPr="00C02E67">
        <w:rPr>
          <w:rFonts w:cs="Noto Serif"/>
          <w:i/>
          <w:iCs/>
          <w:sz w:val="18"/>
          <w:szCs w:val="18"/>
          <w:shd w:val="clear" w:color="auto" w:fill="FFFFFF"/>
        </w:rPr>
        <w:t xml:space="preserve">renilen </w:t>
      </w:r>
      <w:r w:rsidRPr="00C02E67">
        <w:rPr>
          <w:rFonts w:cs="Noto Serif"/>
          <w:b/>
          <w:bCs/>
          <w:i/>
          <w:iCs/>
          <w:sz w:val="18"/>
          <w:szCs w:val="18"/>
          <w:u w:val="single"/>
          <w:shd w:val="clear" w:color="auto" w:fill="FFFFFF"/>
        </w:rPr>
        <w:t xml:space="preserve">somut bir verinin yetkili adli makamlara bildirilmesinden ibaret olan bu eylemin </w:t>
      </w:r>
      <w:r w:rsidRPr="00C02E67">
        <w:rPr>
          <w:rFonts w:cs="Noto Serif"/>
          <w:i/>
          <w:iCs/>
          <w:sz w:val="18"/>
          <w:szCs w:val="18"/>
          <w:shd w:val="clear" w:color="auto" w:fill="FFFFFF"/>
        </w:rPr>
        <w:t>bir istihbarat organ</w:t>
      </w:r>
      <w:r w:rsidRPr="00C02E67">
        <w:rPr>
          <w:rFonts w:cs="Cambria"/>
          <w:i/>
          <w:iCs/>
          <w:sz w:val="18"/>
          <w:szCs w:val="18"/>
          <w:shd w:val="clear" w:color="auto" w:fill="FFFFFF"/>
        </w:rPr>
        <w:t>ı</w:t>
      </w:r>
      <w:r w:rsidRPr="00C02E67">
        <w:rPr>
          <w:rFonts w:cs="Noto Serif"/>
          <w:i/>
          <w:iCs/>
          <w:sz w:val="18"/>
          <w:szCs w:val="18"/>
          <w:shd w:val="clear" w:color="auto" w:fill="FFFFFF"/>
        </w:rPr>
        <w:t xml:space="preserve"> olan M</w:t>
      </w:r>
      <w:r w:rsidRPr="00C02E67">
        <w:rPr>
          <w:rFonts w:cs="Cambria"/>
          <w:i/>
          <w:iCs/>
          <w:sz w:val="18"/>
          <w:szCs w:val="18"/>
          <w:shd w:val="clear" w:color="auto" w:fill="FFFFFF"/>
        </w:rPr>
        <w:t>İ</w:t>
      </w:r>
      <w:r w:rsidRPr="00C02E67">
        <w:rPr>
          <w:rFonts w:cs="Noto Serif"/>
          <w:i/>
          <w:iCs/>
          <w:sz w:val="18"/>
          <w:szCs w:val="18"/>
          <w:shd w:val="clear" w:color="auto" w:fill="FFFFFF"/>
        </w:rPr>
        <w:t>T taraf</w:t>
      </w:r>
      <w:r w:rsidRPr="00C02E67">
        <w:rPr>
          <w:rFonts w:cs="Cambria"/>
          <w:i/>
          <w:iCs/>
          <w:sz w:val="18"/>
          <w:szCs w:val="18"/>
          <w:shd w:val="clear" w:color="auto" w:fill="FFFFFF"/>
        </w:rPr>
        <w:t>ı</w:t>
      </w:r>
      <w:r w:rsidRPr="00C02E67">
        <w:rPr>
          <w:rFonts w:cs="Noto Serif"/>
          <w:i/>
          <w:iCs/>
          <w:sz w:val="18"/>
          <w:szCs w:val="18"/>
          <w:shd w:val="clear" w:color="auto" w:fill="FFFFFF"/>
        </w:rPr>
        <w:t>ndan adli kolluk faaliyeti yürütüldü</w:t>
      </w:r>
      <w:r w:rsidRPr="00C02E67">
        <w:rPr>
          <w:rFonts w:cs="Cambria"/>
          <w:i/>
          <w:iCs/>
          <w:sz w:val="18"/>
          <w:szCs w:val="18"/>
          <w:shd w:val="clear" w:color="auto" w:fill="FFFFFF"/>
        </w:rPr>
        <w:t>ğ</w:t>
      </w:r>
      <w:r w:rsidRPr="00C02E67">
        <w:rPr>
          <w:rFonts w:cs="Noto Serif"/>
          <w:i/>
          <w:iCs/>
          <w:sz w:val="18"/>
          <w:szCs w:val="18"/>
          <w:shd w:val="clear" w:color="auto" w:fill="FFFFFF"/>
        </w:rPr>
        <w:t>ü </w:t>
      </w:r>
      <w:r w:rsidRPr="00C02E67">
        <w:rPr>
          <w:rFonts w:cs="Cambria"/>
          <w:i/>
          <w:iCs/>
          <w:sz w:val="18"/>
          <w:szCs w:val="18"/>
          <w:shd w:val="clear" w:color="auto" w:fill="FFFFFF"/>
        </w:rPr>
        <w:t>ş</w:t>
      </w:r>
      <w:r w:rsidRPr="00C02E67">
        <w:rPr>
          <w:rFonts w:cs="Noto Serif"/>
          <w:i/>
          <w:iCs/>
          <w:sz w:val="18"/>
          <w:szCs w:val="18"/>
          <w:shd w:val="clear" w:color="auto" w:fill="FFFFFF"/>
        </w:rPr>
        <w:t>eklinde yorumlanmas</w:t>
      </w:r>
      <w:r w:rsidRPr="00C02E67">
        <w:rPr>
          <w:rFonts w:cs="Cambria"/>
          <w:i/>
          <w:iCs/>
          <w:sz w:val="18"/>
          <w:szCs w:val="18"/>
          <w:shd w:val="clear" w:color="auto" w:fill="FFFFFF"/>
        </w:rPr>
        <w:t>ı</w:t>
      </w:r>
      <w:r w:rsidRPr="00C02E67">
        <w:rPr>
          <w:rFonts w:cs="Noto Serif"/>
          <w:i/>
          <w:iCs/>
          <w:sz w:val="18"/>
          <w:szCs w:val="18"/>
          <w:shd w:val="clear" w:color="auto" w:fill="FFFFFF"/>
        </w:rPr>
        <w:t xml:space="preserve"> mümkün de</w:t>
      </w:r>
      <w:r w:rsidRPr="00C02E67">
        <w:rPr>
          <w:rFonts w:cs="Cambria"/>
          <w:i/>
          <w:iCs/>
          <w:sz w:val="18"/>
          <w:szCs w:val="18"/>
          <w:shd w:val="clear" w:color="auto" w:fill="FFFFFF"/>
        </w:rPr>
        <w:t>ğ</w:t>
      </w:r>
      <w:r w:rsidRPr="00C02E67">
        <w:rPr>
          <w:rFonts w:cs="Noto Serif"/>
          <w:i/>
          <w:iCs/>
          <w:sz w:val="18"/>
          <w:szCs w:val="18"/>
          <w:shd w:val="clear" w:color="auto" w:fill="FFFFFF"/>
        </w:rPr>
        <w:t>ildir.”</w:t>
      </w:r>
    </w:p>
    <w:p w14:paraId="3BB3A769" w14:textId="5BA64AA6" w:rsidR="00E52E47" w:rsidRPr="00C02E67" w:rsidRDefault="00E52E47" w:rsidP="00BD10C1">
      <w:pPr>
        <w:spacing w:after="0" w:line="240" w:lineRule="auto"/>
        <w:ind w:left="567" w:firstLine="0"/>
        <w:rPr>
          <w:rFonts w:cs="Noto Serif"/>
          <w:sz w:val="18"/>
          <w:szCs w:val="18"/>
          <w:shd w:val="clear" w:color="auto" w:fill="FFFFFF"/>
        </w:rPr>
      </w:pPr>
      <w:r w:rsidRPr="00C02E67">
        <w:rPr>
          <w:rFonts w:cs="Noto Serif"/>
          <w:b/>
          <w:bCs/>
          <w:i/>
          <w:iCs/>
          <w:sz w:val="18"/>
          <w:szCs w:val="18"/>
          <w:shd w:val="clear" w:color="auto" w:fill="FFFFFF"/>
        </w:rPr>
        <w:t>135.</w:t>
      </w:r>
      <w:r w:rsidRPr="00C02E67">
        <w:rPr>
          <w:rFonts w:cs="Noto Serif"/>
          <w:i/>
          <w:iCs/>
          <w:sz w:val="18"/>
          <w:szCs w:val="18"/>
          <w:shd w:val="clear" w:color="auto" w:fill="FFFFFF"/>
        </w:rPr>
        <w:t xml:space="preserve"> Adli makamlar</w:t>
      </w:r>
      <w:r w:rsidRPr="00C02E67">
        <w:rPr>
          <w:rFonts w:cs="Cambria"/>
          <w:i/>
          <w:iCs/>
          <w:sz w:val="18"/>
          <w:szCs w:val="18"/>
          <w:shd w:val="clear" w:color="auto" w:fill="FFFFFF"/>
        </w:rPr>
        <w:t>ı</w:t>
      </w:r>
      <w:r w:rsidRPr="00C02E67">
        <w:rPr>
          <w:rFonts w:cs="Noto Serif"/>
          <w:i/>
          <w:iCs/>
          <w:sz w:val="18"/>
          <w:szCs w:val="18"/>
          <w:shd w:val="clear" w:color="auto" w:fill="FFFFFF"/>
        </w:rPr>
        <w:t>n kendisine teslim edilen verileri test etme; dijital materyallerle ilgili olarak onlar</w:t>
      </w:r>
      <w:r w:rsidRPr="00C02E67">
        <w:rPr>
          <w:rFonts w:cs="Cambria"/>
          <w:i/>
          <w:iCs/>
          <w:sz w:val="18"/>
          <w:szCs w:val="18"/>
          <w:shd w:val="clear" w:color="auto" w:fill="FFFFFF"/>
        </w:rPr>
        <w:t>ı</w:t>
      </w:r>
      <w:r w:rsidRPr="00C02E67">
        <w:rPr>
          <w:rFonts w:cs="Noto Serif"/>
          <w:i/>
          <w:iCs/>
          <w:sz w:val="18"/>
          <w:szCs w:val="18"/>
          <w:shd w:val="clear" w:color="auto" w:fill="FFFFFF"/>
        </w:rPr>
        <w:t>n gerçekli</w:t>
      </w:r>
      <w:r w:rsidRPr="00C02E67">
        <w:rPr>
          <w:rFonts w:cs="Cambria"/>
          <w:i/>
          <w:iCs/>
          <w:sz w:val="18"/>
          <w:szCs w:val="18"/>
          <w:shd w:val="clear" w:color="auto" w:fill="FFFFFF"/>
        </w:rPr>
        <w:t>ğ</w:t>
      </w:r>
      <w:r w:rsidRPr="00C02E67">
        <w:rPr>
          <w:rFonts w:cs="Noto Serif"/>
          <w:i/>
          <w:iCs/>
          <w:sz w:val="18"/>
          <w:szCs w:val="18"/>
          <w:shd w:val="clear" w:color="auto" w:fill="FFFFFF"/>
        </w:rPr>
        <w:t>i veya güvenilirli</w:t>
      </w:r>
      <w:r w:rsidRPr="00C02E67">
        <w:rPr>
          <w:rFonts w:cs="Cambria"/>
          <w:i/>
          <w:iCs/>
          <w:sz w:val="18"/>
          <w:szCs w:val="18"/>
          <w:shd w:val="clear" w:color="auto" w:fill="FFFFFF"/>
        </w:rPr>
        <w:t>ğ</w:t>
      </w:r>
      <w:r w:rsidRPr="00C02E67">
        <w:rPr>
          <w:rFonts w:cs="Noto Serif"/>
          <w:i/>
          <w:iCs/>
          <w:sz w:val="18"/>
          <w:szCs w:val="18"/>
          <w:shd w:val="clear" w:color="auto" w:fill="FFFFFF"/>
        </w:rPr>
        <w:t>ine ili</w:t>
      </w:r>
      <w:r w:rsidRPr="00C02E67">
        <w:rPr>
          <w:rFonts w:cs="Cambria"/>
          <w:i/>
          <w:iCs/>
          <w:sz w:val="18"/>
          <w:szCs w:val="18"/>
          <w:shd w:val="clear" w:color="auto" w:fill="FFFFFF"/>
        </w:rPr>
        <w:t>ş</w:t>
      </w:r>
      <w:r w:rsidRPr="00C02E67">
        <w:rPr>
          <w:rFonts w:cs="Noto Serif"/>
          <w:i/>
          <w:iCs/>
          <w:sz w:val="18"/>
          <w:szCs w:val="18"/>
          <w:shd w:val="clear" w:color="auto" w:fill="FFFFFF"/>
        </w:rPr>
        <w:t>kin gerekli ara</w:t>
      </w:r>
      <w:r w:rsidRPr="00C02E67">
        <w:rPr>
          <w:rFonts w:cs="Cambria"/>
          <w:i/>
          <w:iCs/>
          <w:sz w:val="18"/>
          <w:szCs w:val="18"/>
          <w:shd w:val="clear" w:color="auto" w:fill="FFFFFF"/>
        </w:rPr>
        <w:t>ş</w:t>
      </w:r>
      <w:r w:rsidRPr="00C02E67">
        <w:rPr>
          <w:rFonts w:cs="Noto Serif"/>
          <w:i/>
          <w:iCs/>
          <w:sz w:val="18"/>
          <w:szCs w:val="18"/>
          <w:shd w:val="clear" w:color="auto" w:fill="FFFFFF"/>
        </w:rPr>
        <w:t>t</w:t>
      </w:r>
      <w:r w:rsidRPr="00C02E67">
        <w:rPr>
          <w:rFonts w:cs="Cambria"/>
          <w:i/>
          <w:iCs/>
          <w:sz w:val="18"/>
          <w:szCs w:val="18"/>
          <w:shd w:val="clear" w:color="auto" w:fill="FFFFFF"/>
        </w:rPr>
        <w:t>ı</w:t>
      </w:r>
      <w:r w:rsidRPr="00C02E67">
        <w:rPr>
          <w:rFonts w:cs="Noto Serif"/>
          <w:i/>
          <w:iCs/>
          <w:sz w:val="18"/>
          <w:szCs w:val="18"/>
          <w:shd w:val="clear" w:color="auto" w:fill="FFFFFF"/>
        </w:rPr>
        <w:t>rma, inceleme ve de</w:t>
      </w:r>
      <w:r w:rsidRPr="00C02E67">
        <w:rPr>
          <w:rFonts w:cs="Cambria"/>
          <w:i/>
          <w:iCs/>
          <w:sz w:val="18"/>
          <w:szCs w:val="18"/>
          <w:shd w:val="clear" w:color="auto" w:fill="FFFFFF"/>
        </w:rPr>
        <w:t>ğ</w:t>
      </w:r>
      <w:r w:rsidRPr="00C02E67">
        <w:rPr>
          <w:rFonts w:cs="Noto Serif"/>
          <w:i/>
          <w:iCs/>
          <w:sz w:val="18"/>
          <w:szCs w:val="18"/>
          <w:shd w:val="clear" w:color="auto" w:fill="FFFFFF"/>
        </w:rPr>
        <w:t>erlendirmede bulunma yetkisi her zaman bulunmaktad</w:t>
      </w:r>
      <w:r w:rsidRPr="00C02E67">
        <w:rPr>
          <w:rFonts w:cs="Cambria"/>
          <w:i/>
          <w:iCs/>
          <w:sz w:val="18"/>
          <w:szCs w:val="18"/>
          <w:shd w:val="clear" w:color="auto" w:fill="FFFFFF"/>
        </w:rPr>
        <w:t>ı</w:t>
      </w:r>
      <w:r w:rsidRPr="00C02E67">
        <w:rPr>
          <w:rFonts w:cs="Noto Serif"/>
          <w:i/>
          <w:iCs/>
          <w:sz w:val="18"/>
          <w:szCs w:val="18"/>
          <w:shd w:val="clear" w:color="auto" w:fill="FFFFFF"/>
        </w:rPr>
        <w:t xml:space="preserve">r. Nitekim adli makamlar söz konusu </w:t>
      </w:r>
      <w:r w:rsidRPr="00C02E67">
        <w:rPr>
          <w:rFonts w:cs="Noto Serif"/>
          <w:b/>
          <w:bCs/>
          <w:i/>
          <w:iCs/>
          <w:sz w:val="18"/>
          <w:szCs w:val="18"/>
          <w:u w:val="single"/>
          <w:shd w:val="clear" w:color="auto" w:fill="FFFFFF"/>
        </w:rPr>
        <w:t>veriler kendilerine teslim edildikten sonra -</w:t>
      </w:r>
      <w:r w:rsidRPr="00C02E67">
        <w:rPr>
          <w:rFonts w:cs="Noto Serif"/>
          <w:i/>
          <w:iCs/>
          <w:sz w:val="18"/>
          <w:szCs w:val="18"/>
          <w:shd w:val="clear" w:color="auto" w:fill="FFFFFF"/>
        </w:rPr>
        <w:t xml:space="preserve">dijital verilerde </w:t>
      </w:r>
      <w:r w:rsidRPr="00C02E67">
        <w:rPr>
          <w:rFonts w:cs="Noto Serif"/>
          <w:b/>
          <w:bCs/>
          <w:i/>
          <w:iCs/>
          <w:sz w:val="18"/>
          <w:szCs w:val="18"/>
          <w:u w:val="single"/>
          <w:shd w:val="clear" w:color="auto" w:fill="FFFFFF"/>
        </w:rPr>
        <w:t>arama ve inceleme yap</w:t>
      </w:r>
      <w:r w:rsidRPr="00C02E67">
        <w:rPr>
          <w:rFonts w:cs="Cambria"/>
          <w:b/>
          <w:bCs/>
          <w:i/>
          <w:iCs/>
          <w:sz w:val="18"/>
          <w:szCs w:val="18"/>
          <w:u w:val="single"/>
          <w:shd w:val="clear" w:color="auto" w:fill="FFFFFF"/>
        </w:rPr>
        <w:t>ı</w:t>
      </w:r>
      <w:r w:rsidRPr="00C02E67">
        <w:rPr>
          <w:rFonts w:cs="Noto Serif"/>
          <w:b/>
          <w:bCs/>
          <w:i/>
          <w:iCs/>
          <w:sz w:val="18"/>
          <w:szCs w:val="18"/>
          <w:u w:val="single"/>
          <w:shd w:val="clear" w:color="auto" w:fill="FFFFFF"/>
        </w:rPr>
        <w:t>lmas</w:t>
      </w:r>
      <w:r w:rsidRPr="00C02E67">
        <w:rPr>
          <w:rFonts w:cs="Cambria"/>
          <w:b/>
          <w:bCs/>
          <w:i/>
          <w:iCs/>
          <w:sz w:val="18"/>
          <w:szCs w:val="18"/>
          <w:u w:val="single"/>
          <w:shd w:val="clear" w:color="auto" w:fill="FFFFFF"/>
        </w:rPr>
        <w:t>ı</w:t>
      </w:r>
      <w:r w:rsidRPr="00C02E67">
        <w:rPr>
          <w:rFonts w:cs="Noto Serif"/>
          <w:b/>
          <w:bCs/>
          <w:i/>
          <w:iCs/>
          <w:sz w:val="18"/>
          <w:szCs w:val="18"/>
          <w:u w:val="single"/>
          <w:shd w:val="clear" w:color="auto" w:fill="FFFFFF"/>
        </w:rPr>
        <w:t xml:space="preserve">na dair- ilgili usul kanununda yer alan kurallar çerçevesinde </w:t>
      </w:r>
      <w:r w:rsidRPr="00C02E67">
        <w:rPr>
          <w:rFonts w:cs="Noto Serif"/>
          <w:i/>
          <w:iCs/>
          <w:sz w:val="18"/>
          <w:szCs w:val="18"/>
          <w:shd w:val="clear" w:color="auto" w:fill="FFFFFF"/>
        </w:rPr>
        <w:t>ve gerekli olan koruma tedbirine yönelik görevli hâkimlikler taraf</w:t>
      </w:r>
      <w:r w:rsidRPr="00C02E67">
        <w:rPr>
          <w:rFonts w:cs="Cambria"/>
          <w:i/>
          <w:iCs/>
          <w:sz w:val="18"/>
          <w:szCs w:val="18"/>
          <w:shd w:val="clear" w:color="auto" w:fill="FFFFFF"/>
        </w:rPr>
        <w:t>ı</w:t>
      </w:r>
      <w:r w:rsidRPr="00C02E67">
        <w:rPr>
          <w:rFonts w:cs="Noto Serif"/>
          <w:i/>
          <w:iCs/>
          <w:sz w:val="18"/>
          <w:szCs w:val="18"/>
          <w:shd w:val="clear" w:color="auto" w:fill="FFFFFF"/>
        </w:rPr>
        <w:t>ndan verilen kararlar do</w:t>
      </w:r>
      <w:r w:rsidRPr="00C02E67">
        <w:rPr>
          <w:rFonts w:cs="Cambria"/>
          <w:i/>
          <w:iCs/>
          <w:sz w:val="18"/>
          <w:szCs w:val="18"/>
          <w:shd w:val="clear" w:color="auto" w:fill="FFFFFF"/>
        </w:rPr>
        <w:t>ğ</w:t>
      </w:r>
      <w:r w:rsidRPr="00C02E67">
        <w:rPr>
          <w:rFonts w:cs="Noto Serif"/>
          <w:i/>
          <w:iCs/>
          <w:sz w:val="18"/>
          <w:szCs w:val="18"/>
          <w:shd w:val="clear" w:color="auto" w:fill="FFFFFF"/>
        </w:rPr>
        <w:t>rultusunda yetkili kolluk birimleri marifetiyle veriler üzerinde inceleme ve ara</w:t>
      </w:r>
      <w:r w:rsidRPr="00C02E67">
        <w:rPr>
          <w:rFonts w:cs="Cambria"/>
          <w:i/>
          <w:iCs/>
          <w:sz w:val="18"/>
          <w:szCs w:val="18"/>
          <w:shd w:val="clear" w:color="auto" w:fill="FFFFFF"/>
        </w:rPr>
        <w:t>ş</w:t>
      </w:r>
      <w:r w:rsidRPr="00C02E67">
        <w:rPr>
          <w:rFonts w:cs="Noto Serif"/>
          <w:i/>
          <w:iCs/>
          <w:sz w:val="18"/>
          <w:szCs w:val="18"/>
          <w:shd w:val="clear" w:color="auto" w:fill="FFFFFF"/>
        </w:rPr>
        <w:t>t</w:t>
      </w:r>
      <w:r w:rsidRPr="00C02E67">
        <w:rPr>
          <w:rFonts w:cs="Cambria"/>
          <w:i/>
          <w:iCs/>
          <w:sz w:val="18"/>
          <w:szCs w:val="18"/>
          <w:shd w:val="clear" w:color="auto" w:fill="FFFFFF"/>
        </w:rPr>
        <w:t>ı</w:t>
      </w:r>
      <w:r w:rsidRPr="00C02E67">
        <w:rPr>
          <w:rFonts w:cs="Noto Serif"/>
          <w:i/>
          <w:iCs/>
          <w:sz w:val="18"/>
          <w:szCs w:val="18"/>
          <w:shd w:val="clear" w:color="auto" w:fill="FFFFFF"/>
        </w:rPr>
        <w:t>rmalar yaparak soru</w:t>
      </w:r>
      <w:r w:rsidRPr="00C02E67">
        <w:rPr>
          <w:rFonts w:cs="Cambria"/>
          <w:i/>
          <w:iCs/>
          <w:sz w:val="18"/>
          <w:szCs w:val="18"/>
          <w:shd w:val="clear" w:color="auto" w:fill="FFFFFF"/>
        </w:rPr>
        <w:t>ş</w:t>
      </w:r>
      <w:r w:rsidRPr="00C02E67">
        <w:rPr>
          <w:rFonts w:cs="Noto Serif"/>
          <w:i/>
          <w:iCs/>
          <w:sz w:val="18"/>
          <w:szCs w:val="18"/>
          <w:shd w:val="clear" w:color="auto" w:fill="FFFFFF"/>
        </w:rPr>
        <w:t>turma i</w:t>
      </w:r>
      <w:r w:rsidRPr="00C02E67">
        <w:rPr>
          <w:rFonts w:cs="Cambria"/>
          <w:i/>
          <w:iCs/>
          <w:sz w:val="18"/>
          <w:szCs w:val="18"/>
          <w:shd w:val="clear" w:color="auto" w:fill="FFFFFF"/>
        </w:rPr>
        <w:t>ş</w:t>
      </w:r>
      <w:r w:rsidRPr="00C02E67">
        <w:rPr>
          <w:rFonts w:cs="Noto Serif"/>
          <w:i/>
          <w:iCs/>
          <w:sz w:val="18"/>
          <w:szCs w:val="18"/>
          <w:shd w:val="clear" w:color="auto" w:fill="FFFFFF"/>
        </w:rPr>
        <w:t>lemlerini yürütmü</w:t>
      </w:r>
      <w:r w:rsidRPr="00C02E67">
        <w:rPr>
          <w:rFonts w:cs="Cambria"/>
          <w:i/>
          <w:iCs/>
          <w:sz w:val="18"/>
          <w:szCs w:val="18"/>
          <w:shd w:val="clear" w:color="auto" w:fill="FFFFFF"/>
        </w:rPr>
        <w:t>ş</w:t>
      </w:r>
      <w:r w:rsidRPr="00C02E67">
        <w:rPr>
          <w:rFonts w:cs="Noto Serif"/>
          <w:i/>
          <w:iCs/>
          <w:sz w:val="18"/>
          <w:szCs w:val="18"/>
          <w:shd w:val="clear" w:color="auto" w:fill="FFFFFF"/>
        </w:rPr>
        <w:t>; bu çerçevede ilgili di</w:t>
      </w:r>
      <w:r w:rsidRPr="00C02E67">
        <w:rPr>
          <w:rFonts w:cs="Cambria"/>
          <w:i/>
          <w:iCs/>
          <w:sz w:val="18"/>
          <w:szCs w:val="18"/>
          <w:shd w:val="clear" w:color="auto" w:fill="FFFFFF"/>
        </w:rPr>
        <w:t>ğ</w:t>
      </w:r>
      <w:r w:rsidRPr="00C02E67">
        <w:rPr>
          <w:rFonts w:cs="Noto Serif"/>
          <w:i/>
          <w:iCs/>
          <w:sz w:val="18"/>
          <w:szCs w:val="18"/>
          <w:shd w:val="clear" w:color="auto" w:fill="FFFFFF"/>
        </w:rPr>
        <w:t>er kurum ve kurulu</w:t>
      </w:r>
      <w:r w:rsidRPr="00C02E67">
        <w:rPr>
          <w:rFonts w:cs="Cambria"/>
          <w:i/>
          <w:iCs/>
          <w:sz w:val="18"/>
          <w:szCs w:val="18"/>
          <w:shd w:val="clear" w:color="auto" w:fill="FFFFFF"/>
        </w:rPr>
        <w:t>ş</w:t>
      </w:r>
      <w:r w:rsidRPr="00C02E67">
        <w:rPr>
          <w:rFonts w:cs="Noto Serif"/>
          <w:i/>
          <w:iCs/>
          <w:sz w:val="18"/>
          <w:szCs w:val="18"/>
          <w:shd w:val="clear" w:color="auto" w:fill="FFFFFF"/>
        </w:rPr>
        <w:t>lardan da gerekli görülen bilgi, belge ve deliller temin edilmi</w:t>
      </w:r>
      <w:r w:rsidRPr="00C02E67">
        <w:rPr>
          <w:rFonts w:cs="Cambria"/>
          <w:i/>
          <w:iCs/>
          <w:sz w:val="18"/>
          <w:szCs w:val="18"/>
          <w:shd w:val="clear" w:color="auto" w:fill="FFFFFF"/>
        </w:rPr>
        <w:t>ş</w:t>
      </w:r>
      <w:r w:rsidRPr="00C02E67">
        <w:rPr>
          <w:rFonts w:cs="Noto Serif"/>
          <w:i/>
          <w:iCs/>
          <w:sz w:val="18"/>
          <w:szCs w:val="18"/>
          <w:shd w:val="clear" w:color="auto" w:fill="FFFFFF"/>
        </w:rPr>
        <w:t>tir</w:t>
      </w:r>
      <w:r w:rsidRPr="00C02E67">
        <w:rPr>
          <w:rFonts w:cs="Noto Serif"/>
          <w:sz w:val="18"/>
          <w:szCs w:val="18"/>
          <w:shd w:val="clear" w:color="auto" w:fill="FFFFFF"/>
        </w:rPr>
        <w:t xml:space="preserve">.” </w:t>
      </w:r>
      <w:r w:rsidRPr="00C02E67">
        <w:rPr>
          <w:rFonts w:cs="Noto Serif"/>
          <w:color w:val="000000" w:themeColor="text1"/>
          <w:sz w:val="18"/>
          <w:szCs w:val="18"/>
        </w:rPr>
        <w:t>Anayasa Mahkemesinin Ferhat Kara Ba</w:t>
      </w:r>
      <w:r w:rsidRPr="00C02E67">
        <w:rPr>
          <w:rFonts w:cs="Cambria"/>
          <w:color w:val="000000" w:themeColor="text1"/>
          <w:sz w:val="18"/>
          <w:szCs w:val="18"/>
        </w:rPr>
        <w:t>ş</w:t>
      </w:r>
      <w:r w:rsidRPr="00C02E67">
        <w:rPr>
          <w:rFonts w:cs="Noto Serif"/>
          <w:color w:val="000000" w:themeColor="text1"/>
          <w:sz w:val="18"/>
          <w:szCs w:val="18"/>
        </w:rPr>
        <w:t xml:space="preserve">vurusu, B.No: </w:t>
      </w:r>
      <w:r w:rsidRPr="00C02E67">
        <w:rPr>
          <w:rFonts w:cs="Noto Serif"/>
          <w:color w:val="000000" w:themeColor="text1"/>
          <w:sz w:val="18"/>
          <w:szCs w:val="18"/>
          <w:shd w:val="clear" w:color="auto" w:fill="FFFFFF"/>
        </w:rPr>
        <w:t xml:space="preserve">2018/15231, 04/6/2020, </w:t>
      </w:r>
      <w:r w:rsidRPr="00C02E67">
        <w:rPr>
          <w:rFonts w:cs="Noto Serif"/>
          <w:color w:val="000000"/>
          <w:sz w:val="18"/>
          <w:szCs w:val="18"/>
          <w:shd w:val="clear" w:color="auto" w:fill="FFFFFF"/>
        </w:rPr>
        <w:t>§ 133-135.</w:t>
      </w:r>
    </w:p>
  </w:footnote>
  <w:footnote w:id="4">
    <w:p w14:paraId="762A4E3E" w14:textId="77777777" w:rsidR="00E52E47" w:rsidRPr="00C02E67" w:rsidRDefault="00E52E47" w:rsidP="00BD10C1">
      <w:pPr>
        <w:pStyle w:val="DIPSON"/>
        <w:keepNext/>
        <w:spacing w:line="240" w:lineRule="auto"/>
        <w:ind w:left="567" w:hanging="567"/>
        <w:rPr>
          <w:rFonts w:cs="Noto Serif"/>
          <w:color w:val="auto"/>
          <w:sz w:val="18"/>
          <w:szCs w:val="18"/>
        </w:rPr>
      </w:pPr>
      <w:r w:rsidRPr="00C02E67">
        <w:rPr>
          <w:rFonts w:cs="Noto Serif"/>
          <w:color w:val="auto"/>
          <w:sz w:val="18"/>
          <w:szCs w:val="18"/>
        </w:rPr>
        <w:footnoteRef/>
      </w:r>
      <w:r w:rsidRPr="00C02E67">
        <w:rPr>
          <w:rFonts w:cs="Noto Serif"/>
          <w:color w:val="auto"/>
          <w:sz w:val="18"/>
          <w:szCs w:val="18"/>
        </w:rPr>
        <w:tab/>
        <w:t>Yarg</w:t>
      </w:r>
      <w:r w:rsidRPr="00C02E67">
        <w:rPr>
          <w:rFonts w:cs="Cambria"/>
          <w:color w:val="auto"/>
          <w:sz w:val="18"/>
          <w:szCs w:val="18"/>
        </w:rPr>
        <w:t>ı</w:t>
      </w:r>
      <w:r w:rsidRPr="00C02E67">
        <w:rPr>
          <w:rFonts w:cs="Noto Serif"/>
          <w:color w:val="auto"/>
          <w:sz w:val="18"/>
          <w:szCs w:val="18"/>
        </w:rPr>
        <w:t xml:space="preserve">tay </w:t>
      </w:r>
      <w:r w:rsidRPr="00C02E67">
        <w:rPr>
          <w:rStyle w:val="DipnotBavurusu"/>
          <w:rFonts w:cs="Noto Serif"/>
          <w:color w:val="auto"/>
          <w:sz w:val="18"/>
          <w:szCs w:val="18"/>
          <w:vertAlign w:val="baseline"/>
        </w:rPr>
        <w:t>Ceza Genel Kurulunun 17/05/2011 T., 2011/9-83 E., 2011/95 K. say</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l</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 xml:space="preserve"> karar</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 Ba</w:t>
      </w:r>
      <w:r w:rsidRPr="00C02E67">
        <w:rPr>
          <w:rStyle w:val="DipnotBavurusu"/>
          <w:rFonts w:cs="Cambria"/>
          <w:color w:val="auto"/>
          <w:sz w:val="18"/>
          <w:szCs w:val="18"/>
          <w:vertAlign w:val="baseline"/>
        </w:rPr>
        <w:t>ş</w:t>
      </w:r>
      <w:r w:rsidRPr="00C02E67">
        <w:rPr>
          <w:rStyle w:val="DipnotBavurusu"/>
          <w:rFonts w:cs="Noto Serif"/>
          <w:color w:val="auto"/>
          <w:sz w:val="18"/>
          <w:szCs w:val="18"/>
          <w:vertAlign w:val="baseline"/>
        </w:rPr>
        <w:t>ka bir karar</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nda da, M</w:t>
      </w:r>
      <w:r w:rsidRPr="00C02E67">
        <w:rPr>
          <w:rStyle w:val="DipnotBavurusu"/>
          <w:rFonts w:cs="Cambria"/>
          <w:color w:val="auto"/>
          <w:sz w:val="18"/>
          <w:szCs w:val="18"/>
          <w:vertAlign w:val="baseline"/>
        </w:rPr>
        <w:t>İ</w:t>
      </w:r>
      <w:r w:rsidRPr="00C02E67">
        <w:rPr>
          <w:rStyle w:val="DipnotBavurusu"/>
          <w:rFonts w:cs="Noto Serif"/>
          <w:color w:val="auto"/>
          <w:sz w:val="18"/>
          <w:szCs w:val="18"/>
          <w:vertAlign w:val="baseline"/>
        </w:rPr>
        <w:t>T’e verilen ileti</w:t>
      </w:r>
      <w:r w:rsidRPr="00C02E67">
        <w:rPr>
          <w:rStyle w:val="DipnotBavurusu"/>
          <w:rFonts w:cs="Cambria"/>
          <w:color w:val="auto"/>
          <w:sz w:val="18"/>
          <w:szCs w:val="18"/>
          <w:vertAlign w:val="baseline"/>
        </w:rPr>
        <w:t>ş</w:t>
      </w:r>
      <w:r w:rsidRPr="00C02E67">
        <w:rPr>
          <w:rStyle w:val="DipnotBavurusu"/>
          <w:rFonts w:cs="Noto Serif"/>
          <w:color w:val="auto"/>
          <w:sz w:val="18"/>
          <w:szCs w:val="18"/>
          <w:vertAlign w:val="baseline"/>
        </w:rPr>
        <w:t>imin tespiti kapsam</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ndaki yetki ba</w:t>
      </w:r>
      <w:r w:rsidRPr="00C02E67">
        <w:rPr>
          <w:rStyle w:val="DipnotBavurusu"/>
          <w:rFonts w:cs="Cambria"/>
          <w:color w:val="auto"/>
          <w:sz w:val="18"/>
          <w:szCs w:val="18"/>
          <w:vertAlign w:val="baseline"/>
        </w:rPr>
        <w:t>ğ</w:t>
      </w:r>
      <w:r w:rsidRPr="00C02E67">
        <w:rPr>
          <w:rStyle w:val="DipnotBavurusu"/>
          <w:rFonts w:cs="Noto Serif"/>
          <w:color w:val="auto"/>
          <w:sz w:val="18"/>
          <w:szCs w:val="18"/>
          <w:vertAlign w:val="baseline"/>
        </w:rPr>
        <w:t>lam</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nda bu içtihad</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n</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 xml:space="preserve"> tekrarlam</w:t>
      </w:r>
      <w:r w:rsidRPr="00C02E67">
        <w:rPr>
          <w:rStyle w:val="DipnotBavurusu"/>
          <w:rFonts w:cs="Cambria"/>
          <w:color w:val="auto"/>
          <w:sz w:val="18"/>
          <w:szCs w:val="18"/>
          <w:vertAlign w:val="baseline"/>
        </w:rPr>
        <w:t>ış</w:t>
      </w:r>
      <w:r w:rsidRPr="00C02E67">
        <w:rPr>
          <w:rStyle w:val="DipnotBavurusu"/>
          <w:rFonts w:cs="Noto Serif"/>
          <w:color w:val="auto"/>
          <w:sz w:val="18"/>
          <w:szCs w:val="18"/>
          <w:vertAlign w:val="baseline"/>
        </w:rPr>
        <w:t xml:space="preserve"> ve </w:t>
      </w:r>
      <w:r w:rsidRPr="00C02E67">
        <w:rPr>
          <w:rStyle w:val="DipnotBavurusu"/>
          <w:rFonts w:cs="Cambria"/>
          <w:color w:val="auto"/>
          <w:sz w:val="18"/>
          <w:szCs w:val="18"/>
          <w:vertAlign w:val="baseline"/>
        </w:rPr>
        <w:t>ş</w:t>
      </w:r>
      <w:r w:rsidRPr="00C02E67">
        <w:rPr>
          <w:rStyle w:val="DipnotBavurusu"/>
          <w:rFonts w:cs="Noto Serif"/>
          <w:color w:val="auto"/>
          <w:sz w:val="18"/>
          <w:szCs w:val="18"/>
          <w:vertAlign w:val="baseline"/>
        </w:rPr>
        <w:t>öyle demi</w:t>
      </w:r>
      <w:r w:rsidRPr="00C02E67">
        <w:rPr>
          <w:rStyle w:val="DipnotBavurusu"/>
          <w:rFonts w:cs="Cambria"/>
          <w:color w:val="auto"/>
          <w:sz w:val="18"/>
          <w:szCs w:val="18"/>
          <w:vertAlign w:val="baseline"/>
        </w:rPr>
        <w:t>ş</w:t>
      </w:r>
      <w:r w:rsidRPr="00C02E67">
        <w:rPr>
          <w:rStyle w:val="DipnotBavurusu"/>
          <w:rFonts w:cs="Noto Serif"/>
          <w:color w:val="auto"/>
          <w:sz w:val="18"/>
          <w:szCs w:val="18"/>
          <w:vertAlign w:val="baseline"/>
        </w:rPr>
        <w:t xml:space="preserve">tir; </w:t>
      </w:r>
      <w:r w:rsidRPr="00C02E67">
        <w:rPr>
          <w:rStyle w:val="DipnotBavurusu"/>
          <w:rFonts w:cs="Noto Serif"/>
          <w:i/>
          <w:iCs/>
          <w:color w:val="auto"/>
          <w:sz w:val="18"/>
          <w:szCs w:val="18"/>
          <w:vertAlign w:val="baseline"/>
        </w:rPr>
        <w:t>“… say</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ileti</w:t>
      </w:r>
      <w:r w:rsidRPr="00C02E67">
        <w:rPr>
          <w:rStyle w:val="DipnotBavurusu"/>
          <w:rFonts w:cs="Cambria"/>
          <w:i/>
          <w:iCs/>
          <w:color w:val="auto"/>
          <w:sz w:val="18"/>
          <w:szCs w:val="18"/>
          <w:vertAlign w:val="baseline"/>
        </w:rPr>
        <w:t>ş</w:t>
      </w:r>
      <w:r w:rsidRPr="00C02E67">
        <w:rPr>
          <w:rStyle w:val="DipnotBavurusu"/>
          <w:rFonts w:cs="Noto Serif"/>
          <w:i/>
          <w:iCs/>
          <w:color w:val="auto"/>
          <w:sz w:val="18"/>
          <w:szCs w:val="18"/>
          <w:vertAlign w:val="baseline"/>
        </w:rPr>
        <w:t>imin tespiti karar</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 5397 say</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Yasan</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 2. maddesi ile 2803 say</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Yasaya eklenen Ek 5. madde uyar</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nca verilen (ve 2937 say</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Yasan</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 6. maddesi uyar</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nca verilen) önleme dilemesi karar</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niteli</w:t>
      </w:r>
      <w:r w:rsidRPr="00C02E67">
        <w:rPr>
          <w:rStyle w:val="DipnotBavurusu"/>
          <w:rFonts w:cs="Cambria"/>
          <w:i/>
          <w:iCs/>
          <w:color w:val="auto"/>
          <w:sz w:val="18"/>
          <w:szCs w:val="18"/>
          <w:vertAlign w:val="baseline"/>
        </w:rPr>
        <w:t>ğ</w:t>
      </w:r>
      <w:r w:rsidRPr="00C02E67">
        <w:rPr>
          <w:rStyle w:val="DipnotBavurusu"/>
          <w:rFonts w:cs="Noto Serif"/>
          <w:i/>
          <w:iCs/>
          <w:color w:val="auto"/>
          <w:sz w:val="18"/>
          <w:szCs w:val="18"/>
          <w:vertAlign w:val="baseline"/>
        </w:rPr>
        <w:t>inde olmas</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kar</w:t>
      </w:r>
      <w:r w:rsidRPr="00C02E67">
        <w:rPr>
          <w:rStyle w:val="DipnotBavurusu"/>
          <w:rFonts w:cs="Cambria"/>
          <w:i/>
          <w:iCs/>
          <w:color w:val="auto"/>
          <w:sz w:val="18"/>
          <w:szCs w:val="18"/>
          <w:vertAlign w:val="baseline"/>
        </w:rPr>
        <w:t>şı</w:t>
      </w:r>
      <w:r w:rsidRPr="00C02E67">
        <w:rPr>
          <w:rStyle w:val="DipnotBavurusu"/>
          <w:rFonts w:cs="Noto Serif"/>
          <w:i/>
          <w:iCs/>
          <w:color w:val="auto"/>
          <w:sz w:val="18"/>
          <w:szCs w:val="18"/>
          <w:vertAlign w:val="baseline"/>
        </w:rPr>
        <w:t>s</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nda, bu </w:t>
      </w:r>
      <w:r w:rsidRPr="00C02E67">
        <w:rPr>
          <w:rStyle w:val="DipnotBavurusu"/>
          <w:rFonts w:cs="Cambria"/>
          <w:i/>
          <w:iCs/>
          <w:color w:val="auto"/>
          <w:sz w:val="18"/>
          <w:szCs w:val="18"/>
          <w:vertAlign w:val="baseline"/>
        </w:rPr>
        <w:t>ş</w:t>
      </w:r>
      <w:r w:rsidRPr="00C02E67">
        <w:rPr>
          <w:rStyle w:val="DipnotBavurusu"/>
          <w:rFonts w:cs="Noto Serif"/>
          <w:i/>
          <w:iCs/>
          <w:color w:val="auto"/>
          <w:sz w:val="18"/>
          <w:szCs w:val="18"/>
          <w:vertAlign w:val="baseline"/>
        </w:rPr>
        <w:t>ekilde ula</w:t>
      </w:r>
      <w:r w:rsidRPr="00C02E67">
        <w:rPr>
          <w:rStyle w:val="DipnotBavurusu"/>
          <w:rFonts w:cs="Cambria"/>
          <w:i/>
          <w:iCs/>
          <w:color w:val="auto"/>
          <w:sz w:val="18"/>
          <w:szCs w:val="18"/>
          <w:vertAlign w:val="baseline"/>
        </w:rPr>
        <w:t>şı</w:t>
      </w:r>
      <w:r w:rsidRPr="00C02E67">
        <w:rPr>
          <w:rStyle w:val="DipnotBavurusu"/>
          <w:rFonts w:cs="Noto Serif"/>
          <w:i/>
          <w:iCs/>
          <w:color w:val="auto"/>
          <w:sz w:val="18"/>
          <w:szCs w:val="18"/>
          <w:vertAlign w:val="baseline"/>
        </w:rPr>
        <w:t>lan bulgular, … ceza yarg</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lamas</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nda delil olarak kullan</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lamayaca</w:t>
      </w:r>
      <w:r w:rsidRPr="00C02E67">
        <w:rPr>
          <w:rStyle w:val="DipnotBavurusu"/>
          <w:rFonts w:cs="Cambria"/>
          <w:i/>
          <w:iCs/>
          <w:color w:val="auto"/>
          <w:sz w:val="18"/>
          <w:szCs w:val="18"/>
          <w:vertAlign w:val="baseline"/>
        </w:rPr>
        <w:t>ğı</w:t>
      </w:r>
      <w:r w:rsidRPr="00C02E67">
        <w:rPr>
          <w:rStyle w:val="DipnotBavurusu"/>
          <w:rFonts w:cs="Noto Serif"/>
          <w:i/>
          <w:iCs/>
          <w:color w:val="auto"/>
          <w:sz w:val="18"/>
          <w:szCs w:val="18"/>
          <w:vertAlign w:val="baseline"/>
        </w:rPr>
        <w:t>ndan ve bu bulgulara dayal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hüküm kurulamayaca</w:t>
      </w:r>
      <w:r w:rsidRPr="00C02E67">
        <w:rPr>
          <w:rStyle w:val="DipnotBavurusu"/>
          <w:rFonts w:cs="Cambria"/>
          <w:i/>
          <w:iCs/>
          <w:color w:val="auto"/>
          <w:sz w:val="18"/>
          <w:szCs w:val="18"/>
          <w:vertAlign w:val="baseline"/>
        </w:rPr>
        <w:t>ğı</w:t>
      </w:r>
      <w:r w:rsidRPr="00C02E67">
        <w:rPr>
          <w:rStyle w:val="DipnotBavurusu"/>
          <w:rFonts w:cs="Noto Serif"/>
          <w:i/>
          <w:iCs/>
          <w:color w:val="auto"/>
          <w:sz w:val="18"/>
          <w:szCs w:val="18"/>
          <w:vertAlign w:val="baseline"/>
        </w:rPr>
        <w:t>ndan, önleme amaçl</w:t>
      </w:r>
      <w:r w:rsidRPr="00C02E67">
        <w:rPr>
          <w:rStyle w:val="DipnotBavurusu"/>
          <w:rFonts w:cs="Cambria"/>
          <w:i/>
          <w:iCs/>
          <w:color w:val="auto"/>
          <w:sz w:val="18"/>
          <w:szCs w:val="18"/>
          <w:vertAlign w:val="baseline"/>
        </w:rPr>
        <w:t>ı</w:t>
      </w:r>
      <w:r w:rsidRPr="00C02E67">
        <w:rPr>
          <w:rStyle w:val="DipnotBavurusu"/>
          <w:rFonts w:cs="Noto Serif"/>
          <w:i/>
          <w:iCs/>
          <w:color w:val="auto"/>
          <w:sz w:val="18"/>
          <w:szCs w:val="18"/>
          <w:vertAlign w:val="baseline"/>
        </w:rPr>
        <w:t xml:space="preserve"> ileti</w:t>
      </w:r>
      <w:r w:rsidRPr="00C02E67">
        <w:rPr>
          <w:rStyle w:val="DipnotBavurusu"/>
          <w:rFonts w:cs="Cambria"/>
          <w:i/>
          <w:iCs/>
          <w:color w:val="auto"/>
          <w:sz w:val="18"/>
          <w:szCs w:val="18"/>
          <w:vertAlign w:val="baseline"/>
        </w:rPr>
        <w:t>ş</w:t>
      </w:r>
      <w:r w:rsidRPr="00C02E67">
        <w:rPr>
          <w:rStyle w:val="DipnotBavurusu"/>
          <w:rFonts w:cs="Noto Serif"/>
          <w:i/>
          <w:iCs/>
          <w:color w:val="auto"/>
          <w:sz w:val="18"/>
          <w:szCs w:val="18"/>
          <w:vertAlign w:val="baseline"/>
        </w:rPr>
        <w:t>imin denetlenmesi sonucunda ula</w:t>
      </w:r>
      <w:r w:rsidRPr="00C02E67">
        <w:rPr>
          <w:rStyle w:val="DipnotBavurusu"/>
          <w:rFonts w:cs="Cambria"/>
          <w:i/>
          <w:iCs/>
          <w:color w:val="auto"/>
          <w:sz w:val="18"/>
          <w:szCs w:val="18"/>
          <w:vertAlign w:val="baseline"/>
        </w:rPr>
        <w:t>şı</w:t>
      </w:r>
      <w:r w:rsidRPr="00C02E67">
        <w:rPr>
          <w:rStyle w:val="DipnotBavurusu"/>
          <w:rFonts w:cs="Noto Serif"/>
          <w:i/>
          <w:iCs/>
          <w:color w:val="auto"/>
          <w:sz w:val="18"/>
          <w:szCs w:val="18"/>
          <w:vertAlign w:val="baseline"/>
        </w:rPr>
        <w:t>lan bulgular d</w:t>
      </w:r>
      <w:r w:rsidRPr="00C02E67">
        <w:rPr>
          <w:rStyle w:val="DipnotBavurusu"/>
          <w:rFonts w:cs="Cambria"/>
          <w:i/>
          <w:iCs/>
          <w:color w:val="auto"/>
          <w:sz w:val="18"/>
          <w:szCs w:val="18"/>
          <w:vertAlign w:val="baseline"/>
        </w:rPr>
        <w:t>ışı</w:t>
      </w:r>
      <w:r w:rsidRPr="00C02E67">
        <w:rPr>
          <w:rStyle w:val="DipnotBavurusu"/>
          <w:rFonts w:cs="Noto Serif"/>
          <w:i/>
          <w:iCs/>
          <w:color w:val="auto"/>
          <w:sz w:val="18"/>
          <w:szCs w:val="18"/>
          <w:vertAlign w:val="baseline"/>
        </w:rPr>
        <w:t>ndaki somut deliller de</w:t>
      </w:r>
      <w:r w:rsidRPr="00C02E67">
        <w:rPr>
          <w:rStyle w:val="DipnotBavurusu"/>
          <w:rFonts w:cs="Cambria"/>
          <w:i/>
          <w:iCs/>
          <w:color w:val="auto"/>
          <w:sz w:val="18"/>
          <w:szCs w:val="18"/>
          <w:vertAlign w:val="baseline"/>
        </w:rPr>
        <w:t>ğ</w:t>
      </w:r>
      <w:r w:rsidRPr="00C02E67">
        <w:rPr>
          <w:rStyle w:val="DipnotBavurusu"/>
          <w:rFonts w:cs="Noto Serif"/>
          <w:i/>
          <w:iCs/>
          <w:color w:val="auto"/>
          <w:sz w:val="18"/>
          <w:szCs w:val="18"/>
          <w:vertAlign w:val="baseline"/>
        </w:rPr>
        <w:t>erlendirilerek san</w:t>
      </w:r>
      <w:r w:rsidRPr="00C02E67">
        <w:rPr>
          <w:rStyle w:val="DipnotBavurusu"/>
          <w:rFonts w:cs="Cambria"/>
          <w:i/>
          <w:iCs/>
          <w:color w:val="auto"/>
          <w:sz w:val="18"/>
          <w:szCs w:val="18"/>
          <w:vertAlign w:val="baseline"/>
        </w:rPr>
        <w:t>ığı</w:t>
      </w:r>
      <w:r w:rsidRPr="00C02E67">
        <w:rPr>
          <w:rStyle w:val="DipnotBavurusu"/>
          <w:rFonts w:cs="Noto Serif"/>
          <w:i/>
          <w:iCs/>
          <w:color w:val="auto"/>
          <w:sz w:val="18"/>
          <w:szCs w:val="18"/>
          <w:vertAlign w:val="baseline"/>
        </w:rPr>
        <w:t xml:space="preserve">n hukuksal durumunun tayin ve takdiri gerekmektedir.” </w:t>
      </w:r>
      <w:r w:rsidRPr="00C02E67">
        <w:rPr>
          <w:rFonts w:cs="Noto Serif"/>
          <w:color w:val="auto"/>
          <w:sz w:val="18"/>
          <w:szCs w:val="18"/>
        </w:rPr>
        <w:t>Yarg</w:t>
      </w:r>
      <w:r w:rsidRPr="00C02E67">
        <w:rPr>
          <w:rFonts w:cs="Cambria"/>
          <w:color w:val="auto"/>
          <w:sz w:val="18"/>
          <w:szCs w:val="18"/>
        </w:rPr>
        <w:t>ı</w:t>
      </w:r>
      <w:r w:rsidRPr="00C02E67">
        <w:rPr>
          <w:rFonts w:cs="Noto Serif"/>
          <w:color w:val="auto"/>
          <w:sz w:val="18"/>
          <w:szCs w:val="18"/>
        </w:rPr>
        <w:t xml:space="preserve">tay </w:t>
      </w:r>
      <w:r w:rsidRPr="00C02E67">
        <w:rPr>
          <w:rStyle w:val="DipnotBavurusu"/>
          <w:rFonts w:cs="Noto Serif"/>
          <w:color w:val="auto"/>
          <w:sz w:val="18"/>
          <w:szCs w:val="18"/>
          <w:vertAlign w:val="baseline"/>
        </w:rPr>
        <w:t>Ceza Genel Kurulunun 21.10.2014 T., 2012/1283 E.,  2014/430 K. say</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l</w:t>
      </w:r>
      <w:r w:rsidRPr="00C02E67">
        <w:rPr>
          <w:rStyle w:val="DipnotBavurusu"/>
          <w:rFonts w:cs="Cambria"/>
          <w:color w:val="auto"/>
          <w:sz w:val="18"/>
          <w:szCs w:val="18"/>
          <w:vertAlign w:val="baseline"/>
        </w:rPr>
        <w:t>ı</w:t>
      </w:r>
      <w:r w:rsidRPr="00C02E67">
        <w:rPr>
          <w:rStyle w:val="DipnotBavurusu"/>
          <w:rFonts w:cs="Noto Serif"/>
          <w:color w:val="auto"/>
          <w:sz w:val="18"/>
          <w:szCs w:val="18"/>
          <w:vertAlign w:val="baseline"/>
        </w:rPr>
        <w:t xml:space="preserve"> karar</w:t>
      </w:r>
    </w:p>
  </w:footnote>
  <w:footnote w:id="5">
    <w:p w14:paraId="50089E54" w14:textId="77777777" w:rsidR="00E52E47" w:rsidRPr="00C02E67" w:rsidRDefault="00E52E47" w:rsidP="00BD10C1">
      <w:pPr>
        <w:spacing w:after="0" w:line="240" w:lineRule="auto"/>
        <w:ind w:left="567" w:hanging="567"/>
        <w:rPr>
          <w:rFonts w:cs="Noto Serif"/>
          <w:b/>
          <w:bCs/>
          <w:sz w:val="18"/>
          <w:szCs w:val="18"/>
          <w:u w:val="single"/>
        </w:rPr>
      </w:pPr>
      <w:r w:rsidRPr="00C02E67">
        <w:rPr>
          <w:rStyle w:val="DipnotBavurusu"/>
          <w:rFonts w:cs="Noto Serif"/>
          <w:sz w:val="18"/>
          <w:szCs w:val="18"/>
          <w:vertAlign w:val="baseline"/>
        </w:rPr>
        <w:footnoteRef/>
      </w:r>
      <w:r w:rsidRPr="00C02E67">
        <w:rPr>
          <w:rFonts w:cs="Noto Serif"/>
          <w:sz w:val="18"/>
          <w:szCs w:val="18"/>
        </w:rPr>
        <w:t xml:space="preserve"> Yarg</w:t>
      </w:r>
      <w:r w:rsidRPr="00C02E67">
        <w:rPr>
          <w:rFonts w:cs="Cambria"/>
          <w:sz w:val="18"/>
          <w:szCs w:val="18"/>
        </w:rPr>
        <w:t>ı</w:t>
      </w:r>
      <w:r w:rsidRPr="00C02E67">
        <w:rPr>
          <w:rFonts w:cs="Noto Serif"/>
          <w:sz w:val="18"/>
          <w:szCs w:val="18"/>
        </w:rPr>
        <w:t>tay Ceza Genel Kurulunun 26/9/2017 T., 2017/16.MD-956 E., 2017/370 K. say</w:t>
      </w:r>
      <w:r w:rsidRPr="00C02E67">
        <w:rPr>
          <w:rFonts w:cs="Cambria"/>
          <w:sz w:val="18"/>
          <w:szCs w:val="18"/>
        </w:rPr>
        <w:t>ı</w:t>
      </w:r>
      <w:r w:rsidRPr="00C02E67">
        <w:rPr>
          <w:rFonts w:cs="Noto Serif"/>
          <w:sz w:val="18"/>
          <w:szCs w:val="18"/>
        </w:rPr>
        <w:t>l</w:t>
      </w:r>
      <w:r w:rsidRPr="00C02E67">
        <w:rPr>
          <w:rFonts w:cs="Cambria"/>
          <w:sz w:val="18"/>
          <w:szCs w:val="18"/>
        </w:rPr>
        <w:t>ı</w:t>
      </w:r>
      <w:r w:rsidRPr="00C02E67">
        <w:rPr>
          <w:rFonts w:cs="Noto Serif"/>
          <w:sz w:val="18"/>
          <w:szCs w:val="18"/>
        </w:rPr>
        <w:t xml:space="preserve"> Karar</w:t>
      </w:r>
      <w:r w:rsidRPr="00C02E67">
        <w:rPr>
          <w:rFonts w:cs="Cambria"/>
          <w:sz w:val="18"/>
          <w:szCs w:val="18"/>
        </w:rPr>
        <w:t>ı</w:t>
      </w:r>
      <w:r w:rsidRPr="00C02E67">
        <w:rPr>
          <w:rFonts w:cs="Noto Serif"/>
          <w:sz w:val="18"/>
          <w:szCs w:val="18"/>
        </w:rPr>
        <w:t>.</w:t>
      </w:r>
    </w:p>
  </w:footnote>
  <w:footnote w:id="6">
    <w:p w14:paraId="75AED574" w14:textId="77777777" w:rsidR="00E52E47" w:rsidRPr="00C02E67" w:rsidRDefault="00E52E47" w:rsidP="00BD10C1">
      <w:pPr>
        <w:pStyle w:val="DipnotMetni"/>
        <w:ind w:left="567" w:hanging="567"/>
        <w:rPr>
          <w:sz w:val="18"/>
          <w:szCs w:val="18"/>
        </w:rPr>
      </w:pPr>
      <w:r w:rsidRPr="00C02E67">
        <w:rPr>
          <w:rStyle w:val="DipnotBavurusu"/>
          <w:rFonts w:eastAsiaTheme="majorEastAsia"/>
          <w:sz w:val="18"/>
          <w:szCs w:val="18"/>
          <w:vertAlign w:val="baseline"/>
        </w:rPr>
        <w:footnoteRef/>
      </w:r>
      <w:r w:rsidRPr="00C02E67">
        <w:rPr>
          <w:sz w:val="18"/>
          <w:szCs w:val="18"/>
        </w:rPr>
        <w:t xml:space="preserve"> </w:t>
      </w:r>
      <w:r>
        <w:rPr>
          <w:sz w:val="18"/>
          <w:szCs w:val="18"/>
        </w:rPr>
        <w:tab/>
      </w:r>
      <w:r w:rsidRPr="00C02E67">
        <w:rPr>
          <w:sz w:val="18"/>
          <w:szCs w:val="18"/>
        </w:rPr>
        <w:t>T. Koray Peksayar ve Levent Mazılıgüney tarafından yazılan uzman görüşüne şu linkten ulaşabilirsiniz; https://www.drgokhangunes.com/wp-content/uploads/2021/09/Bylock-Munhasir-mi-TR.pdf</w:t>
      </w:r>
    </w:p>
  </w:footnote>
  <w:footnote w:id="7">
    <w:p w14:paraId="4F3FB448" w14:textId="77777777" w:rsidR="00E52E47" w:rsidRPr="00C02E67" w:rsidRDefault="00E52E47" w:rsidP="00BD10C1">
      <w:pPr>
        <w:pStyle w:val="DipnotMetni"/>
        <w:ind w:left="567" w:hanging="567"/>
        <w:rPr>
          <w:sz w:val="18"/>
          <w:szCs w:val="18"/>
        </w:rPr>
      </w:pPr>
      <w:r w:rsidRPr="00C02E67">
        <w:rPr>
          <w:rStyle w:val="DipnotBavurusu"/>
          <w:rFonts w:eastAsiaTheme="majorEastAsia"/>
          <w:sz w:val="18"/>
          <w:szCs w:val="18"/>
          <w:vertAlign w:val="baseline"/>
        </w:rPr>
        <w:footnoteRef/>
      </w:r>
      <w:r w:rsidRPr="00C02E67">
        <w:rPr>
          <w:sz w:val="18"/>
          <w:szCs w:val="18"/>
        </w:rPr>
        <w:t xml:space="preserve"> </w:t>
      </w:r>
      <w:r>
        <w:rPr>
          <w:sz w:val="18"/>
          <w:szCs w:val="18"/>
        </w:rPr>
        <w:tab/>
      </w:r>
      <w:r w:rsidRPr="00C02E67">
        <w:rPr>
          <w:sz w:val="18"/>
          <w:szCs w:val="18"/>
        </w:rPr>
        <w:t>Yargıtay Ceza Genel Kurulunun, 26/9/2017 T., 2017/16-956 E., 2017/370 K. sayılı kararı.</w:t>
      </w:r>
    </w:p>
  </w:footnote>
  <w:footnote w:id="8">
    <w:p w14:paraId="59F412C9" w14:textId="77777777" w:rsidR="00E52E47" w:rsidRPr="00C02E67" w:rsidRDefault="00E52E47" w:rsidP="00BD10C1">
      <w:pPr>
        <w:pStyle w:val="DipnotMetni"/>
        <w:ind w:left="567" w:hanging="567"/>
        <w:rPr>
          <w:sz w:val="18"/>
          <w:szCs w:val="18"/>
        </w:rPr>
      </w:pPr>
      <w:r w:rsidRPr="00C02E67">
        <w:rPr>
          <w:rStyle w:val="DipnotBavurusu"/>
          <w:rFonts w:eastAsiaTheme="majorEastAsia"/>
          <w:sz w:val="18"/>
          <w:szCs w:val="18"/>
          <w:vertAlign w:val="baseline"/>
        </w:rPr>
        <w:footnoteRef/>
      </w:r>
      <w:r w:rsidRPr="00C02E67">
        <w:rPr>
          <w:sz w:val="18"/>
          <w:szCs w:val="18"/>
        </w:rPr>
        <w:t xml:space="preserve"> </w:t>
      </w:r>
      <w:r w:rsidRPr="00C02E67">
        <w:rPr>
          <w:i/>
          <w:iCs/>
          <w:sz w:val="18"/>
          <w:szCs w:val="18"/>
        </w:rPr>
        <w:tab/>
        <w:t>“…S</w:t>
      </w:r>
      <w:r w:rsidRPr="00C02E67">
        <w:rPr>
          <w:i/>
          <w:iCs/>
          <w:sz w:val="18"/>
          <w:szCs w:val="18"/>
          <w:shd w:val="clear" w:color="auto" w:fill="FFFFFF"/>
        </w:rPr>
        <w:t xml:space="preserve">omut dosyada sanık ...’in kullandığını kabul ettiği 168979 ID numaralı ...’ta sadece diğer sanık ...’ın ekli olması ve </w:t>
      </w:r>
      <w:r w:rsidRPr="00C02E67">
        <w:rPr>
          <w:b/>
          <w:bCs/>
          <w:i/>
          <w:iCs/>
          <w:sz w:val="18"/>
          <w:szCs w:val="18"/>
          <w:u w:val="single"/>
          <w:shd w:val="clear" w:color="auto" w:fill="FFFFFF"/>
        </w:rPr>
        <w:t>yazışma içeriklerinin örgütsel nitelikte olmadığının anlaşılmasına rağmen hatalı değerlendirmeyle sanığın, örgüt talimatı ile bu ağa dahil olunduğunun ve gizliliği sağlamak için haberleşme amacıyla kullanıldığının kabul edilerek yazılı şekilde mahkumiyetine karar verilmesi,</w:t>
      </w:r>
      <w:r w:rsidRPr="00C02E67">
        <w:rPr>
          <w:i/>
          <w:iCs/>
          <w:sz w:val="18"/>
          <w:szCs w:val="18"/>
          <w:shd w:val="clear" w:color="auto" w:fill="FFFFFF"/>
        </w:rPr>
        <w:t xml:space="preserve"> kanuna aykırı, sanık müdafiinin temyiz itirazları bu nedenlerle yerinde görülmüş olduğundan hükmün bu sebepten dolayı CMK'nın 302/2. maddesi uyarınca BOZULMASINA…”</w:t>
      </w:r>
      <w:r w:rsidRPr="00C02E67">
        <w:rPr>
          <w:sz w:val="18"/>
          <w:szCs w:val="18"/>
          <w:shd w:val="clear" w:color="auto" w:fill="FFFFFF"/>
        </w:rPr>
        <w:t xml:space="preserve"> </w:t>
      </w:r>
      <w:r w:rsidRPr="00C02E67">
        <w:rPr>
          <w:rFonts w:cs="Segoe UI"/>
          <w:color w:val="0F1419"/>
          <w:sz w:val="18"/>
          <w:szCs w:val="18"/>
          <w:shd w:val="clear" w:color="auto" w:fill="FFFFFF"/>
        </w:rPr>
        <w:t>16. Ceza Dairesinin 25/6/2020 T., 2019/11650 E., 2020/3039 K. sayılı kararı.</w:t>
      </w:r>
    </w:p>
  </w:footnote>
  <w:footnote w:id="9">
    <w:p w14:paraId="038180B1" w14:textId="77777777" w:rsidR="00E52E47" w:rsidRPr="00C02E67" w:rsidRDefault="00E52E47" w:rsidP="00BD10C1">
      <w:pPr>
        <w:pStyle w:val="DipnotMetni"/>
        <w:ind w:left="567" w:hanging="567"/>
        <w:rPr>
          <w:sz w:val="18"/>
          <w:szCs w:val="18"/>
        </w:rPr>
      </w:pPr>
      <w:r w:rsidRPr="00C02E67">
        <w:rPr>
          <w:rStyle w:val="DipnotBavurusu"/>
          <w:rFonts w:eastAsiaTheme="majorEastAsia"/>
          <w:sz w:val="18"/>
          <w:szCs w:val="18"/>
          <w:vertAlign w:val="baseline"/>
        </w:rPr>
        <w:footnoteRef/>
      </w:r>
      <w:r w:rsidRPr="00C02E67">
        <w:rPr>
          <w:sz w:val="18"/>
          <w:szCs w:val="18"/>
        </w:rPr>
        <w:t xml:space="preserve"> Raporun tamamına şu linkten ulaşabilirsiniz; https://www.drgokhangunes.com/wp-content/uploads/2021/09/ANKARA-CBS-BILIRKISI-RAPORU.pdf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25A"/>
    <w:multiLevelType w:val="hybridMultilevel"/>
    <w:tmpl w:val="6A90AA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2FE7D87"/>
    <w:multiLevelType w:val="hybridMultilevel"/>
    <w:tmpl w:val="0EF07A1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B237542"/>
    <w:multiLevelType w:val="hybridMultilevel"/>
    <w:tmpl w:val="1B90EB64"/>
    <w:lvl w:ilvl="0" w:tplc="39A49950">
      <w:start w:val="1"/>
      <w:numFmt w:val="low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0F630C33"/>
    <w:multiLevelType w:val="multilevel"/>
    <w:tmpl w:val="48C085E8"/>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 w15:restartNumberingAfterBreak="0">
    <w:nsid w:val="13512BB3"/>
    <w:multiLevelType w:val="hybridMultilevel"/>
    <w:tmpl w:val="3274196A"/>
    <w:lvl w:ilvl="0" w:tplc="296A1EB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14FC3ADD"/>
    <w:multiLevelType w:val="hybridMultilevel"/>
    <w:tmpl w:val="0B1C7AE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187A251B"/>
    <w:multiLevelType w:val="hybridMultilevel"/>
    <w:tmpl w:val="799850F8"/>
    <w:lvl w:ilvl="0" w:tplc="5596C23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1CC90C0B"/>
    <w:multiLevelType w:val="hybridMultilevel"/>
    <w:tmpl w:val="77185D72"/>
    <w:lvl w:ilvl="0" w:tplc="041F000B">
      <w:start w:val="1"/>
      <w:numFmt w:val="bullet"/>
      <w:lvlText w:val=""/>
      <w:lvlJc w:val="left"/>
      <w:pPr>
        <w:ind w:left="163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1CFB7CE0"/>
    <w:multiLevelType w:val="hybridMultilevel"/>
    <w:tmpl w:val="ED58FF48"/>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1D6A2F0C"/>
    <w:multiLevelType w:val="hybridMultilevel"/>
    <w:tmpl w:val="73AC1624"/>
    <w:lvl w:ilvl="0" w:tplc="73F042DC">
      <w:start w:val="1"/>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26065BF8"/>
    <w:multiLevelType w:val="hybridMultilevel"/>
    <w:tmpl w:val="E1505D14"/>
    <w:lvl w:ilvl="0" w:tplc="CC207102">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82271F"/>
    <w:multiLevelType w:val="hybridMultilevel"/>
    <w:tmpl w:val="F9E6B254"/>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2AC86BBD"/>
    <w:multiLevelType w:val="hybridMultilevel"/>
    <w:tmpl w:val="464AF15E"/>
    <w:lvl w:ilvl="0" w:tplc="46C8C81C">
      <w:start w:val="1"/>
      <w:numFmt w:val="lowerLetter"/>
      <w:lvlText w:val="%1)"/>
      <w:lvlJc w:val="left"/>
      <w:pPr>
        <w:ind w:left="720" w:hanging="360"/>
      </w:pPr>
    </w:lvl>
    <w:lvl w:ilvl="1" w:tplc="67DCBD0A" w:tentative="1">
      <w:start w:val="1"/>
      <w:numFmt w:val="lowerLetter"/>
      <w:lvlText w:val="%2."/>
      <w:lvlJc w:val="left"/>
      <w:pPr>
        <w:ind w:left="1440" w:hanging="360"/>
      </w:pPr>
    </w:lvl>
    <w:lvl w:ilvl="2" w:tplc="B86C80FC" w:tentative="1">
      <w:start w:val="1"/>
      <w:numFmt w:val="lowerRoman"/>
      <w:lvlText w:val="%3."/>
      <w:lvlJc w:val="right"/>
      <w:pPr>
        <w:ind w:left="2160" w:hanging="180"/>
      </w:pPr>
    </w:lvl>
    <w:lvl w:ilvl="3" w:tplc="BFD285AC" w:tentative="1">
      <w:start w:val="1"/>
      <w:numFmt w:val="decimal"/>
      <w:lvlText w:val="%4."/>
      <w:lvlJc w:val="left"/>
      <w:pPr>
        <w:ind w:left="2880" w:hanging="360"/>
      </w:pPr>
    </w:lvl>
    <w:lvl w:ilvl="4" w:tplc="A2820714" w:tentative="1">
      <w:start w:val="1"/>
      <w:numFmt w:val="lowerLetter"/>
      <w:lvlText w:val="%5."/>
      <w:lvlJc w:val="left"/>
      <w:pPr>
        <w:ind w:left="3600" w:hanging="360"/>
      </w:pPr>
    </w:lvl>
    <w:lvl w:ilvl="5" w:tplc="0DD87254" w:tentative="1">
      <w:start w:val="1"/>
      <w:numFmt w:val="lowerRoman"/>
      <w:lvlText w:val="%6."/>
      <w:lvlJc w:val="right"/>
      <w:pPr>
        <w:ind w:left="4320" w:hanging="180"/>
      </w:pPr>
    </w:lvl>
    <w:lvl w:ilvl="6" w:tplc="63E83746" w:tentative="1">
      <w:start w:val="1"/>
      <w:numFmt w:val="decimal"/>
      <w:lvlText w:val="%7."/>
      <w:lvlJc w:val="left"/>
      <w:pPr>
        <w:ind w:left="5040" w:hanging="360"/>
      </w:pPr>
    </w:lvl>
    <w:lvl w:ilvl="7" w:tplc="E3E69A46" w:tentative="1">
      <w:start w:val="1"/>
      <w:numFmt w:val="lowerLetter"/>
      <w:lvlText w:val="%8."/>
      <w:lvlJc w:val="left"/>
      <w:pPr>
        <w:ind w:left="5760" w:hanging="360"/>
      </w:pPr>
    </w:lvl>
    <w:lvl w:ilvl="8" w:tplc="DAB022CE" w:tentative="1">
      <w:start w:val="1"/>
      <w:numFmt w:val="lowerRoman"/>
      <w:lvlText w:val="%9."/>
      <w:lvlJc w:val="right"/>
      <w:pPr>
        <w:ind w:left="6480" w:hanging="180"/>
      </w:pPr>
    </w:lvl>
  </w:abstractNum>
  <w:abstractNum w:abstractNumId="13" w15:restartNumberingAfterBreak="0">
    <w:nsid w:val="30C65BE9"/>
    <w:multiLevelType w:val="hybridMultilevel"/>
    <w:tmpl w:val="2FD46136"/>
    <w:lvl w:ilvl="0" w:tplc="ED9E624A">
      <w:start w:val="1"/>
      <w:numFmt w:val="bullet"/>
      <w:lvlText w:val=""/>
      <w:lvlJc w:val="left"/>
      <w:pPr>
        <w:ind w:left="1004" w:hanging="360"/>
      </w:pPr>
      <w:rPr>
        <w:rFonts w:ascii="Wingdings" w:hAnsi="Wingdings" w:hint="default"/>
        <w:b/>
        <w:bCs/>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15:restartNumberingAfterBreak="0">
    <w:nsid w:val="361A3786"/>
    <w:multiLevelType w:val="hybridMultilevel"/>
    <w:tmpl w:val="05CCD0DE"/>
    <w:lvl w:ilvl="0" w:tplc="FFFAB854">
      <w:start w:val="8"/>
      <w:numFmt w:val="low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3BA97FA7"/>
    <w:multiLevelType w:val="hybridMultilevel"/>
    <w:tmpl w:val="C85CF09E"/>
    <w:lvl w:ilvl="0" w:tplc="415245DE">
      <w:start w:val="1"/>
      <w:numFmt w:val="upperLetter"/>
      <w:lvlText w:val="%1."/>
      <w:lvlJc w:val="left"/>
      <w:pPr>
        <w:ind w:left="1047" w:hanging="48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A82818"/>
    <w:multiLevelType w:val="hybridMultilevel"/>
    <w:tmpl w:val="AA983118"/>
    <w:lvl w:ilvl="0" w:tplc="BA02928E">
      <w:start w:val="1"/>
      <w:numFmt w:val="upperLetter"/>
      <w:pStyle w:val="Balk1"/>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7" w15:restartNumberingAfterBreak="0">
    <w:nsid w:val="41255D02"/>
    <w:multiLevelType w:val="hybridMultilevel"/>
    <w:tmpl w:val="68E0D1D4"/>
    <w:lvl w:ilvl="0" w:tplc="5B16E92E">
      <w:start w:val="1"/>
      <w:numFmt w:val="decimal"/>
      <w:lvlText w:val="%1."/>
      <w:lvlJc w:val="left"/>
      <w:pPr>
        <w:ind w:left="1069" w:hanging="360"/>
      </w:pPr>
      <w:rPr>
        <w:rFonts w:hint="default"/>
        <w:b/>
        <w:bCs/>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15:restartNumberingAfterBreak="0">
    <w:nsid w:val="41AC1547"/>
    <w:multiLevelType w:val="hybridMultilevel"/>
    <w:tmpl w:val="8654D242"/>
    <w:lvl w:ilvl="0" w:tplc="D7D0CCB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2250CB"/>
    <w:multiLevelType w:val="hybridMultilevel"/>
    <w:tmpl w:val="EDB01A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590068"/>
    <w:multiLevelType w:val="hybridMultilevel"/>
    <w:tmpl w:val="62EEAC9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15:restartNumberingAfterBreak="0">
    <w:nsid w:val="4FD035AB"/>
    <w:multiLevelType w:val="hybridMultilevel"/>
    <w:tmpl w:val="1B28120C"/>
    <w:lvl w:ilvl="0" w:tplc="C65E960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51A32341"/>
    <w:multiLevelType w:val="hybridMultilevel"/>
    <w:tmpl w:val="B81C77E8"/>
    <w:lvl w:ilvl="0" w:tplc="07FA6C9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15:restartNumberingAfterBreak="0">
    <w:nsid w:val="54660561"/>
    <w:multiLevelType w:val="hybridMultilevel"/>
    <w:tmpl w:val="50EA7F0C"/>
    <w:lvl w:ilvl="0" w:tplc="88C6941C">
      <w:start w:val="1"/>
      <w:numFmt w:val="lowerRoman"/>
      <w:pStyle w:val="Balk4"/>
      <w:lvlText w:val="%1."/>
      <w:lvlJc w:val="left"/>
      <w:pPr>
        <w:ind w:left="1340" w:hanging="360"/>
      </w:pPr>
      <w:rPr>
        <w:rFonts w:hint="default"/>
      </w:rPr>
    </w:lvl>
    <w:lvl w:ilvl="1" w:tplc="041F0019" w:tentative="1">
      <w:start w:val="1"/>
      <w:numFmt w:val="lowerLetter"/>
      <w:lvlText w:val="%2."/>
      <w:lvlJc w:val="left"/>
      <w:pPr>
        <w:ind w:left="2060" w:hanging="360"/>
      </w:pPr>
    </w:lvl>
    <w:lvl w:ilvl="2" w:tplc="041F001B" w:tentative="1">
      <w:start w:val="1"/>
      <w:numFmt w:val="lowerRoman"/>
      <w:lvlText w:val="%3."/>
      <w:lvlJc w:val="right"/>
      <w:pPr>
        <w:ind w:left="2780" w:hanging="180"/>
      </w:pPr>
    </w:lvl>
    <w:lvl w:ilvl="3" w:tplc="041F000F" w:tentative="1">
      <w:start w:val="1"/>
      <w:numFmt w:val="decimal"/>
      <w:lvlText w:val="%4."/>
      <w:lvlJc w:val="left"/>
      <w:pPr>
        <w:ind w:left="3500" w:hanging="360"/>
      </w:pPr>
    </w:lvl>
    <w:lvl w:ilvl="4" w:tplc="041F0019" w:tentative="1">
      <w:start w:val="1"/>
      <w:numFmt w:val="lowerLetter"/>
      <w:lvlText w:val="%5."/>
      <w:lvlJc w:val="left"/>
      <w:pPr>
        <w:ind w:left="4220" w:hanging="360"/>
      </w:pPr>
    </w:lvl>
    <w:lvl w:ilvl="5" w:tplc="041F001B" w:tentative="1">
      <w:start w:val="1"/>
      <w:numFmt w:val="lowerRoman"/>
      <w:lvlText w:val="%6."/>
      <w:lvlJc w:val="right"/>
      <w:pPr>
        <w:ind w:left="4940" w:hanging="180"/>
      </w:pPr>
    </w:lvl>
    <w:lvl w:ilvl="6" w:tplc="041F000F" w:tentative="1">
      <w:start w:val="1"/>
      <w:numFmt w:val="decimal"/>
      <w:lvlText w:val="%7."/>
      <w:lvlJc w:val="left"/>
      <w:pPr>
        <w:ind w:left="5660" w:hanging="360"/>
      </w:pPr>
    </w:lvl>
    <w:lvl w:ilvl="7" w:tplc="041F0019" w:tentative="1">
      <w:start w:val="1"/>
      <w:numFmt w:val="lowerLetter"/>
      <w:lvlText w:val="%8."/>
      <w:lvlJc w:val="left"/>
      <w:pPr>
        <w:ind w:left="6380" w:hanging="360"/>
      </w:pPr>
    </w:lvl>
    <w:lvl w:ilvl="8" w:tplc="041F001B" w:tentative="1">
      <w:start w:val="1"/>
      <w:numFmt w:val="lowerRoman"/>
      <w:lvlText w:val="%9."/>
      <w:lvlJc w:val="right"/>
      <w:pPr>
        <w:ind w:left="7100" w:hanging="180"/>
      </w:pPr>
    </w:lvl>
  </w:abstractNum>
  <w:abstractNum w:abstractNumId="24" w15:restartNumberingAfterBreak="0">
    <w:nsid w:val="547A168C"/>
    <w:multiLevelType w:val="hybridMultilevel"/>
    <w:tmpl w:val="4B8C937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8D51A07"/>
    <w:multiLevelType w:val="hybridMultilevel"/>
    <w:tmpl w:val="B0089704"/>
    <w:lvl w:ilvl="0" w:tplc="057A683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6" w15:restartNumberingAfterBreak="0">
    <w:nsid w:val="5CC127F9"/>
    <w:multiLevelType w:val="hybridMultilevel"/>
    <w:tmpl w:val="AC12E01E"/>
    <w:lvl w:ilvl="0" w:tplc="89A4BA5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5DD32889"/>
    <w:multiLevelType w:val="hybridMultilevel"/>
    <w:tmpl w:val="B6FA2A3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15:restartNumberingAfterBreak="0">
    <w:nsid w:val="5FE34F03"/>
    <w:multiLevelType w:val="hybridMultilevel"/>
    <w:tmpl w:val="BA76B302"/>
    <w:lvl w:ilvl="0" w:tplc="DF3EF9F0">
      <w:start w:val="1"/>
      <w:numFmt w:val="lowerLetter"/>
      <w:pStyle w:val="Balk3"/>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6EE47E93"/>
    <w:multiLevelType w:val="hybridMultilevel"/>
    <w:tmpl w:val="228CDC44"/>
    <w:lvl w:ilvl="0" w:tplc="B4EE7B8C">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15:restartNumberingAfterBreak="0">
    <w:nsid w:val="760449A0"/>
    <w:multiLevelType w:val="hybridMultilevel"/>
    <w:tmpl w:val="8B1ACBC6"/>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1" w15:restartNumberingAfterBreak="0">
    <w:nsid w:val="78884F2A"/>
    <w:multiLevelType w:val="hybridMultilevel"/>
    <w:tmpl w:val="B7C80154"/>
    <w:lvl w:ilvl="0" w:tplc="A9BAF3DA">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16cid:durableId="1980912908">
    <w:abstractNumId w:val="18"/>
  </w:num>
  <w:num w:numId="2" w16cid:durableId="1272275250">
    <w:abstractNumId w:val="5"/>
  </w:num>
  <w:num w:numId="3" w16cid:durableId="1818187101">
    <w:abstractNumId w:val="27"/>
  </w:num>
  <w:num w:numId="4" w16cid:durableId="285308293">
    <w:abstractNumId w:val="11"/>
  </w:num>
  <w:num w:numId="5" w16cid:durableId="941256672">
    <w:abstractNumId w:val="7"/>
  </w:num>
  <w:num w:numId="6" w16cid:durableId="1939167746">
    <w:abstractNumId w:val="0"/>
  </w:num>
  <w:num w:numId="7" w16cid:durableId="1904829197">
    <w:abstractNumId w:val="3"/>
  </w:num>
  <w:num w:numId="8" w16cid:durableId="942109212">
    <w:abstractNumId w:val="1"/>
  </w:num>
  <w:num w:numId="9" w16cid:durableId="1116633203">
    <w:abstractNumId w:val="15"/>
  </w:num>
  <w:num w:numId="10" w16cid:durableId="467356398">
    <w:abstractNumId w:val="29"/>
  </w:num>
  <w:num w:numId="11" w16cid:durableId="2070228020">
    <w:abstractNumId w:val="22"/>
  </w:num>
  <w:num w:numId="12" w16cid:durableId="1597472752">
    <w:abstractNumId w:val="21"/>
  </w:num>
  <w:num w:numId="13" w16cid:durableId="1959871925">
    <w:abstractNumId w:val="28"/>
  </w:num>
  <w:num w:numId="14" w16cid:durableId="704063366">
    <w:abstractNumId w:val="28"/>
    <w:lvlOverride w:ilvl="0">
      <w:startOverride w:val="1"/>
    </w:lvlOverride>
  </w:num>
  <w:num w:numId="15" w16cid:durableId="2008554181">
    <w:abstractNumId w:val="28"/>
    <w:lvlOverride w:ilvl="0">
      <w:startOverride w:val="1"/>
    </w:lvlOverride>
  </w:num>
  <w:num w:numId="16" w16cid:durableId="1595825562">
    <w:abstractNumId w:val="28"/>
    <w:lvlOverride w:ilvl="0">
      <w:startOverride w:val="1"/>
    </w:lvlOverride>
  </w:num>
  <w:num w:numId="17" w16cid:durableId="1649162237">
    <w:abstractNumId w:val="28"/>
    <w:lvlOverride w:ilvl="0">
      <w:startOverride w:val="1"/>
    </w:lvlOverride>
  </w:num>
  <w:num w:numId="18" w16cid:durableId="172380973">
    <w:abstractNumId w:val="28"/>
    <w:lvlOverride w:ilvl="0">
      <w:startOverride w:val="1"/>
    </w:lvlOverride>
  </w:num>
  <w:num w:numId="19" w16cid:durableId="1947075659">
    <w:abstractNumId w:val="28"/>
    <w:lvlOverride w:ilvl="0">
      <w:startOverride w:val="1"/>
    </w:lvlOverride>
  </w:num>
  <w:num w:numId="20" w16cid:durableId="867566849">
    <w:abstractNumId w:val="2"/>
  </w:num>
  <w:num w:numId="21" w16cid:durableId="1820266061">
    <w:abstractNumId w:val="28"/>
    <w:lvlOverride w:ilvl="0">
      <w:startOverride w:val="1"/>
    </w:lvlOverride>
  </w:num>
  <w:num w:numId="22" w16cid:durableId="1367682869">
    <w:abstractNumId w:val="28"/>
    <w:lvlOverride w:ilvl="0">
      <w:startOverride w:val="1"/>
    </w:lvlOverride>
  </w:num>
  <w:num w:numId="23" w16cid:durableId="396517171">
    <w:abstractNumId w:val="14"/>
  </w:num>
  <w:num w:numId="24" w16cid:durableId="207451648">
    <w:abstractNumId w:val="12"/>
  </w:num>
  <w:num w:numId="25" w16cid:durableId="1852140874">
    <w:abstractNumId w:val="30"/>
  </w:num>
  <w:num w:numId="26" w16cid:durableId="24060853">
    <w:abstractNumId w:val="8"/>
  </w:num>
  <w:num w:numId="27" w16cid:durableId="428159944">
    <w:abstractNumId w:val="20"/>
  </w:num>
  <w:num w:numId="28" w16cid:durableId="1229534449">
    <w:abstractNumId w:val="13"/>
  </w:num>
  <w:num w:numId="29" w16cid:durableId="958031388">
    <w:abstractNumId w:val="25"/>
  </w:num>
  <w:num w:numId="30" w16cid:durableId="700711117">
    <w:abstractNumId w:val="31"/>
  </w:num>
  <w:num w:numId="31" w16cid:durableId="787314950">
    <w:abstractNumId w:val="9"/>
  </w:num>
  <w:num w:numId="32" w16cid:durableId="198667585">
    <w:abstractNumId w:val="4"/>
  </w:num>
  <w:num w:numId="33" w16cid:durableId="1814784837">
    <w:abstractNumId w:val="19"/>
  </w:num>
  <w:num w:numId="34" w16cid:durableId="1320889827">
    <w:abstractNumId w:val="24"/>
  </w:num>
  <w:num w:numId="35" w16cid:durableId="1560752253">
    <w:abstractNumId w:val="10"/>
  </w:num>
  <w:num w:numId="36" w16cid:durableId="1160075307">
    <w:abstractNumId w:val="6"/>
  </w:num>
  <w:num w:numId="37" w16cid:durableId="1258097489">
    <w:abstractNumId w:val="26"/>
  </w:num>
  <w:num w:numId="38" w16cid:durableId="792483353">
    <w:abstractNumId w:val="16"/>
  </w:num>
  <w:num w:numId="39" w16cid:durableId="885139062">
    <w:abstractNumId w:val="16"/>
  </w:num>
  <w:num w:numId="40" w16cid:durableId="1424179082">
    <w:abstractNumId w:val="23"/>
  </w:num>
  <w:num w:numId="41" w16cid:durableId="1428574793">
    <w:abstractNumId w:val="28"/>
    <w:lvlOverride w:ilvl="0">
      <w:startOverride w:val="1"/>
    </w:lvlOverride>
  </w:num>
  <w:num w:numId="42" w16cid:durableId="1557545439">
    <w:abstractNumId w:val="28"/>
    <w:lvlOverride w:ilvl="0">
      <w:startOverride w:val="1"/>
    </w:lvlOverride>
  </w:num>
  <w:num w:numId="43" w16cid:durableId="159582633">
    <w:abstractNumId w:val="28"/>
    <w:lvlOverride w:ilvl="0">
      <w:startOverride w:val="1"/>
    </w:lvlOverride>
  </w:num>
  <w:num w:numId="44" w16cid:durableId="2034648301">
    <w:abstractNumId w:val="17"/>
  </w:num>
  <w:num w:numId="45" w16cid:durableId="2012098417">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C0"/>
    <w:rsid w:val="00011C35"/>
    <w:rsid w:val="000120DD"/>
    <w:rsid w:val="00012CDC"/>
    <w:rsid w:val="00027E3F"/>
    <w:rsid w:val="0003583D"/>
    <w:rsid w:val="00041E11"/>
    <w:rsid w:val="00046C44"/>
    <w:rsid w:val="0004797D"/>
    <w:rsid w:val="00052794"/>
    <w:rsid w:val="0005419C"/>
    <w:rsid w:val="000548E1"/>
    <w:rsid w:val="000740EC"/>
    <w:rsid w:val="0007687A"/>
    <w:rsid w:val="000828D1"/>
    <w:rsid w:val="000833E2"/>
    <w:rsid w:val="00093099"/>
    <w:rsid w:val="00094299"/>
    <w:rsid w:val="000967E9"/>
    <w:rsid w:val="000B26A1"/>
    <w:rsid w:val="000B5413"/>
    <w:rsid w:val="000C14D3"/>
    <w:rsid w:val="000C32C1"/>
    <w:rsid w:val="000D23AE"/>
    <w:rsid w:val="000D5910"/>
    <w:rsid w:val="000E3E38"/>
    <w:rsid w:val="000E4431"/>
    <w:rsid w:val="000F0EFB"/>
    <w:rsid w:val="000F3003"/>
    <w:rsid w:val="00103360"/>
    <w:rsid w:val="001043FB"/>
    <w:rsid w:val="001175E1"/>
    <w:rsid w:val="0012390F"/>
    <w:rsid w:val="00136478"/>
    <w:rsid w:val="00140A07"/>
    <w:rsid w:val="001478B9"/>
    <w:rsid w:val="00152903"/>
    <w:rsid w:val="00156308"/>
    <w:rsid w:val="00162628"/>
    <w:rsid w:val="00172F3A"/>
    <w:rsid w:val="00180AE4"/>
    <w:rsid w:val="0018292C"/>
    <w:rsid w:val="00192009"/>
    <w:rsid w:val="001A4080"/>
    <w:rsid w:val="001B208E"/>
    <w:rsid w:val="001B3D41"/>
    <w:rsid w:val="001B6E95"/>
    <w:rsid w:val="001B7148"/>
    <w:rsid w:val="001B7C25"/>
    <w:rsid w:val="001C007C"/>
    <w:rsid w:val="001C583C"/>
    <w:rsid w:val="001C6A38"/>
    <w:rsid w:val="001C7171"/>
    <w:rsid w:val="001D73F2"/>
    <w:rsid w:val="001E086F"/>
    <w:rsid w:val="001E09BE"/>
    <w:rsid w:val="001E1535"/>
    <w:rsid w:val="001E1C5E"/>
    <w:rsid w:val="001E585B"/>
    <w:rsid w:val="001E7EA2"/>
    <w:rsid w:val="001F17EE"/>
    <w:rsid w:val="001F3188"/>
    <w:rsid w:val="001F4C88"/>
    <w:rsid w:val="00202F61"/>
    <w:rsid w:val="00207770"/>
    <w:rsid w:val="0021110F"/>
    <w:rsid w:val="0021112B"/>
    <w:rsid w:val="002119F1"/>
    <w:rsid w:val="00211B8F"/>
    <w:rsid w:val="0021557D"/>
    <w:rsid w:val="002178E4"/>
    <w:rsid w:val="00220E6E"/>
    <w:rsid w:val="00230F2E"/>
    <w:rsid w:val="0024631E"/>
    <w:rsid w:val="002517DF"/>
    <w:rsid w:val="00271C45"/>
    <w:rsid w:val="0028061F"/>
    <w:rsid w:val="002827D6"/>
    <w:rsid w:val="002872D5"/>
    <w:rsid w:val="0029202E"/>
    <w:rsid w:val="00293624"/>
    <w:rsid w:val="002A5417"/>
    <w:rsid w:val="002A7272"/>
    <w:rsid w:val="002B20E6"/>
    <w:rsid w:val="002C2A40"/>
    <w:rsid w:val="002C4800"/>
    <w:rsid w:val="002C7B2E"/>
    <w:rsid w:val="002D266C"/>
    <w:rsid w:val="002D2D97"/>
    <w:rsid w:val="002D57B2"/>
    <w:rsid w:val="002D58F8"/>
    <w:rsid w:val="002E1A47"/>
    <w:rsid w:val="002E5F74"/>
    <w:rsid w:val="002F518C"/>
    <w:rsid w:val="00305945"/>
    <w:rsid w:val="00307A9B"/>
    <w:rsid w:val="003130DE"/>
    <w:rsid w:val="003151FD"/>
    <w:rsid w:val="00331EFB"/>
    <w:rsid w:val="00343CCB"/>
    <w:rsid w:val="0035290E"/>
    <w:rsid w:val="0035575B"/>
    <w:rsid w:val="0036705D"/>
    <w:rsid w:val="0037127A"/>
    <w:rsid w:val="00371567"/>
    <w:rsid w:val="00381A35"/>
    <w:rsid w:val="003858C0"/>
    <w:rsid w:val="003900C2"/>
    <w:rsid w:val="003931E7"/>
    <w:rsid w:val="003A4711"/>
    <w:rsid w:val="003B40EE"/>
    <w:rsid w:val="003B44F3"/>
    <w:rsid w:val="003C11CB"/>
    <w:rsid w:val="003C4D8E"/>
    <w:rsid w:val="003D6957"/>
    <w:rsid w:val="003E2B08"/>
    <w:rsid w:val="003E7C30"/>
    <w:rsid w:val="003F141D"/>
    <w:rsid w:val="003F279A"/>
    <w:rsid w:val="003F7632"/>
    <w:rsid w:val="004014C2"/>
    <w:rsid w:val="00406E05"/>
    <w:rsid w:val="00410034"/>
    <w:rsid w:val="00412A5A"/>
    <w:rsid w:val="00420A7B"/>
    <w:rsid w:val="00432EF6"/>
    <w:rsid w:val="00435DB7"/>
    <w:rsid w:val="00436EEC"/>
    <w:rsid w:val="00437276"/>
    <w:rsid w:val="004378BF"/>
    <w:rsid w:val="004424EC"/>
    <w:rsid w:val="00442D63"/>
    <w:rsid w:val="0044328A"/>
    <w:rsid w:val="004467DD"/>
    <w:rsid w:val="00447420"/>
    <w:rsid w:val="004515F0"/>
    <w:rsid w:val="00452FE0"/>
    <w:rsid w:val="0045752F"/>
    <w:rsid w:val="004612A5"/>
    <w:rsid w:val="004621A2"/>
    <w:rsid w:val="0047147A"/>
    <w:rsid w:val="004716CB"/>
    <w:rsid w:val="00472D97"/>
    <w:rsid w:val="00473CF3"/>
    <w:rsid w:val="004749A9"/>
    <w:rsid w:val="004838B7"/>
    <w:rsid w:val="004838D2"/>
    <w:rsid w:val="0048449B"/>
    <w:rsid w:val="00490625"/>
    <w:rsid w:val="00491ECF"/>
    <w:rsid w:val="0049547B"/>
    <w:rsid w:val="004A327D"/>
    <w:rsid w:val="004C3337"/>
    <w:rsid w:val="004C3977"/>
    <w:rsid w:val="004C4C34"/>
    <w:rsid w:val="004D60B0"/>
    <w:rsid w:val="004F4739"/>
    <w:rsid w:val="004F6A72"/>
    <w:rsid w:val="004F7C26"/>
    <w:rsid w:val="005224A3"/>
    <w:rsid w:val="00522CC4"/>
    <w:rsid w:val="005300DD"/>
    <w:rsid w:val="00532ECF"/>
    <w:rsid w:val="00534A1C"/>
    <w:rsid w:val="00537E01"/>
    <w:rsid w:val="00537ED2"/>
    <w:rsid w:val="00547438"/>
    <w:rsid w:val="005533A4"/>
    <w:rsid w:val="005538F8"/>
    <w:rsid w:val="005566ED"/>
    <w:rsid w:val="00556EED"/>
    <w:rsid w:val="00557E40"/>
    <w:rsid w:val="005671C0"/>
    <w:rsid w:val="00576A71"/>
    <w:rsid w:val="005800CD"/>
    <w:rsid w:val="005860F9"/>
    <w:rsid w:val="0059541E"/>
    <w:rsid w:val="005A0E4F"/>
    <w:rsid w:val="005B1A6B"/>
    <w:rsid w:val="005B33D3"/>
    <w:rsid w:val="005B6522"/>
    <w:rsid w:val="005C2AB5"/>
    <w:rsid w:val="005C2FC5"/>
    <w:rsid w:val="005C5B85"/>
    <w:rsid w:val="005D0185"/>
    <w:rsid w:val="005D018F"/>
    <w:rsid w:val="005D7413"/>
    <w:rsid w:val="005E06E1"/>
    <w:rsid w:val="005E133B"/>
    <w:rsid w:val="005E315C"/>
    <w:rsid w:val="005E6A85"/>
    <w:rsid w:val="005F25C6"/>
    <w:rsid w:val="005F4C64"/>
    <w:rsid w:val="005F7B28"/>
    <w:rsid w:val="006070DB"/>
    <w:rsid w:val="006111FB"/>
    <w:rsid w:val="0061648E"/>
    <w:rsid w:val="00617081"/>
    <w:rsid w:val="006227BE"/>
    <w:rsid w:val="00632013"/>
    <w:rsid w:val="006364DC"/>
    <w:rsid w:val="00636A05"/>
    <w:rsid w:val="00641E36"/>
    <w:rsid w:val="00646577"/>
    <w:rsid w:val="0065371E"/>
    <w:rsid w:val="00653A26"/>
    <w:rsid w:val="0065557D"/>
    <w:rsid w:val="00655E6D"/>
    <w:rsid w:val="00656802"/>
    <w:rsid w:val="00667148"/>
    <w:rsid w:val="0067080C"/>
    <w:rsid w:val="0067294C"/>
    <w:rsid w:val="00673BD5"/>
    <w:rsid w:val="00690FAB"/>
    <w:rsid w:val="00695618"/>
    <w:rsid w:val="006A04BF"/>
    <w:rsid w:val="006B0E31"/>
    <w:rsid w:val="006B7529"/>
    <w:rsid w:val="006C29B7"/>
    <w:rsid w:val="006D3F75"/>
    <w:rsid w:val="006D6151"/>
    <w:rsid w:val="006F76CE"/>
    <w:rsid w:val="0071055D"/>
    <w:rsid w:val="00712201"/>
    <w:rsid w:val="0071359A"/>
    <w:rsid w:val="00727CD7"/>
    <w:rsid w:val="00730BAC"/>
    <w:rsid w:val="00730C0A"/>
    <w:rsid w:val="00733EA9"/>
    <w:rsid w:val="00736FCD"/>
    <w:rsid w:val="00742351"/>
    <w:rsid w:val="00744ECC"/>
    <w:rsid w:val="0074767B"/>
    <w:rsid w:val="00751CBD"/>
    <w:rsid w:val="00755064"/>
    <w:rsid w:val="00756AE1"/>
    <w:rsid w:val="00756F20"/>
    <w:rsid w:val="00764AF6"/>
    <w:rsid w:val="007668FF"/>
    <w:rsid w:val="007736FA"/>
    <w:rsid w:val="00775384"/>
    <w:rsid w:val="0078054C"/>
    <w:rsid w:val="0078170D"/>
    <w:rsid w:val="007A350D"/>
    <w:rsid w:val="007A3ADA"/>
    <w:rsid w:val="007B0FBB"/>
    <w:rsid w:val="007B1436"/>
    <w:rsid w:val="007B213E"/>
    <w:rsid w:val="007E0A39"/>
    <w:rsid w:val="007E13D9"/>
    <w:rsid w:val="007E54FC"/>
    <w:rsid w:val="007E7177"/>
    <w:rsid w:val="007E7293"/>
    <w:rsid w:val="007F2CFD"/>
    <w:rsid w:val="008030B0"/>
    <w:rsid w:val="008151DE"/>
    <w:rsid w:val="00824B11"/>
    <w:rsid w:val="0082732C"/>
    <w:rsid w:val="0083293C"/>
    <w:rsid w:val="00833DD9"/>
    <w:rsid w:val="0084161D"/>
    <w:rsid w:val="00846DF2"/>
    <w:rsid w:val="00850312"/>
    <w:rsid w:val="008537A1"/>
    <w:rsid w:val="00874162"/>
    <w:rsid w:val="0088420A"/>
    <w:rsid w:val="008928D3"/>
    <w:rsid w:val="00892CBF"/>
    <w:rsid w:val="00897F76"/>
    <w:rsid w:val="008A1B7C"/>
    <w:rsid w:val="008A53B7"/>
    <w:rsid w:val="008A7EB8"/>
    <w:rsid w:val="008C2B9C"/>
    <w:rsid w:val="008C5DBE"/>
    <w:rsid w:val="008C6D93"/>
    <w:rsid w:val="008C714A"/>
    <w:rsid w:val="008D0A13"/>
    <w:rsid w:val="008D6119"/>
    <w:rsid w:val="008D7EB2"/>
    <w:rsid w:val="008E07AA"/>
    <w:rsid w:val="008E3CD6"/>
    <w:rsid w:val="008E5C36"/>
    <w:rsid w:val="008E7813"/>
    <w:rsid w:val="008F1E87"/>
    <w:rsid w:val="0090130B"/>
    <w:rsid w:val="00924A2D"/>
    <w:rsid w:val="00930FF0"/>
    <w:rsid w:val="00931E47"/>
    <w:rsid w:val="00943001"/>
    <w:rsid w:val="00951027"/>
    <w:rsid w:val="0095609F"/>
    <w:rsid w:val="0096192A"/>
    <w:rsid w:val="00966B30"/>
    <w:rsid w:val="00976675"/>
    <w:rsid w:val="009B11FE"/>
    <w:rsid w:val="009B2888"/>
    <w:rsid w:val="009C487D"/>
    <w:rsid w:val="009C609D"/>
    <w:rsid w:val="009D1C4B"/>
    <w:rsid w:val="009D7EBE"/>
    <w:rsid w:val="009E3D31"/>
    <w:rsid w:val="009E59E2"/>
    <w:rsid w:val="009E7BDA"/>
    <w:rsid w:val="009F4644"/>
    <w:rsid w:val="00A22C8A"/>
    <w:rsid w:val="00A24A94"/>
    <w:rsid w:val="00A26C1A"/>
    <w:rsid w:val="00A27A98"/>
    <w:rsid w:val="00A30088"/>
    <w:rsid w:val="00A44675"/>
    <w:rsid w:val="00A46D9E"/>
    <w:rsid w:val="00A53D89"/>
    <w:rsid w:val="00A5435A"/>
    <w:rsid w:val="00A86110"/>
    <w:rsid w:val="00A91455"/>
    <w:rsid w:val="00A959C4"/>
    <w:rsid w:val="00AB31E0"/>
    <w:rsid w:val="00AD13D7"/>
    <w:rsid w:val="00B07C51"/>
    <w:rsid w:val="00B20F9D"/>
    <w:rsid w:val="00B32001"/>
    <w:rsid w:val="00B36A01"/>
    <w:rsid w:val="00B36E19"/>
    <w:rsid w:val="00B37BD4"/>
    <w:rsid w:val="00B41130"/>
    <w:rsid w:val="00B41B1E"/>
    <w:rsid w:val="00B4346D"/>
    <w:rsid w:val="00B4697E"/>
    <w:rsid w:val="00B61C63"/>
    <w:rsid w:val="00B746BD"/>
    <w:rsid w:val="00B76F02"/>
    <w:rsid w:val="00B76F0E"/>
    <w:rsid w:val="00B82809"/>
    <w:rsid w:val="00B82CA4"/>
    <w:rsid w:val="00B85D60"/>
    <w:rsid w:val="00B979C1"/>
    <w:rsid w:val="00B97E61"/>
    <w:rsid w:val="00BA162B"/>
    <w:rsid w:val="00BC2100"/>
    <w:rsid w:val="00BC4CAA"/>
    <w:rsid w:val="00BC50B7"/>
    <w:rsid w:val="00BC5834"/>
    <w:rsid w:val="00BD05A8"/>
    <w:rsid w:val="00BD10C1"/>
    <w:rsid w:val="00BD12FD"/>
    <w:rsid w:val="00BD2189"/>
    <w:rsid w:val="00BD7420"/>
    <w:rsid w:val="00BE41C2"/>
    <w:rsid w:val="00BE5330"/>
    <w:rsid w:val="00BF19B5"/>
    <w:rsid w:val="00BF4D74"/>
    <w:rsid w:val="00C059B2"/>
    <w:rsid w:val="00C05A4F"/>
    <w:rsid w:val="00C07F84"/>
    <w:rsid w:val="00C11ED7"/>
    <w:rsid w:val="00C129F2"/>
    <w:rsid w:val="00C12DE5"/>
    <w:rsid w:val="00C140DD"/>
    <w:rsid w:val="00C200BE"/>
    <w:rsid w:val="00C53033"/>
    <w:rsid w:val="00C543D3"/>
    <w:rsid w:val="00C62D08"/>
    <w:rsid w:val="00C638F6"/>
    <w:rsid w:val="00C72D38"/>
    <w:rsid w:val="00C73868"/>
    <w:rsid w:val="00C77BC8"/>
    <w:rsid w:val="00C84331"/>
    <w:rsid w:val="00C86113"/>
    <w:rsid w:val="00CA1B82"/>
    <w:rsid w:val="00CB0A78"/>
    <w:rsid w:val="00CB6247"/>
    <w:rsid w:val="00CC3082"/>
    <w:rsid w:val="00CC3721"/>
    <w:rsid w:val="00CC4090"/>
    <w:rsid w:val="00CC4E11"/>
    <w:rsid w:val="00CC5E49"/>
    <w:rsid w:val="00CD49D6"/>
    <w:rsid w:val="00CD552A"/>
    <w:rsid w:val="00D011C1"/>
    <w:rsid w:val="00D03018"/>
    <w:rsid w:val="00D04939"/>
    <w:rsid w:val="00D12355"/>
    <w:rsid w:val="00D21099"/>
    <w:rsid w:val="00D2329D"/>
    <w:rsid w:val="00D32AFC"/>
    <w:rsid w:val="00D41926"/>
    <w:rsid w:val="00D4599F"/>
    <w:rsid w:val="00D702D7"/>
    <w:rsid w:val="00D70E49"/>
    <w:rsid w:val="00D728FF"/>
    <w:rsid w:val="00D73FFB"/>
    <w:rsid w:val="00D81F79"/>
    <w:rsid w:val="00D83680"/>
    <w:rsid w:val="00D9554C"/>
    <w:rsid w:val="00DA20F7"/>
    <w:rsid w:val="00DB0A1B"/>
    <w:rsid w:val="00DB1A20"/>
    <w:rsid w:val="00DB5FBD"/>
    <w:rsid w:val="00DB739A"/>
    <w:rsid w:val="00DB7896"/>
    <w:rsid w:val="00DD460C"/>
    <w:rsid w:val="00DF253F"/>
    <w:rsid w:val="00E00A18"/>
    <w:rsid w:val="00E05A5A"/>
    <w:rsid w:val="00E143BA"/>
    <w:rsid w:val="00E246F5"/>
    <w:rsid w:val="00E34EDE"/>
    <w:rsid w:val="00E40F94"/>
    <w:rsid w:val="00E43C63"/>
    <w:rsid w:val="00E4566D"/>
    <w:rsid w:val="00E52E47"/>
    <w:rsid w:val="00E551A3"/>
    <w:rsid w:val="00E603B7"/>
    <w:rsid w:val="00E60A22"/>
    <w:rsid w:val="00E635BF"/>
    <w:rsid w:val="00E65E48"/>
    <w:rsid w:val="00E74311"/>
    <w:rsid w:val="00E75494"/>
    <w:rsid w:val="00E85F7D"/>
    <w:rsid w:val="00E86FE2"/>
    <w:rsid w:val="00E91CEB"/>
    <w:rsid w:val="00E93561"/>
    <w:rsid w:val="00EA39E2"/>
    <w:rsid w:val="00EA3BEA"/>
    <w:rsid w:val="00EA4B5A"/>
    <w:rsid w:val="00EA4C8F"/>
    <w:rsid w:val="00EB07BC"/>
    <w:rsid w:val="00EB1A5B"/>
    <w:rsid w:val="00EC4D5A"/>
    <w:rsid w:val="00EC5C00"/>
    <w:rsid w:val="00ED181A"/>
    <w:rsid w:val="00ED70B3"/>
    <w:rsid w:val="00ED7D88"/>
    <w:rsid w:val="00EE0BC4"/>
    <w:rsid w:val="00EE51AC"/>
    <w:rsid w:val="00F00494"/>
    <w:rsid w:val="00F00AC0"/>
    <w:rsid w:val="00F11B13"/>
    <w:rsid w:val="00F1725A"/>
    <w:rsid w:val="00F17D8C"/>
    <w:rsid w:val="00F20C07"/>
    <w:rsid w:val="00F24FF5"/>
    <w:rsid w:val="00F274B0"/>
    <w:rsid w:val="00F44D36"/>
    <w:rsid w:val="00F4536C"/>
    <w:rsid w:val="00F508C9"/>
    <w:rsid w:val="00F85018"/>
    <w:rsid w:val="00F961C4"/>
    <w:rsid w:val="00FA0756"/>
    <w:rsid w:val="00FA16DF"/>
    <w:rsid w:val="00FA2709"/>
    <w:rsid w:val="00FB264A"/>
    <w:rsid w:val="00FB3E05"/>
    <w:rsid w:val="00FB4077"/>
    <w:rsid w:val="00FC254E"/>
    <w:rsid w:val="00FC39AA"/>
    <w:rsid w:val="00FC533E"/>
    <w:rsid w:val="00FC6C75"/>
    <w:rsid w:val="00FD40D2"/>
    <w:rsid w:val="00FD59E9"/>
    <w:rsid w:val="00FE1357"/>
    <w:rsid w:val="00FE4E09"/>
    <w:rsid w:val="00FE545C"/>
    <w:rsid w:val="00FE5EF1"/>
    <w:rsid w:val="00FE6A66"/>
    <w:rsid w:val="00FF28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DE952"/>
  <w15:docId w15:val="{2F2EE307-4993-407E-A225-3AF6B33E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A4F"/>
    <w:pPr>
      <w:shd w:val="clear" w:color="auto" w:fill="FFFFFF"/>
      <w:tabs>
        <w:tab w:val="left" w:pos="1134"/>
      </w:tabs>
      <w:ind w:firstLine="567"/>
      <w:jc w:val="both"/>
    </w:pPr>
    <w:rPr>
      <w:rFonts w:ascii="Palatino Linotype" w:eastAsia="Times New Roman" w:hAnsi="Palatino Linotype" w:cs="Times New Roman"/>
      <w:lang w:eastAsia="tr-TR"/>
    </w:rPr>
  </w:style>
  <w:style w:type="paragraph" w:styleId="Balk1">
    <w:name w:val="heading 1"/>
    <w:basedOn w:val="Normal"/>
    <w:next w:val="Normal"/>
    <w:link w:val="Balk1Char"/>
    <w:uiPriority w:val="9"/>
    <w:qFormat/>
    <w:rsid w:val="004D60B0"/>
    <w:pPr>
      <w:keepNext/>
      <w:keepLines/>
      <w:numPr>
        <w:numId w:val="38"/>
      </w:numPr>
      <w:tabs>
        <w:tab w:val="clear" w:pos="1134"/>
        <w:tab w:val="left" w:pos="709"/>
      </w:tabs>
      <w:spacing w:before="240" w:after="0" w:line="360" w:lineRule="auto"/>
      <w:ind w:left="993" w:hanging="284"/>
      <w:outlineLvl w:val="0"/>
    </w:pPr>
    <w:rPr>
      <w:rFonts w:ascii="Palatino" w:eastAsiaTheme="majorEastAsia" w:hAnsi="Palatino" w:cstheme="majorBidi"/>
      <w:b/>
      <w:bCs/>
      <w:color w:val="000000" w:themeColor="text1"/>
      <w:kern w:val="2"/>
    </w:rPr>
  </w:style>
  <w:style w:type="paragraph" w:styleId="Balk2">
    <w:name w:val="heading 2"/>
    <w:basedOn w:val="Normal"/>
    <w:next w:val="Normal"/>
    <w:link w:val="Balk2Char"/>
    <w:uiPriority w:val="9"/>
    <w:unhideWhenUsed/>
    <w:qFormat/>
    <w:rsid w:val="004D60B0"/>
    <w:pPr>
      <w:keepNext/>
      <w:keepLines/>
      <w:tabs>
        <w:tab w:val="clear" w:pos="1134"/>
        <w:tab w:val="left" w:pos="709"/>
      </w:tabs>
      <w:spacing w:before="40" w:after="0" w:line="360" w:lineRule="auto"/>
      <w:ind w:left="851" w:hanging="142"/>
      <w:outlineLvl w:val="1"/>
    </w:pPr>
    <w:rPr>
      <w:rFonts w:ascii="Palatino" w:eastAsiaTheme="majorEastAsia" w:hAnsi="Palatino" w:cstheme="majorBidi"/>
      <w:b/>
      <w:bCs/>
      <w:color w:val="000000" w:themeColor="text1"/>
    </w:rPr>
  </w:style>
  <w:style w:type="paragraph" w:styleId="Balk3">
    <w:name w:val="heading 3"/>
    <w:basedOn w:val="Normal"/>
    <w:next w:val="Normal"/>
    <w:link w:val="Balk3Char"/>
    <w:uiPriority w:val="9"/>
    <w:unhideWhenUsed/>
    <w:qFormat/>
    <w:rsid w:val="0065557D"/>
    <w:pPr>
      <w:keepNext/>
      <w:keepLines/>
      <w:numPr>
        <w:numId w:val="13"/>
      </w:numPr>
      <w:tabs>
        <w:tab w:val="clear" w:pos="1134"/>
        <w:tab w:val="left" w:pos="709"/>
      </w:tabs>
      <w:spacing w:before="200" w:after="0" w:line="360" w:lineRule="auto"/>
      <w:ind w:hanging="218"/>
      <w:outlineLvl w:val="2"/>
    </w:pPr>
    <w:rPr>
      <w:rFonts w:ascii="Palatino" w:eastAsiaTheme="majorEastAsia" w:hAnsi="Palatino" w:cstheme="majorBidi"/>
      <w:b/>
      <w:bCs/>
      <w:color w:val="000000" w:themeColor="text1"/>
      <w:shd w:val="clear" w:color="auto" w:fill="FFFFFF"/>
    </w:rPr>
  </w:style>
  <w:style w:type="paragraph" w:styleId="Balk4">
    <w:name w:val="heading 4"/>
    <w:basedOn w:val="Normal"/>
    <w:next w:val="Normal"/>
    <w:link w:val="Balk4Char"/>
    <w:uiPriority w:val="9"/>
    <w:unhideWhenUsed/>
    <w:qFormat/>
    <w:rsid w:val="001E09BE"/>
    <w:pPr>
      <w:keepNext/>
      <w:keepLines/>
      <w:numPr>
        <w:numId w:val="40"/>
      </w:numPr>
      <w:tabs>
        <w:tab w:val="clear" w:pos="1134"/>
        <w:tab w:val="left" w:pos="851"/>
      </w:tabs>
      <w:spacing w:before="40" w:after="0" w:line="360" w:lineRule="auto"/>
      <w:ind w:left="851" w:hanging="284"/>
      <w:outlineLvl w:val="3"/>
    </w:pPr>
    <w:rPr>
      <w:rFonts w:ascii="Palatino" w:eastAsiaTheme="majorEastAsia" w:hAnsi="Palatino" w:cstheme="majorBidi"/>
      <w:b/>
      <w:bCs/>
      <w:i/>
      <w:iCs/>
      <w:color w:val="000000" w:themeColor="text1"/>
    </w:rPr>
  </w:style>
  <w:style w:type="paragraph" w:styleId="Balk5">
    <w:name w:val="heading 5"/>
    <w:basedOn w:val="Normal"/>
    <w:next w:val="Normal"/>
    <w:link w:val="Balk5Char"/>
    <w:uiPriority w:val="9"/>
    <w:unhideWhenUsed/>
    <w:qFormat/>
    <w:rsid w:val="00E52E47"/>
    <w:pPr>
      <w:shd w:val="clear" w:color="auto" w:fill="auto"/>
      <w:tabs>
        <w:tab w:val="clear" w:pos="1134"/>
      </w:tabs>
      <w:spacing w:before="200" w:after="120" w:line="240" w:lineRule="auto"/>
      <w:ind w:firstLine="0"/>
      <w:jc w:val="left"/>
      <w:outlineLvl w:val="4"/>
    </w:pPr>
    <w:rPr>
      <w:rFonts w:ascii="Times New Roman" w:hAnsi="Times New Roman"/>
      <w:b/>
      <w:color w:val="808080"/>
      <w:lang w:val="tr" w:eastAsia="fr-CH"/>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aliases w:val="Dipnot Metni Char Char Char Char,Dipnot Metni Char Char Char"/>
    <w:basedOn w:val="Normal"/>
    <w:link w:val="DipnotMetniChar"/>
    <w:uiPriority w:val="99"/>
    <w:unhideWhenUsed/>
    <w:rsid w:val="005C2AB5"/>
    <w:pPr>
      <w:spacing w:after="0" w:line="240" w:lineRule="auto"/>
    </w:pPr>
    <w:rPr>
      <w:sz w:val="20"/>
      <w:szCs w:val="20"/>
    </w:rPr>
  </w:style>
  <w:style w:type="character" w:customStyle="1" w:styleId="DipnotMetniChar">
    <w:name w:val="Dipnot Metni Char"/>
    <w:aliases w:val="Dipnot Metni Char Char Char Char Char,Dipnot Metni Char Char Char Char1"/>
    <w:basedOn w:val="VarsaylanParagrafYazTipi"/>
    <w:link w:val="DipnotMetni"/>
    <w:uiPriority w:val="99"/>
    <w:rsid w:val="005C2AB5"/>
    <w:rPr>
      <w:sz w:val="20"/>
      <w:szCs w:val="20"/>
    </w:rPr>
  </w:style>
  <w:style w:type="character" w:styleId="DipnotBavurusu">
    <w:name w:val="footnote reference"/>
    <w:aliases w:val="4_G,Footnotes refss,Appel note de bas de p.,Footnote text,ftref"/>
    <w:basedOn w:val="VarsaylanParagrafYazTipi"/>
    <w:uiPriority w:val="99"/>
    <w:unhideWhenUsed/>
    <w:qFormat/>
    <w:rsid w:val="005C2AB5"/>
    <w:rPr>
      <w:vertAlign w:val="superscript"/>
    </w:rPr>
  </w:style>
  <w:style w:type="character" w:customStyle="1" w:styleId="sbb9ee52a">
    <w:name w:val="sbb9ee52a"/>
    <w:basedOn w:val="VarsaylanParagrafYazTipi"/>
    <w:rsid w:val="005C2AB5"/>
  </w:style>
  <w:style w:type="character" w:styleId="Gl">
    <w:name w:val="Strong"/>
    <w:basedOn w:val="VarsaylanParagrafYazTipi"/>
    <w:uiPriority w:val="22"/>
    <w:qFormat/>
    <w:rsid w:val="00632013"/>
    <w:rPr>
      <w:b/>
      <w:bCs/>
    </w:rPr>
  </w:style>
  <w:style w:type="paragraph" w:styleId="NormalWeb">
    <w:name w:val="Normal (Web)"/>
    <w:basedOn w:val="Normal"/>
    <w:uiPriority w:val="99"/>
    <w:unhideWhenUsed/>
    <w:rsid w:val="00B746BD"/>
    <w:pPr>
      <w:spacing w:before="100" w:beforeAutospacing="1" w:after="100" w:afterAutospacing="1" w:line="240" w:lineRule="auto"/>
    </w:pPr>
    <w:rPr>
      <w:rFonts w:ascii="Times New Roman" w:hAnsi="Times New Roman"/>
      <w:sz w:val="24"/>
      <w:szCs w:val="24"/>
    </w:rPr>
  </w:style>
  <w:style w:type="paragraph" w:styleId="ListeParagraf">
    <w:name w:val="List Paragraph"/>
    <w:basedOn w:val="Normal"/>
    <w:uiPriority w:val="34"/>
    <w:qFormat/>
    <w:rsid w:val="00B746BD"/>
    <w:pPr>
      <w:ind w:left="720"/>
      <w:contextualSpacing/>
    </w:pPr>
    <w:rPr>
      <w:kern w:val="2"/>
    </w:rPr>
  </w:style>
  <w:style w:type="paragraph" w:customStyle="1" w:styleId="DIPSON">
    <w:name w:val="DIP SON"/>
    <w:basedOn w:val="Normal"/>
    <w:uiPriority w:val="99"/>
    <w:rsid w:val="00CC4E11"/>
    <w:pPr>
      <w:keepLines/>
      <w:autoSpaceDE w:val="0"/>
      <w:autoSpaceDN w:val="0"/>
      <w:adjustRightInd w:val="0"/>
      <w:spacing w:after="0" w:line="288" w:lineRule="auto"/>
      <w:ind w:left="283" w:hanging="283"/>
      <w:textAlignment w:val="center"/>
    </w:pPr>
    <w:rPr>
      <w:rFonts w:cs="Palatino Linotype"/>
      <w:color w:val="000000"/>
      <w:sz w:val="16"/>
      <w:szCs w:val="16"/>
    </w:rPr>
  </w:style>
  <w:style w:type="character" w:customStyle="1" w:styleId="Balk3Char">
    <w:name w:val="Başlık 3 Char"/>
    <w:basedOn w:val="VarsaylanParagrafYazTipi"/>
    <w:link w:val="Balk3"/>
    <w:uiPriority w:val="9"/>
    <w:rsid w:val="0065557D"/>
    <w:rPr>
      <w:rFonts w:ascii="Palatino" w:eastAsiaTheme="majorEastAsia" w:hAnsi="Palatino" w:cstheme="majorBidi"/>
      <w:b/>
      <w:bCs/>
      <w:color w:val="000000" w:themeColor="text1"/>
      <w:shd w:val="clear" w:color="auto" w:fill="FFFFFF"/>
      <w:lang w:eastAsia="tr-TR"/>
    </w:rPr>
  </w:style>
  <w:style w:type="character" w:customStyle="1" w:styleId="Balk4Char">
    <w:name w:val="Başlık 4 Char"/>
    <w:basedOn w:val="VarsaylanParagrafYazTipi"/>
    <w:link w:val="Balk4"/>
    <w:uiPriority w:val="9"/>
    <w:rsid w:val="001E09BE"/>
    <w:rPr>
      <w:rFonts w:ascii="Palatino" w:eastAsiaTheme="majorEastAsia" w:hAnsi="Palatino" w:cstheme="majorBidi"/>
      <w:b/>
      <w:bCs/>
      <w:i/>
      <w:iCs/>
      <w:color w:val="000000" w:themeColor="text1"/>
      <w:shd w:val="clear" w:color="auto" w:fill="FFFFFF"/>
      <w:lang w:eastAsia="tr-TR"/>
    </w:rPr>
  </w:style>
  <w:style w:type="character" w:styleId="Kpr">
    <w:name w:val="Hyperlink"/>
    <w:basedOn w:val="VarsaylanParagrafYazTipi"/>
    <w:uiPriority w:val="99"/>
    <w:unhideWhenUsed/>
    <w:rsid w:val="003900C2"/>
    <w:rPr>
      <w:color w:val="0563C1" w:themeColor="hyperlink"/>
      <w:u w:val="single"/>
    </w:rPr>
  </w:style>
  <w:style w:type="character" w:customStyle="1" w:styleId="r-b88u0q">
    <w:name w:val="r-b88u0q"/>
    <w:basedOn w:val="VarsaylanParagrafYazTipi"/>
    <w:rsid w:val="003E7C30"/>
  </w:style>
  <w:style w:type="character" w:customStyle="1" w:styleId="r-36ujnk">
    <w:name w:val="r-36ujnk"/>
    <w:basedOn w:val="VarsaylanParagrafYazTipi"/>
    <w:rsid w:val="003E7C30"/>
  </w:style>
  <w:style w:type="paragraph" w:styleId="stBilgi">
    <w:name w:val="header"/>
    <w:basedOn w:val="Normal"/>
    <w:link w:val="stBilgiChar"/>
    <w:uiPriority w:val="99"/>
    <w:unhideWhenUsed/>
    <w:rsid w:val="002C2A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2A40"/>
  </w:style>
  <w:style w:type="paragraph" w:styleId="AltBilgi">
    <w:name w:val="footer"/>
    <w:basedOn w:val="Normal"/>
    <w:link w:val="AltBilgiChar"/>
    <w:uiPriority w:val="99"/>
    <w:unhideWhenUsed/>
    <w:rsid w:val="002C2A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2A40"/>
  </w:style>
  <w:style w:type="character" w:customStyle="1" w:styleId="Balk2Char">
    <w:name w:val="Başlık 2 Char"/>
    <w:basedOn w:val="VarsaylanParagrafYazTipi"/>
    <w:link w:val="Balk2"/>
    <w:uiPriority w:val="9"/>
    <w:rsid w:val="004D60B0"/>
    <w:rPr>
      <w:rFonts w:ascii="Palatino" w:eastAsiaTheme="majorEastAsia" w:hAnsi="Palatino" w:cstheme="majorBidi"/>
      <w:b/>
      <w:bCs/>
      <w:color w:val="000000" w:themeColor="text1"/>
      <w:shd w:val="clear" w:color="auto" w:fill="FFFFFF"/>
      <w:lang w:eastAsia="tr-TR"/>
    </w:rPr>
  </w:style>
  <w:style w:type="character" w:customStyle="1" w:styleId="Balk1Char">
    <w:name w:val="Başlık 1 Char"/>
    <w:basedOn w:val="VarsaylanParagrafYazTipi"/>
    <w:link w:val="Balk1"/>
    <w:uiPriority w:val="9"/>
    <w:rsid w:val="004D60B0"/>
    <w:rPr>
      <w:rFonts w:ascii="Palatino" w:eastAsiaTheme="majorEastAsia" w:hAnsi="Palatino" w:cstheme="majorBidi"/>
      <w:b/>
      <w:bCs/>
      <w:color w:val="000000" w:themeColor="text1"/>
      <w:kern w:val="2"/>
      <w:shd w:val="clear" w:color="auto" w:fill="FFFFFF"/>
      <w:lang w:eastAsia="tr-TR"/>
    </w:rPr>
  </w:style>
  <w:style w:type="character" w:styleId="Vurgu">
    <w:name w:val="Emphasis"/>
    <w:basedOn w:val="VarsaylanParagrafYazTipi"/>
    <w:uiPriority w:val="20"/>
    <w:qFormat/>
    <w:rsid w:val="00BD12FD"/>
    <w:rPr>
      <w:i/>
      <w:iCs/>
    </w:rPr>
  </w:style>
  <w:style w:type="character" w:styleId="zmlenmeyenBahsetme">
    <w:name w:val="Unresolved Mention"/>
    <w:basedOn w:val="VarsaylanParagrafYazTipi"/>
    <w:uiPriority w:val="99"/>
    <w:semiHidden/>
    <w:unhideWhenUsed/>
    <w:rsid w:val="00F11B13"/>
    <w:rPr>
      <w:color w:val="605E5C"/>
      <w:shd w:val="clear" w:color="auto" w:fill="E1DFDD"/>
    </w:rPr>
  </w:style>
  <w:style w:type="paragraph" w:customStyle="1" w:styleId="bbc-hhl7in">
    <w:name w:val="bbc-hhl7in"/>
    <w:basedOn w:val="Normal"/>
    <w:rsid w:val="00192009"/>
    <w:pPr>
      <w:spacing w:before="100" w:beforeAutospacing="1" w:after="100" w:afterAutospacing="1" w:line="240" w:lineRule="auto"/>
    </w:pPr>
    <w:rPr>
      <w:rFonts w:ascii="Times New Roman" w:hAnsi="Times New Roman"/>
      <w:sz w:val="24"/>
      <w:szCs w:val="24"/>
    </w:rPr>
  </w:style>
  <w:style w:type="character" w:styleId="HafifVurgulama">
    <w:name w:val="Subtle Emphasis"/>
    <w:basedOn w:val="VarsaylanParagrafYazTipi"/>
    <w:uiPriority w:val="19"/>
    <w:qFormat/>
    <w:rsid w:val="00371567"/>
    <w:rPr>
      <w:i/>
      <w:iCs/>
      <w:color w:val="808080" w:themeColor="text1" w:themeTint="7F"/>
    </w:rPr>
  </w:style>
  <w:style w:type="character" w:customStyle="1" w:styleId="DipnotKarakterleri">
    <w:name w:val="Dipnot Karakterleri"/>
    <w:rsid w:val="001E1535"/>
  </w:style>
  <w:style w:type="character" w:customStyle="1" w:styleId="DipnotBavurusu1">
    <w:name w:val="Dipnot Başvurusu1"/>
    <w:rsid w:val="001E1535"/>
    <w:rPr>
      <w:vertAlign w:val="superscript"/>
    </w:rPr>
  </w:style>
  <w:style w:type="character" w:customStyle="1" w:styleId="spelle">
    <w:name w:val="spelle"/>
    <w:basedOn w:val="VarsaylanParagrafYazTipi"/>
    <w:rsid w:val="0078170D"/>
  </w:style>
  <w:style w:type="table" w:styleId="TabloKlavuzu">
    <w:name w:val="Table Grid"/>
    <w:basedOn w:val="NormalTablo"/>
    <w:uiPriority w:val="39"/>
    <w:rsid w:val="00976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976675"/>
    <w:pPr>
      <w:spacing w:after="0" w:line="240" w:lineRule="auto"/>
    </w:pPr>
  </w:style>
  <w:style w:type="character" w:styleId="zlenenKpr">
    <w:name w:val="FollowedHyperlink"/>
    <w:basedOn w:val="VarsaylanParagrafYazTipi"/>
    <w:uiPriority w:val="99"/>
    <w:semiHidden/>
    <w:unhideWhenUsed/>
    <w:rsid w:val="00924A2D"/>
    <w:rPr>
      <w:color w:val="954F72" w:themeColor="followedHyperlink"/>
      <w:u w:val="single"/>
    </w:rPr>
  </w:style>
  <w:style w:type="character" w:styleId="SayfaNumaras">
    <w:name w:val="page number"/>
    <w:basedOn w:val="VarsaylanParagrafYazTipi"/>
    <w:uiPriority w:val="99"/>
    <w:semiHidden/>
    <w:unhideWhenUsed/>
    <w:rsid w:val="00924A2D"/>
  </w:style>
  <w:style w:type="character" w:customStyle="1" w:styleId="zmlenmeyenBahsetme1">
    <w:name w:val="Çözümlenmeyen Bahsetme1"/>
    <w:basedOn w:val="VarsaylanParagrafYazTipi"/>
    <w:uiPriority w:val="99"/>
    <w:semiHidden/>
    <w:unhideWhenUsed/>
    <w:rsid w:val="00924A2D"/>
    <w:rPr>
      <w:color w:val="605E5C"/>
      <w:shd w:val="clear" w:color="auto" w:fill="E1DFDD"/>
    </w:rPr>
  </w:style>
  <w:style w:type="character" w:customStyle="1" w:styleId="AralkYokChar">
    <w:name w:val="Aralık Yok Char"/>
    <w:basedOn w:val="VarsaylanParagrafYazTipi"/>
    <w:link w:val="AralkYok"/>
    <w:uiPriority w:val="1"/>
    <w:rsid w:val="00FC6C75"/>
  </w:style>
  <w:style w:type="paragraph" w:styleId="T3">
    <w:name w:val="toc 3"/>
    <w:basedOn w:val="Normal"/>
    <w:next w:val="Normal"/>
    <w:autoRedefine/>
    <w:uiPriority w:val="39"/>
    <w:unhideWhenUsed/>
    <w:rsid w:val="00BA162B"/>
    <w:pPr>
      <w:tabs>
        <w:tab w:val="clear" w:pos="1134"/>
      </w:tabs>
      <w:spacing w:after="0"/>
      <w:ind w:left="440"/>
      <w:jc w:val="left"/>
    </w:pPr>
    <w:rPr>
      <w:rFonts w:asciiTheme="minorHAnsi" w:hAnsiTheme="minorHAnsi" w:cstheme="minorHAnsi"/>
      <w:sz w:val="20"/>
      <w:szCs w:val="20"/>
    </w:rPr>
  </w:style>
  <w:style w:type="paragraph" w:styleId="TBal">
    <w:name w:val="TOC Heading"/>
    <w:basedOn w:val="Balk1"/>
    <w:next w:val="Normal"/>
    <w:uiPriority w:val="39"/>
    <w:unhideWhenUsed/>
    <w:qFormat/>
    <w:rsid w:val="00C05A4F"/>
    <w:pPr>
      <w:spacing w:before="480" w:line="276" w:lineRule="auto"/>
      <w:ind w:left="0"/>
      <w:jc w:val="left"/>
      <w:outlineLvl w:val="9"/>
    </w:pPr>
    <w:rPr>
      <w:rFonts w:asciiTheme="majorHAnsi" w:hAnsiTheme="majorHAnsi"/>
      <w:color w:val="2E74B5" w:themeColor="accent1" w:themeShade="BF"/>
      <w:kern w:val="0"/>
      <w:sz w:val="28"/>
      <w:szCs w:val="28"/>
    </w:rPr>
  </w:style>
  <w:style w:type="paragraph" w:styleId="T2">
    <w:name w:val="toc 2"/>
    <w:basedOn w:val="Normal"/>
    <w:next w:val="Normal"/>
    <w:autoRedefine/>
    <w:uiPriority w:val="39"/>
    <w:unhideWhenUsed/>
    <w:rsid w:val="00136478"/>
    <w:pPr>
      <w:tabs>
        <w:tab w:val="clear" w:pos="1134"/>
        <w:tab w:val="right" w:leader="dot" w:pos="9061"/>
      </w:tabs>
      <w:spacing w:before="120" w:after="0"/>
      <w:ind w:left="708" w:firstLine="79"/>
    </w:pPr>
    <w:rPr>
      <w:rFonts w:asciiTheme="minorHAnsi" w:hAnsiTheme="minorHAnsi" w:cstheme="minorHAnsi"/>
      <w:b/>
      <w:bCs/>
    </w:rPr>
  </w:style>
  <w:style w:type="paragraph" w:styleId="T1">
    <w:name w:val="toc 1"/>
    <w:basedOn w:val="Normal"/>
    <w:next w:val="Normal"/>
    <w:autoRedefine/>
    <w:uiPriority w:val="39"/>
    <w:unhideWhenUsed/>
    <w:rsid w:val="00BA162B"/>
    <w:pPr>
      <w:tabs>
        <w:tab w:val="clear" w:pos="1134"/>
      </w:tabs>
      <w:spacing w:before="120" w:after="0"/>
      <w:jc w:val="left"/>
    </w:pPr>
    <w:rPr>
      <w:rFonts w:asciiTheme="minorHAnsi" w:hAnsiTheme="minorHAnsi" w:cstheme="minorHAnsi"/>
      <w:b/>
      <w:bCs/>
      <w:i/>
      <w:iCs/>
      <w:sz w:val="24"/>
      <w:szCs w:val="24"/>
    </w:rPr>
  </w:style>
  <w:style w:type="paragraph" w:styleId="T4">
    <w:name w:val="toc 4"/>
    <w:basedOn w:val="Normal"/>
    <w:next w:val="Normal"/>
    <w:autoRedefine/>
    <w:uiPriority w:val="39"/>
    <w:unhideWhenUsed/>
    <w:rsid w:val="00733EA9"/>
    <w:pPr>
      <w:tabs>
        <w:tab w:val="clear" w:pos="1134"/>
      </w:tabs>
      <w:spacing w:after="0"/>
      <w:ind w:left="660"/>
      <w:jc w:val="left"/>
    </w:pPr>
    <w:rPr>
      <w:rFonts w:asciiTheme="minorHAnsi" w:hAnsiTheme="minorHAnsi" w:cstheme="minorHAnsi"/>
      <w:sz w:val="20"/>
      <w:szCs w:val="20"/>
    </w:rPr>
  </w:style>
  <w:style w:type="paragraph" w:styleId="T5">
    <w:name w:val="toc 5"/>
    <w:basedOn w:val="Normal"/>
    <w:next w:val="Normal"/>
    <w:autoRedefine/>
    <w:uiPriority w:val="39"/>
    <w:unhideWhenUsed/>
    <w:rsid w:val="00C05A4F"/>
    <w:pPr>
      <w:tabs>
        <w:tab w:val="clear" w:pos="1134"/>
      </w:tabs>
      <w:spacing w:after="0"/>
      <w:ind w:left="880"/>
      <w:jc w:val="left"/>
    </w:pPr>
    <w:rPr>
      <w:rFonts w:asciiTheme="minorHAnsi" w:hAnsiTheme="minorHAnsi" w:cstheme="minorHAnsi"/>
      <w:sz w:val="20"/>
      <w:szCs w:val="20"/>
    </w:rPr>
  </w:style>
  <w:style w:type="paragraph" w:styleId="T6">
    <w:name w:val="toc 6"/>
    <w:basedOn w:val="Normal"/>
    <w:next w:val="Normal"/>
    <w:autoRedefine/>
    <w:uiPriority w:val="39"/>
    <w:unhideWhenUsed/>
    <w:rsid w:val="00C05A4F"/>
    <w:pPr>
      <w:tabs>
        <w:tab w:val="clear" w:pos="1134"/>
      </w:tabs>
      <w:spacing w:after="0"/>
      <w:ind w:left="11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C05A4F"/>
    <w:pPr>
      <w:tabs>
        <w:tab w:val="clear" w:pos="1134"/>
      </w:tabs>
      <w:spacing w:after="0"/>
      <w:ind w:left="1320"/>
      <w:jc w:val="left"/>
    </w:pPr>
    <w:rPr>
      <w:rFonts w:asciiTheme="minorHAnsi" w:hAnsiTheme="minorHAnsi" w:cstheme="minorHAnsi"/>
      <w:sz w:val="20"/>
      <w:szCs w:val="20"/>
    </w:rPr>
  </w:style>
  <w:style w:type="paragraph" w:styleId="T8">
    <w:name w:val="toc 8"/>
    <w:basedOn w:val="Normal"/>
    <w:next w:val="Normal"/>
    <w:autoRedefine/>
    <w:uiPriority w:val="39"/>
    <w:unhideWhenUsed/>
    <w:rsid w:val="00C05A4F"/>
    <w:pPr>
      <w:tabs>
        <w:tab w:val="clear" w:pos="1134"/>
      </w:tabs>
      <w:spacing w:after="0"/>
      <w:ind w:left="1540"/>
      <w:jc w:val="left"/>
    </w:pPr>
    <w:rPr>
      <w:rFonts w:asciiTheme="minorHAnsi" w:hAnsiTheme="minorHAnsi" w:cstheme="minorHAnsi"/>
      <w:sz w:val="20"/>
      <w:szCs w:val="20"/>
    </w:rPr>
  </w:style>
  <w:style w:type="paragraph" w:styleId="T9">
    <w:name w:val="toc 9"/>
    <w:basedOn w:val="Normal"/>
    <w:next w:val="Normal"/>
    <w:autoRedefine/>
    <w:uiPriority w:val="39"/>
    <w:unhideWhenUsed/>
    <w:rsid w:val="00C05A4F"/>
    <w:pPr>
      <w:tabs>
        <w:tab w:val="clear" w:pos="1134"/>
      </w:tabs>
      <w:spacing w:after="0"/>
      <w:ind w:left="1760"/>
      <w:jc w:val="left"/>
    </w:pPr>
    <w:rPr>
      <w:rFonts w:asciiTheme="minorHAnsi" w:hAnsiTheme="minorHAnsi" w:cstheme="minorHAnsi"/>
      <w:sz w:val="20"/>
      <w:szCs w:val="20"/>
    </w:rPr>
  </w:style>
  <w:style w:type="character" w:customStyle="1" w:styleId="Balk5Char">
    <w:name w:val="Başlık 5 Char"/>
    <w:basedOn w:val="VarsaylanParagrafYazTipi"/>
    <w:link w:val="Balk5"/>
    <w:uiPriority w:val="9"/>
    <w:rsid w:val="00E52E47"/>
    <w:rPr>
      <w:rFonts w:ascii="Times New Roman" w:eastAsia="Times New Roman" w:hAnsi="Times New Roman" w:cs="Times New Roman"/>
      <w:b/>
      <w:color w:val="808080"/>
      <w:lang w:val="tr" w:eastAsia="fr-CH"/>
    </w:rPr>
  </w:style>
  <w:style w:type="paragraph" w:customStyle="1" w:styleId="JuPara">
    <w:name w:val="Ju_Para"/>
    <w:aliases w:val="ECHR_Para,_Para"/>
    <w:basedOn w:val="Normal"/>
    <w:link w:val="JuParaChar"/>
    <w:uiPriority w:val="4"/>
    <w:qFormat/>
    <w:rsid w:val="00E52E47"/>
    <w:pPr>
      <w:shd w:val="clear" w:color="auto" w:fill="auto"/>
      <w:tabs>
        <w:tab w:val="clear" w:pos="1134"/>
      </w:tabs>
      <w:spacing w:after="0" w:line="360" w:lineRule="auto"/>
      <w:ind w:firstLine="284"/>
    </w:pPr>
    <w:rPr>
      <w:rFonts w:asciiTheme="minorHAnsi" w:eastAsiaTheme="minorHAnsi" w:hAnsiTheme="minorHAnsi" w:cstheme="minorBidi"/>
      <w:sz w:val="24"/>
      <w:szCs w:val="24"/>
      <w:lang w:val="en-GB" w:eastAsia="en-US"/>
      <w14:ligatures w14:val="standardContextual"/>
    </w:rPr>
  </w:style>
  <w:style w:type="character" w:customStyle="1" w:styleId="JuParaChar">
    <w:name w:val="Ju_Para Char"/>
    <w:aliases w:val="ECHR_Para Char,_Para Char"/>
    <w:link w:val="JuPara"/>
    <w:uiPriority w:val="4"/>
    <w:qFormat/>
    <w:rsid w:val="00E52E47"/>
    <w:rPr>
      <w:sz w:val="24"/>
      <w:szCs w:val="24"/>
      <w:lang w:val="en-GB"/>
      <w14:ligatures w14:val="standardContextual"/>
    </w:rPr>
  </w:style>
  <w:style w:type="paragraph" w:styleId="BalonMetni">
    <w:name w:val="Balloon Text"/>
    <w:basedOn w:val="Normal"/>
    <w:link w:val="BalonMetniChar"/>
    <w:uiPriority w:val="98"/>
    <w:semiHidden/>
    <w:rsid w:val="00E52E47"/>
    <w:pPr>
      <w:shd w:val="clear" w:color="auto" w:fill="auto"/>
      <w:tabs>
        <w:tab w:val="clear" w:pos="1134"/>
      </w:tabs>
      <w:spacing w:after="0" w:line="360" w:lineRule="auto"/>
      <w:ind w:firstLine="0"/>
      <w:jc w:val="left"/>
    </w:pPr>
    <w:rPr>
      <w:rFonts w:ascii="Tahoma" w:eastAsiaTheme="minorHAnsi" w:hAnsi="Tahoma" w:cs="Tahoma"/>
      <w:sz w:val="16"/>
      <w:szCs w:val="16"/>
      <w:lang w:val="en-GB" w:eastAsia="en-US"/>
      <w14:ligatures w14:val="standardContextual"/>
    </w:rPr>
  </w:style>
  <w:style w:type="character" w:customStyle="1" w:styleId="BalonMetniChar">
    <w:name w:val="Balon Metni Char"/>
    <w:basedOn w:val="VarsaylanParagrafYazTipi"/>
    <w:link w:val="BalonMetni"/>
    <w:uiPriority w:val="98"/>
    <w:semiHidden/>
    <w:rsid w:val="00E52E47"/>
    <w:rPr>
      <w:rFonts w:ascii="Tahoma" w:hAnsi="Tahoma" w:cs="Tahoma"/>
      <w:sz w:val="16"/>
      <w:szCs w:val="16"/>
      <w:lang w:val="en-GB"/>
      <w14:ligatures w14:val="standardContextual"/>
    </w:rPr>
  </w:style>
  <w:style w:type="paragraph" w:customStyle="1" w:styleId="JuQuot">
    <w:name w:val="Ju_Quot"/>
    <w:aliases w:val="_Quote"/>
    <w:basedOn w:val="Normal"/>
    <w:link w:val="JuQuotChar"/>
    <w:uiPriority w:val="20"/>
    <w:qFormat/>
    <w:rsid w:val="00E52E47"/>
    <w:pPr>
      <w:shd w:val="clear" w:color="auto" w:fill="auto"/>
      <w:tabs>
        <w:tab w:val="clear" w:pos="1134"/>
      </w:tabs>
      <w:spacing w:before="120" w:after="120" w:line="360" w:lineRule="auto"/>
      <w:ind w:left="425" w:firstLine="142"/>
    </w:pPr>
    <w:rPr>
      <w:rFonts w:asciiTheme="minorHAnsi" w:eastAsiaTheme="minorHAnsi" w:hAnsiTheme="minorHAnsi" w:cstheme="minorBidi"/>
      <w:sz w:val="20"/>
      <w:szCs w:val="24"/>
      <w:lang w:val="en-GB" w:eastAsia="en-US"/>
      <w14:ligatures w14:val="standardContextual"/>
    </w:rPr>
  </w:style>
  <w:style w:type="character" w:customStyle="1" w:styleId="JuQuotChar">
    <w:name w:val="Ju_Quot Char"/>
    <w:basedOn w:val="VarsaylanParagrafYazTipi"/>
    <w:link w:val="JuQuot"/>
    <w:uiPriority w:val="20"/>
    <w:rsid w:val="00E52E47"/>
    <w:rPr>
      <w:sz w:val="20"/>
      <w:szCs w:val="24"/>
      <w:lang w:val="en-GB"/>
      <w14:ligatures w14:val="standardContextual"/>
    </w:rPr>
  </w:style>
  <w:style w:type="paragraph" w:styleId="Dzeltme">
    <w:name w:val="Revision"/>
    <w:hidden/>
    <w:uiPriority w:val="99"/>
    <w:semiHidden/>
    <w:rsid w:val="00E52E47"/>
    <w:pPr>
      <w:spacing w:after="0" w:line="240" w:lineRule="auto"/>
    </w:pPr>
    <w:rPr>
      <w:kern w:val="2"/>
      <w14:ligatures w14:val="standardContextual"/>
    </w:rPr>
  </w:style>
  <w:style w:type="paragraph" w:customStyle="1" w:styleId="Default">
    <w:name w:val="Default"/>
    <w:rsid w:val="00E52E47"/>
    <w:pPr>
      <w:autoSpaceDE w:val="0"/>
      <w:autoSpaceDN w:val="0"/>
      <w:adjustRightInd w:val="0"/>
      <w:spacing w:after="0" w:line="240" w:lineRule="auto"/>
    </w:pPr>
    <w:rPr>
      <w:rFonts w:ascii="Times New Roman" w:eastAsia="SimSu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6493">
      <w:bodyDiv w:val="1"/>
      <w:marLeft w:val="0"/>
      <w:marRight w:val="0"/>
      <w:marTop w:val="0"/>
      <w:marBottom w:val="0"/>
      <w:divBdr>
        <w:top w:val="none" w:sz="0" w:space="0" w:color="auto"/>
        <w:left w:val="none" w:sz="0" w:space="0" w:color="auto"/>
        <w:bottom w:val="none" w:sz="0" w:space="0" w:color="auto"/>
        <w:right w:val="none" w:sz="0" w:space="0" w:color="auto"/>
      </w:divBdr>
    </w:div>
    <w:div w:id="208536966">
      <w:bodyDiv w:val="1"/>
      <w:marLeft w:val="0"/>
      <w:marRight w:val="0"/>
      <w:marTop w:val="0"/>
      <w:marBottom w:val="0"/>
      <w:divBdr>
        <w:top w:val="none" w:sz="0" w:space="0" w:color="auto"/>
        <w:left w:val="none" w:sz="0" w:space="0" w:color="auto"/>
        <w:bottom w:val="none" w:sz="0" w:space="0" w:color="auto"/>
        <w:right w:val="none" w:sz="0" w:space="0" w:color="auto"/>
      </w:divBdr>
    </w:div>
    <w:div w:id="237633949">
      <w:bodyDiv w:val="1"/>
      <w:marLeft w:val="0"/>
      <w:marRight w:val="0"/>
      <w:marTop w:val="0"/>
      <w:marBottom w:val="0"/>
      <w:divBdr>
        <w:top w:val="none" w:sz="0" w:space="0" w:color="auto"/>
        <w:left w:val="none" w:sz="0" w:space="0" w:color="auto"/>
        <w:bottom w:val="none" w:sz="0" w:space="0" w:color="auto"/>
        <w:right w:val="none" w:sz="0" w:space="0" w:color="auto"/>
      </w:divBdr>
    </w:div>
    <w:div w:id="265188910">
      <w:bodyDiv w:val="1"/>
      <w:marLeft w:val="0"/>
      <w:marRight w:val="0"/>
      <w:marTop w:val="0"/>
      <w:marBottom w:val="0"/>
      <w:divBdr>
        <w:top w:val="none" w:sz="0" w:space="0" w:color="auto"/>
        <w:left w:val="none" w:sz="0" w:space="0" w:color="auto"/>
        <w:bottom w:val="none" w:sz="0" w:space="0" w:color="auto"/>
        <w:right w:val="none" w:sz="0" w:space="0" w:color="auto"/>
      </w:divBdr>
      <w:divsChild>
        <w:div w:id="574512188">
          <w:marLeft w:val="0"/>
          <w:marRight w:val="0"/>
          <w:marTop w:val="0"/>
          <w:marBottom w:val="0"/>
          <w:divBdr>
            <w:top w:val="none" w:sz="0" w:space="0" w:color="auto"/>
            <w:left w:val="none" w:sz="0" w:space="0" w:color="auto"/>
            <w:bottom w:val="none" w:sz="0" w:space="0" w:color="auto"/>
            <w:right w:val="none" w:sz="0" w:space="0" w:color="auto"/>
          </w:divBdr>
        </w:div>
        <w:div w:id="717826265">
          <w:marLeft w:val="0"/>
          <w:marRight w:val="0"/>
          <w:marTop w:val="0"/>
          <w:marBottom w:val="0"/>
          <w:divBdr>
            <w:top w:val="none" w:sz="0" w:space="0" w:color="auto"/>
            <w:left w:val="none" w:sz="0" w:space="0" w:color="auto"/>
            <w:bottom w:val="none" w:sz="0" w:space="0" w:color="auto"/>
            <w:right w:val="none" w:sz="0" w:space="0" w:color="auto"/>
          </w:divBdr>
        </w:div>
      </w:divsChild>
    </w:div>
    <w:div w:id="466243916">
      <w:bodyDiv w:val="1"/>
      <w:marLeft w:val="0"/>
      <w:marRight w:val="0"/>
      <w:marTop w:val="0"/>
      <w:marBottom w:val="0"/>
      <w:divBdr>
        <w:top w:val="none" w:sz="0" w:space="0" w:color="auto"/>
        <w:left w:val="none" w:sz="0" w:space="0" w:color="auto"/>
        <w:bottom w:val="none" w:sz="0" w:space="0" w:color="auto"/>
        <w:right w:val="none" w:sz="0" w:space="0" w:color="auto"/>
      </w:divBdr>
    </w:div>
    <w:div w:id="567149264">
      <w:bodyDiv w:val="1"/>
      <w:marLeft w:val="0"/>
      <w:marRight w:val="0"/>
      <w:marTop w:val="0"/>
      <w:marBottom w:val="0"/>
      <w:divBdr>
        <w:top w:val="none" w:sz="0" w:space="0" w:color="auto"/>
        <w:left w:val="none" w:sz="0" w:space="0" w:color="auto"/>
        <w:bottom w:val="none" w:sz="0" w:space="0" w:color="auto"/>
        <w:right w:val="none" w:sz="0" w:space="0" w:color="auto"/>
      </w:divBdr>
    </w:div>
    <w:div w:id="1334988385">
      <w:bodyDiv w:val="1"/>
      <w:marLeft w:val="0"/>
      <w:marRight w:val="0"/>
      <w:marTop w:val="0"/>
      <w:marBottom w:val="0"/>
      <w:divBdr>
        <w:top w:val="none" w:sz="0" w:space="0" w:color="auto"/>
        <w:left w:val="none" w:sz="0" w:space="0" w:color="auto"/>
        <w:bottom w:val="none" w:sz="0" w:space="0" w:color="auto"/>
        <w:right w:val="none" w:sz="0" w:space="0" w:color="auto"/>
      </w:divBdr>
      <w:divsChild>
        <w:div w:id="647131927">
          <w:marLeft w:val="0"/>
          <w:marRight w:val="0"/>
          <w:marTop w:val="0"/>
          <w:marBottom w:val="0"/>
          <w:divBdr>
            <w:top w:val="none" w:sz="0" w:space="0" w:color="auto"/>
            <w:left w:val="none" w:sz="0" w:space="0" w:color="auto"/>
            <w:bottom w:val="none" w:sz="0" w:space="0" w:color="auto"/>
            <w:right w:val="none" w:sz="0" w:space="0" w:color="auto"/>
          </w:divBdr>
        </w:div>
        <w:div w:id="796097719">
          <w:marLeft w:val="0"/>
          <w:marRight w:val="0"/>
          <w:marTop w:val="0"/>
          <w:marBottom w:val="0"/>
          <w:divBdr>
            <w:top w:val="none" w:sz="0" w:space="0" w:color="auto"/>
            <w:left w:val="none" w:sz="0" w:space="0" w:color="auto"/>
            <w:bottom w:val="none" w:sz="0" w:space="0" w:color="auto"/>
            <w:right w:val="none" w:sz="0" w:space="0" w:color="auto"/>
          </w:divBdr>
        </w:div>
        <w:div w:id="1668745565">
          <w:marLeft w:val="0"/>
          <w:marRight w:val="0"/>
          <w:marTop w:val="0"/>
          <w:marBottom w:val="0"/>
          <w:divBdr>
            <w:top w:val="none" w:sz="0" w:space="0" w:color="auto"/>
            <w:left w:val="none" w:sz="0" w:space="0" w:color="auto"/>
            <w:bottom w:val="none" w:sz="0" w:space="0" w:color="auto"/>
            <w:right w:val="none" w:sz="0" w:space="0" w:color="auto"/>
          </w:divBdr>
        </w:div>
      </w:divsChild>
    </w:div>
    <w:div w:id="1432552272">
      <w:bodyDiv w:val="1"/>
      <w:marLeft w:val="0"/>
      <w:marRight w:val="0"/>
      <w:marTop w:val="0"/>
      <w:marBottom w:val="0"/>
      <w:divBdr>
        <w:top w:val="none" w:sz="0" w:space="0" w:color="auto"/>
        <w:left w:val="none" w:sz="0" w:space="0" w:color="auto"/>
        <w:bottom w:val="none" w:sz="0" w:space="0" w:color="auto"/>
        <w:right w:val="none" w:sz="0" w:space="0" w:color="auto"/>
      </w:divBdr>
    </w:div>
    <w:div w:id="1456823989">
      <w:bodyDiv w:val="1"/>
      <w:marLeft w:val="0"/>
      <w:marRight w:val="0"/>
      <w:marTop w:val="0"/>
      <w:marBottom w:val="0"/>
      <w:divBdr>
        <w:top w:val="none" w:sz="0" w:space="0" w:color="auto"/>
        <w:left w:val="none" w:sz="0" w:space="0" w:color="auto"/>
        <w:bottom w:val="none" w:sz="0" w:space="0" w:color="auto"/>
        <w:right w:val="none" w:sz="0" w:space="0" w:color="auto"/>
      </w:divBdr>
    </w:div>
    <w:div w:id="1581522698">
      <w:bodyDiv w:val="1"/>
      <w:marLeft w:val="0"/>
      <w:marRight w:val="0"/>
      <w:marTop w:val="0"/>
      <w:marBottom w:val="0"/>
      <w:divBdr>
        <w:top w:val="none" w:sz="0" w:space="0" w:color="auto"/>
        <w:left w:val="none" w:sz="0" w:space="0" w:color="auto"/>
        <w:bottom w:val="none" w:sz="0" w:space="0" w:color="auto"/>
        <w:right w:val="none" w:sz="0" w:space="0" w:color="auto"/>
      </w:divBdr>
    </w:div>
    <w:div w:id="1720322600">
      <w:bodyDiv w:val="1"/>
      <w:marLeft w:val="0"/>
      <w:marRight w:val="0"/>
      <w:marTop w:val="0"/>
      <w:marBottom w:val="0"/>
      <w:divBdr>
        <w:top w:val="none" w:sz="0" w:space="0" w:color="auto"/>
        <w:left w:val="none" w:sz="0" w:space="0" w:color="auto"/>
        <w:bottom w:val="none" w:sz="0" w:space="0" w:color="auto"/>
        <w:right w:val="none" w:sz="0" w:space="0" w:color="auto"/>
      </w:divBdr>
    </w:div>
    <w:div w:id="1740444705">
      <w:bodyDiv w:val="1"/>
      <w:marLeft w:val="0"/>
      <w:marRight w:val="0"/>
      <w:marTop w:val="0"/>
      <w:marBottom w:val="0"/>
      <w:divBdr>
        <w:top w:val="none" w:sz="0" w:space="0" w:color="auto"/>
        <w:left w:val="none" w:sz="0" w:space="0" w:color="auto"/>
        <w:bottom w:val="none" w:sz="0" w:space="0" w:color="auto"/>
        <w:right w:val="none" w:sz="0" w:space="0" w:color="auto"/>
      </w:divBdr>
      <w:divsChild>
        <w:div w:id="808280120">
          <w:marLeft w:val="0"/>
          <w:marRight w:val="0"/>
          <w:marTop w:val="0"/>
          <w:marBottom w:val="0"/>
          <w:divBdr>
            <w:top w:val="none" w:sz="0" w:space="0" w:color="auto"/>
            <w:left w:val="none" w:sz="0" w:space="0" w:color="auto"/>
            <w:bottom w:val="none" w:sz="0" w:space="0" w:color="auto"/>
            <w:right w:val="none" w:sz="0" w:space="0" w:color="auto"/>
          </w:divBdr>
        </w:div>
        <w:div w:id="1387606526">
          <w:marLeft w:val="0"/>
          <w:marRight w:val="0"/>
          <w:marTop w:val="0"/>
          <w:marBottom w:val="0"/>
          <w:divBdr>
            <w:top w:val="none" w:sz="0" w:space="0" w:color="auto"/>
            <w:left w:val="none" w:sz="0" w:space="0" w:color="auto"/>
            <w:bottom w:val="none" w:sz="0" w:space="0" w:color="auto"/>
            <w:right w:val="none" w:sz="0" w:space="0" w:color="auto"/>
          </w:divBdr>
        </w:div>
        <w:div w:id="1477261255">
          <w:marLeft w:val="0"/>
          <w:marRight w:val="0"/>
          <w:marTop w:val="0"/>
          <w:marBottom w:val="0"/>
          <w:divBdr>
            <w:top w:val="none" w:sz="0" w:space="0" w:color="auto"/>
            <w:left w:val="none" w:sz="0" w:space="0" w:color="auto"/>
            <w:bottom w:val="none" w:sz="0" w:space="0" w:color="auto"/>
            <w:right w:val="none" w:sz="0" w:space="0" w:color="auto"/>
          </w:divBdr>
        </w:div>
        <w:div w:id="1895773843">
          <w:marLeft w:val="0"/>
          <w:marRight w:val="0"/>
          <w:marTop w:val="0"/>
          <w:marBottom w:val="0"/>
          <w:divBdr>
            <w:top w:val="none" w:sz="0" w:space="0" w:color="auto"/>
            <w:left w:val="none" w:sz="0" w:space="0" w:color="auto"/>
            <w:bottom w:val="none" w:sz="0" w:space="0" w:color="auto"/>
            <w:right w:val="none" w:sz="0" w:space="0" w:color="auto"/>
          </w:divBdr>
        </w:div>
      </w:divsChild>
    </w:div>
    <w:div w:id="2012757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BD6E5-1A85-4DB2-8F2F-9743A4E1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9169</Words>
  <Characters>50431</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Party Design</cp:lastModifiedBy>
  <cp:revision>8</cp:revision>
  <cp:lastPrinted>2023-11-27T18:19:00Z</cp:lastPrinted>
  <dcterms:created xsi:type="dcterms:W3CDTF">2023-11-26T20:53:00Z</dcterms:created>
  <dcterms:modified xsi:type="dcterms:W3CDTF">2023-11-27T18:19:00Z</dcterms:modified>
</cp:coreProperties>
</file>